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7CE7C" w14:textId="07518617" w:rsidR="00473957" w:rsidRPr="00EB2E7B" w:rsidRDefault="00473957" w:rsidP="005D19E7">
      <w:pPr>
        <w:ind w:left="70" w:firstLine="0"/>
        <w:rPr>
          <w:rFonts w:asciiTheme="minorHAnsi" w:hAnsiTheme="minorHAnsi" w:cstheme="minorHAnsi"/>
          <w:sz w:val="20"/>
          <w:szCs w:val="20"/>
        </w:rPr>
      </w:pPr>
    </w:p>
    <w:p w14:paraId="268944D1" w14:textId="5D91C811" w:rsidR="00473957" w:rsidRPr="00EB2E7B" w:rsidRDefault="008411C5" w:rsidP="005D19E7">
      <w:pPr>
        <w:ind w:left="70" w:firstLine="0"/>
        <w:rPr>
          <w:rFonts w:asciiTheme="minorHAnsi" w:hAnsiTheme="minorHAnsi" w:cstheme="minorHAnsi"/>
          <w:sz w:val="20"/>
          <w:szCs w:val="20"/>
        </w:rPr>
      </w:pPr>
      <w:r w:rsidRPr="00EB2E7B">
        <w:rPr>
          <w:rFonts w:asciiTheme="minorHAnsi" w:hAnsiTheme="minorHAnsi" w:cstheme="minorHAnsi"/>
          <w:noProof/>
          <w:sz w:val="20"/>
          <w:szCs w:val="20"/>
        </w:rPr>
        <w:drawing>
          <wp:anchor distT="0" distB="0" distL="114300" distR="114300" simplePos="0" relativeHeight="251659264" behindDoc="0" locked="0" layoutInCell="1" allowOverlap="1" wp14:anchorId="1FFBF2B3" wp14:editId="6956B7A5">
            <wp:simplePos x="0" y="0"/>
            <wp:positionH relativeFrom="margin">
              <wp:align>center</wp:align>
            </wp:positionH>
            <wp:positionV relativeFrom="margin">
              <wp:align>top</wp:align>
            </wp:positionV>
            <wp:extent cx="4746625" cy="1701165"/>
            <wp:effectExtent l="0" t="0" r="0" b="0"/>
            <wp:wrapSquare wrapText="bothSides"/>
            <wp:docPr id="906824155" name="Obraz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24155" name="Obraz 28">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6625" cy="1701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21C144" w14:textId="43829E83" w:rsidR="00473957" w:rsidRPr="00EB2E7B" w:rsidRDefault="00473957" w:rsidP="005D19E7">
      <w:pPr>
        <w:ind w:left="70" w:firstLine="0"/>
        <w:rPr>
          <w:rFonts w:asciiTheme="minorHAnsi" w:hAnsiTheme="minorHAnsi" w:cstheme="minorHAnsi"/>
          <w:sz w:val="20"/>
          <w:szCs w:val="20"/>
        </w:rPr>
      </w:pPr>
    </w:p>
    <w:p w14:paraId="59004882" w14:textId="3B1EB0BA" w:rsidR="00473957" w:rsidRPr="00EB2E7B" w:rsidRDefault="00473957" w:rsidP="005D19E7">
      <w:pPr>
        <w:ind w:left="70" w:firstLine="0"/>
        <w:rPr>
          <w:rFonts w:asciiTheme="minorHAnsi" w:hAnsiTheme="minorHAnsi" w:cstheme="minorHAnsi"/>
          <w:sz w:val="20"/>
          <w:szCs w:val="20"/>
        </w:rPr>
      </w:pPr>
    </w:p>
    <w:p w14:paraId="6713DC92" w14:textId="5B51E685" w:rsidR="006D1084" w:rsidRPr="00EB2E7B" w:rsidRDefault="006D1084" w:rsidP="005D19E7">
      <w:pPr>
        <w:ind w:left="70" w:firstLine="0"/>
        <w:rPr>
          <w:rFonts w:asciiTheme="minorHAnsi" w:hAnsiTheme="minorHAnsi" w:cstheme="minorHAnsi"/>
          <w:sz w:val="20"/>
          <w:szCs w:val="20"/>
        </w:rPr>
      </w:pPr>
    </w:p>
    <w:p w14:paraId="12446C4F" w14:textId="638F5686" w:rsidR="000F235D" w:rsidRPr="00EB2E7B" w:rsidRDefault="000F235D" w:rsidP="005D19E7">
      <w:pPr>
        <w:ind w:left="70" w:firstLine="0"/>
        <w:rPr>
          <w:rFonts w:asciiTheme="minorHAnsi" w:hAnsiTheme="minorHAnsi" w:cstheme="minorHAnsi"/>
          <w:sz w:val="20"/>
          <w:szCs w:val="20"/>
        </w:rPr>
      </w:pPr>
    </w:p>
    <w:p w14:paraId="14187E6D" w14:textId="09606929" w:rsidR="008411C5" w:rsidRPr="00EB2E7B" w:rsidRDefault="008411C5" w:rsidP="008411C5">
      <w:pPr>
        <w:pStyle w:val="Tekstpodstawowy"/>
        <w:spacing w:before="600" w:after="600"/>
        <w:jc w:val="center"/>
        <w:rPr>
          <w:rFonts w:asciiTheme="minorHAnsi" w:hAnsiTheme="minorHAnsi" w:cstheme="minorHAnsi"/>
          <w:b/>
          <w:bCs/>
          <w:sz w:val="20"/>
        </w:rPr>
      </w:pPr>
      <w:r w:rsidRPr="00EB2E7B">
        <w:rPr>
          <w:rFonts w:asciiTheme="minorHAnsi" w:hAnsiTheme="minorHAnsi" w:cstheme="minorHAnsi"/>
          <w:b/>
          <w:bCs/>
          <w:sz w:val="20"/>
        </w:rPr>
        <w:t>INSTRUKCJA RUCHU I EKSPLOATACJI SIECI DYSTRYBUCYJNEJ</w:t>
      </w:r>
    </w:p>
    <w:p w14:paraId="0AB6C5A3" w14:textId="77777777" w:rsidR="008411C5" w:rsidRPr="00EB2E7B" w:rsidRDefault="008411C5" w:rsidP="008411C5">
      <w:pPr>
        <w:spacing w:after="0" w:line="259" w:lineRule="auto"/>
        <w:ind w:left="588" w:firstLine="0"/>
        <w:jc w:val="left"/>
        <w:rPr>
          <w:rFonts w:asciiTheme="minorHAnsi" w:hAnsiTheme="minorHAnsi" w:cstheme="minorHAnsi"/>
          <w:sz w:val="20"/>
          <w:szCs w:val="20"/>
        </w:rPr>
      </w:pPr>
      <w:r w:rsidRPr="00EB2E7B">
        <w:rPr>
          <w:rFonts w:asciiTheme="minorHAnsi" w:hAnsiTheme="minorHAnsi" w:cstheme="minorHAnsi"/>
          <w:i/>
          <w:sz w:val="20"/>
          <w:szCs w:val="20"/>
        </w:rPr>
        <w:t xml:space="preserve"> </w:t>
      </w:r>
      <w:r w:rsidRPr="00EB2E7B">
        <w:rPr>
          <w:rFonts w:asciiTheme="minorHAnsi" w:hAnsiTheme="minorHAnsi" w:cstheme="minorHAnsi"/>
          <w:sz w:val="20"/>
          <w:szCs w:val="20"/>
        </w:rPr>
        <w:t xml:space="preserve"> </w:t>
      </w:r>
    </w:p>
    <w:p w14:paraId="20C8ADDF" w14:textId="77777777" w:rsidR="008411C5" w:rsidRPr="00EB2E7B" w:rsidRDefault="008411C5" w:rsidP="008411C5">
      <w:pPr>
        <w:spacing w:after="240"/>
        <w:ind w:left="284" w:firstLine="0"/>
        <w:rPr>
          <w:rFonts w:asciiTheme="minorHAnsi" w:hAnsiTheme="minorHAnsi" w:cstheme="minorHAnsi"/>
          <w:sz w:val="20"/>
          <w:szCs w:val="20"/>
        </w:rPr>
      </w:pPr>
      <w:r w:rsidRPr="00EB2E7B">
        <w:rPr>
          <w:rFonts w:asciiTheme="minorHAnsi" w:hAnsiTheme="minorHAnsi" w:cstheme="minorHAnsi"/>
          <w:sz w:val="20"/>
          <w:szCs w:val="20"/>
        </w:rPr>
        <w:t>Niniejsza Instrukcja Ruchu i Eksploatacji Sieci Dystrybucyjnej została opracowana i wprowadzona do stosowania w spółkach Grupy Kapitałowej ACPRO.</w:t>
      </w:r>
    </w:p>
    <w:p w14:paraId="4DC30B91" w14:textId="77777777" w:rsidR="008411C5" w:rsidRPr="00EB2E7B" w:rsidRDefault="008411C5" w:rsidP="008411C5">
      <w:pPr>
        <w:spacing w:after="240"/>
        <w:ind w:left="284" w:firstLine="0"/>
        <w:rPr>
          <w:rFonts w:asciiTheme="minorHAnsi" w:hAnsiTheme="minorHAnsi" w:cstheme="minorHAnsi"/>
          <w:sz w:val="20"/>
          <w:szCs w:val="20"/>
        </w:rPr>
      </w:pPr>
      <w:r w:rsidRPr="00EB2E7B">
        <w:rPr>
          <w:rFonts w:asciiTheme="minorHAnsi" w:hAnsiTheme="minorHAnsi" w:cstheme="minorHAnsi"/>
          <w:sz w:val="20"/>
          <w:szCs w:val="20"/>
        </w:rPr>
        <w:t>Postanowienia Instrukcji obowiązują w spółkach Grupy Kapitałowej ACPRO pełniących funkcję Operatora Systemu Dystrybucyjnego poprzez przyjęcie jej do stosowania uchwałami Zarządu poszczególnych spółek.</w:t>
      </w:r>
    </w:p>
    <w:p w14:paraId="4E9FA56C" w14:textId="77777777" w:rsidR="008411C5" w:rsidRPr="00EB2E7B" w:rsidRDefault="008411C5" w:rsidP="008411C5">
      <w:pPr>
        <w:spacing w:after="240"/>
        <w:ind w:left="284" w:firstLine="0"/>
        <w:rPr>
          <w:rFonts w:asciiTheme="minorHAnsi" w:hAnsiTheme="minorHAnsi" w:cstheme="minorHAnsi"/>
          <w:sz w:val="20"/>
          <w:szCs w:val="20"/>
        </w:rPr>
      </w:pPr>
      <w:r w:rsidRPr="00EB2E7B">
        <w:rPr>
          <w:rFonts w:asciiTheme="minorHAnsi" w:hAnsiTheme="minorHAnsi" w:cstheme="minorHAnsi"/>
          <w:sz w:val="20"/>
          <w:szCs w:val="20"/>
        </w:rPr>
        <w:t>Postanowienia instrukcji w danej spółce obowiązują z datą podjęcia uchwały Zarządu o przyjęciu instrukcji do stosowania.</w:t>
      </w:r>
    </w:p>
    <w:p w14:paraId="5D9A01B7" w14:textId="1CC3B9DE" w:rsidR="008411C5" w:rsidRPr="00EB2E7B" w:rsidRDefault="008411C5" w:rsidP="008411C5">
      <w:pPr>
        <w:pStyle w:val="Nagwekspisutreci"/>
        <w:numPr>
          <w:ilvl w:val="0"/>
          <w:numId w:val="0"/>
        </w:numPr>
        <w:spacing w:before="2280" w:after="480"/>
        <w:ind w:left="2127" w:firstLine="709"/>
        <w:rPr>
          <w:rFonts w:asciiTheme="minorHAnsi" w:hAnsiTheme="minorHAnsi" w:cstheme="minorHAnsi"/>
          <w:color w:val="auto"/>
          <w:sz w:val="20"/>
          <w:szCs w:val="20"/>
        </w:rPr>
      </w:pPr>
      <w:r w:rsidRPr="00EB2E7B">
        <w:rPr>
          <w:rFonts w:asciiTheme="minorHAnsi" w:hAnsiTheme="minorHAnsi" w:cstheme="minorHAnsi"/>
          <w:color w:val="auto"/>
          <w:sz w:val="20"/>
          <w:szCs w:val="20"/>
        </w:rPr>
        <w:t xml:space="preserve">Postanowienia instrukcji obowiązują od </w:t>
      </w:r>
      <w:r w:rsidR="00DC4FEC">
        <w:rPr>
          <w:rFonts w:asciiTheme="minorHAnsi" w:hAnsiTheme="minorHAnsi" w:cstheme="minorHAnsi"/>
          <w:color w:val="auto"/>
          <w:sz w:val="20"/>
          <w:szCs w:val="20"/>
        </w:rPr>
        <w:t>1</w:t>
      </w:r>
      <w:r w:rsidR="007C4D92">
        <w:rPr>
          <w:rFonts w:asciiTheme="minorHAnsi" w:hAnsiTheme="minorHAnsi" w:cstheme="minorHAnsi"/>
          <w:color w:val="auto"/>
          <w:sz w:val="20"/>
          <w:szCs w:val="20"/>
        </w:rPr>
        <w:t>0</w:t>
      </w:r>
      <w:r w:rsidRPr="00EB2E7B">
        <w:rPr>
          <w:rFonts w:asciiTheme="minorHAnsi" w:hAnsiTheme="minorHAnsi" w:cstheme="minorHAnsi"/>
          <w:color w:val="auto"/>
          <w:sz w:val="20"/>
          <w:szCs w:val="20"/>
        </w:rPr>
        <w:t xml:space="preserve"> </w:t>
      </w:r>
      <w:r w:rsidR="00EF1A16">
        <w:rPr>
          <w:rFonts w:asciiTheme="minorHAnsi" w:hAnsiTheme="minorHAnsi" w:cstheme="minorHAnsi"/>
          <w:color w:val="auto"/>
          <w:sz w:val="20"/>
          <w:szCs w:val="20"/>
        </w:rPr>
        <w:t>października</w:t>
      </w:r>
      <w:r w:rsidRPr="00EB2E7B">
        <w:rPr>
          <w:rFonts w:asciiTheme="minorHAnsi" w:hAnsiTheme="minorHAnsi" w:cstheme="minorHAnsi"/>
          <w:color w:val="auto"/>
          <w:sz w:val="20"/>
          <w:szCs w:val="20"/>
        </w:rPr>
        <w:t xml:space="preserve"> 202</w:t>
      </w:r>
      <w:r w:rsidR="00DC4FEC">
        <w:rPr>
          <w:rFonts w:asciiTheme="minorHAnsi" w:hAnsiTheme="minorHAnsi" w:cstheme="minorHAnsi"/>
          <w:color w:val="auto"/>
          <w:sz w:val="20"/>
          <w:szCs w:val="20"/>
        </w:rPr>
        <w:t>6</w:t>
      </w:r>
      <w:r w:rsidRPr="00EB2E7B">
        <w:rPr>
          <w:rFonts w:asciiTheme="minorHAnsi" w:hAnsiTheme="minorHAnsi" w:cstheme="minorHAnsi"/>
          <w:color w:val="auto"/>
          <w:sz w:val="20"/>
          <w:szCs w:val="20"/>
        </w:rPr>
        <w:t xml:space="preserve"> r.</w:t>
      </w:r>
    </w:p>
    <w:p w14:paraId="42EF8C6E" w14:textId="7454A57B" w:rsidR="008411C5" w:rsidRPr="00EB2E7B" w:rsidRDefault="008411C5">
      <w:pPr>
        <w:spacing w:after="160" w:line="259" w:lineRule="auto"/>
        <w:ind w:left="0" w:firstLine="0"/>
        <w:jc w:val="left"/>
        <w:rPr>
          <w:rFonts w:asciiTheme="minorHAnsi" w:hAnsiTheme="minorHAnsi" w:cstheme="minorHAnsi"/>
          <w:sz w:val="20"/>
          <w:szCs w:val="20"/>
        </w:rPr>
      </w:pPr>
      <w:r w:rsidRPr="00EB2E7B">
        <w:rPr>
          <w:rFonts w:asciiTheme="minorHAnsi" w:hAnsiTheme="minorHAnsi" w:cstheme="minorHAnsi"/>
          <w:sz w:val="20"/>
          <w:szCs w:val="20"/>
        </w:rPr>
        <w:br w:type="page"/>
      </w:r>
    </w:p>
    <w:p w14:paraId="0EE359AA" w14:textId="1E438314" w:rsidR="00A93662" w:rsidRPr="00EB2E7B" w:rsidRDefault="00A93662" w:rsidP="00A93662">
      <w:pPr>
        <w:spacing w:after="68" w:line="265" w:lineRule="auto"/>
        <w:ind w:left="10" w:right="171"/>
        <w:jc w:val="center"/>
        <w:rPr>
          <w:rFonts w:asciiTheme="minorHAnsi" w:hAnsiTheme="minorHAnsi" w:cstheme="minorHAnsi"/>
          <w:sz w:val="20"/>
          <w:szCs w:val="20"/>
        </w:rPr>
      </w:pPr>
      <w:r w:rsidRPr="00EB2E7B">
        <w:rPr>
          <w:rFonts w:asciiTheme="minorHAnsi" w:hAnsiTheme="minorHAnsi" w:cstheme="minorHAnsi"/>
          <w:b/>
          <w:sz w:val="20"/>
          <w:szCs w:val="20"/>
        </w:rPr>
        <w:lastRenderedPageBreak/>
        <w:t xml:space="preserve">SPIS TREŚCI </w:t>
      </w:r>
    </w:p>
    <w:p w14:paraId="48A47CA9" w14:textId="3382B0AA" w:rsidR="006A408D" w:rsidRDefault="009F6BB0">
      <w:pPr>
        <w:pStyle w:val="Spistreci1"/>
        <w:rPr>
          <w:rFonts w:asciiTheme="minorHAnsi" w:eastAsiaTheme="minorEastAsia" w:hAnsiTheme="minorHAnsi" w:cstheme="minorBidi"/>
          <w:b w:val="0"/>
          <w:bCs w:val="0"/>
          <w:noProof/>
          <w:color w:val="auto"/>
          <w:kern w:val="2"/>
          <w:sz w:val="24"/>
          <w:szCs w:val="24"/>
          <w14:ligatures w14:val="standardContextual"/>
        </w:rPr>
      </w:pPr>
      <w:r w:rsidRPr="00EB2E7B">
        <w:rPr>
          <w:rFonts w:asciiTheme="minorHAnsi" w:hAnsiTheme="minorHAnsi" w:cstheme="minorHAnsi"/>
          <w:sz w:val="20"/>
        </w:rPr>
        <w:fldChar w:fldCharType="begin"/>
      </w:r>
      <w:r w:rsidRPr="00EB2E7B">
        <w:rPr>
          <w:rFonts w:asciiTheme="minorHAnsi" w:hAnsiTheme="minorHAnsi" w:cstheme="minorHAnsi"/>
          <w:sz w:val="20"/>
        </w:rPr>
        <w:instrText xml:space="preserve"> TOC \o "1-2" \h \z \u </w:instrText>
      </w:r>
      <w:r w:rsidRPr="00EB2E7B">
        <w:rPr>
          <w:rFonts w:asciiTheme="minorHAnsi" w:hAnsiTheme="minorHAnsi" w:cstheme="minorHAnsi"/>
          <w:sz w:val="20"/>
        </w:rPr>
        <w:fldChar w:fldCharType="separate"/>
      </w:r>
      <w:hyperlink w:anchor="_Toc239333303" w:history="1">
        <w:r w:rsidR="006A408D" w:rsidRPr="00EF2D65">
          <w:rPr>
            <w:rStyle w:val="Hipercze"/>
            <w:rFonts w:cstheme="minorHAnsi"/>
            <w:noProof/>
          </w:rPr>
          <w:t>I.</w:t>
        </w:r>
        <w:r w:rsidR="006A408D">
          <w:rPr>
            <w:rFonts w:asciiTheme="minorHAnsi" w:eastAsiaTheme="minorEastAsia" w:hAnsiTheme="minorHAnsi" w:cstheme="minorBidi"/>
            <w:b w:val="0"/>
            <w:bCs w:val="0"/>
            <w:noProof/>
            <w:color w:val="auto"/>
            <w:kern w:val="2"/>
            <w:sz w:val="24"/>
            <w:szCs w:val="24"/>
            <w14:ligatures w14:val="standardContextual"/>
          </w:rPr>
          <w:tab/>
        </w:r>
        <w:r w:rsidR="006A408D" w:rsidRPr="00EF2D65">
          <w:rPr>
            <w:rStyle w:val="Hipercze"/>
            <w:rFonts w:cstheme="minorHAnsi"/>
            <w:noProof/>
          </w:rPr>
          <w:t>KORZYSTANIE Z SYSTEMU ELEKTROENERGETYCZNEGO</w:t>
        </w:r>
        <w:r w:rsidR="006A408D">
          <w:rPr>
            <w:noProof/>
            <w:webHidden/>
          </w:rPr>
          <w:tab/>
        </w:r>
        <w:r w:rsidR="006A408D">
          <w:rPr>
            <w:noProof/>
            <w:webHidden/>
          </w:rPr>
          <w:fldChar w:fldCharType="begin"/>
        </w:r>
        <w:r w:rsidR="006A408D">
          <w:rPr>
            <w:noProof/>
            <w:webHidden/>
          </w:rPr>
          <w:instrText xml:space="preserve"> PAGEREF _Toc239333303 \h </w:instrText>
        </w:r>
        <w:r w:rsidR="006A408D">
          <w:rPr>
            <w:noProof/>
            <w:webHidden/>
          </w:rPr>
        </w:r>
        <w:r w:rsidR="006A408D">
          <w:rPr>
            <w:noProof/>
            <w:webHidden/>
          </w:rPr>
          <w:fldChar w:fldCharType="separate"/>
        </w:r>
        <w:r w:rsidR="006A408D">
          <w:rPr>
            <w:noProof/>
            <w:webHidden/>
          </w:rPr>
          <w:t>10</w:t>
        </w:r>
        <w:r w:rsidR="006A408D">
          <w:rPr>
            <w:noProof/>
            <w:webHidden/>
          </w:rPr>
          <w:fldChar w:fldCharType="end"/>
        </w:r>
      </w:hyperlink>
    </w:p>
    <w:p w14:paraId="694F4811" w14:textId="66D12C0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04" w:history="1">
        <w:r w:rsidRPr="00EF2D65">
          <w:rPr>
            <w:rStyle w:val="Hipercze"/>
            <w:rFonts w:cstheme="minorHAnsi"/>
            <w:noProof/>
          </w:rPr>
          <w:t>I.1.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POSTANOWIENIA OGÓLNE</w:t>
        </w:r>
        <w:r>
          <w:rPr>
            <w:noProof/>
            <w:webHidden/>
          </w:rPr>
          <w:tab/>
        </w:r>
        <w:r>
          <w:rPr>
            <w:noProof/>
            <w:webHidden/>
          </w:rPr>
          <w:fldChar w:fldCharType="begin"/>
        </w:r>
        <w:r>
          <w:rPr>
            <w:noProof/>
            <w:webHidden/>
          </w:rPr>
          <w:instrText xml:space="preserve"> PAGEREF _Toc239333304 \h </w:instrText>
        </w:r>
        <w:r>
          <w:rPr>
            <w:noProof/>
            <w:webHidden/>
          </w:rPr>
        </w:r>
        <w:r>
          <w:rPr>
            <w:noProof/>
            <w:webHidden/>
          </w:rPr>
          <w:fldChar w:fldCharType="separate"/>
        </w:r>
        <w:r>
          <w:rPr>
            <w:noProof/>
            <w:webHidden/>
          </w:rPr>
          <w:t>10</w:t>
        </w:r>
        <w:r>
          <w:rPr>
            <w:noProof/>
            <w:webHidden/>
          </w:rPr>
          <w:fldChar w:fldCharType="end"/>
        </w:r>
      </w:hyperlink>
    </w:p>
    <w:p w14:paraId="218CAADD" w14:textId="0965D59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05" w:history="1">
        <w:r w:rsidRPr="00EF2D65">
          <w:rPr>
            <w:rStyle w:val="Hipercze"/>
            <w:rFonts w:cstheme="minorHAnsi"/>
            <w:bCs/>
            <w:noProof/>
          </w:rPr>
          <w:t>I.2.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CHARAKTERYSTYKA KORZYSTANIA Z SIECI DYSTRYBUCYJNEJ</w:t>
        </w:r>
        <w:r>
          <w:rPr>
            <w:noProof/>
            <w:webHidden/>
          </w:rPr>
          <w:tab/>
        </w:r>
        <w:r>
          <w:rPr>
            <w:noProof/>
            <w:webHidden/>
          </w:rPr>
          <w:fldChar w:fldCharType="begin"/>
        </w:r>
        <w:r>
          <w:rPr>
            <w:noProof/>
            <w:webHidden/>
          </w:rPr>
          <w:instrText xml:space="preserve"> PAGEREF _Toc239333305 \h </w:instrText>
        </w:r>
        <w:r>
          <w:rPr>
            <w:noProof/>
            <w:webHidden/>
          </w:rPr>
        </w:r>
        <w:r>
          <w:rPr>
            <w:noProof/>
            <w:webHidden/>
          </w:rPr>
          <w:fldChar w:fldCharType="separate"/>
        </w:r>
        <w:r>
          <w:rPr>
            <w:noProof/>
            <w:webHidden/>
          </w:rPr>
          <w:t>16</w:t>
        </w:r>
        <w:r>
          <w:rPr>
            <w:noProof/>
            <w:webHidden/>
          </w:rPr>
          <w:fldChar w:fldCharType="end"/>
        </w:r>
      </w:hyperlink>
    </w:p>
    <w:p w14:paraId="2C83AF56" w14:textId="4E8B96C2"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06" w:history="1">
        <w:r w:rsidRPr="00EF2D65">
          <w:rPr>
            <w:rStyle w:val="Hipercze"/>
            <w:rFonts w:cstheme="minorHAnsi"/>
            <w:bCs/>
            <w:noProof/>
          </w:rPr>
          <w:t>I.3.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CHARAKTERYSTYKA, ZAKRES ORAZ WARUNKI FORMALNOPRAWNE USŁUG DYSTRYBUCJI ŚWIADCZONYCH PRZEZ ACPRO</w:t>
        </w:r>
        <w:r>
          <w:rPr>
            <w:noProof/>
            <w:webHidden/>
          </w:rPr>
          <w:tab/>
        </w:r>
        <w:r>
          <w:rPr>
            <w:noProof/>
            <w:webHidden/>
          </w:rPr>
          <w:fldChar w:fldCharType="begin"/>
        </w:r>
        <w:r>
          <w:rPr>
            <w:noProof/>
            <w:webHidden/>
          </w:rPr>
          <w:instrText xml:space="preserve"> PAGEREF _Toc239333306 \h </w:instrText>
        </w:r>
        <w:r>
          <w:rPr>
            <w:noProof/>
            <w:webHidden/>
          </w:rPr>
        </w:r>
        <w:r>
          <w:rPr>
            <w:noProof/>
            <w:webHidden/>
          </w:rPr>
          <w:fldChar w:fldCharType="separate"/>
        </w:r>
        <w:r>
          <w:rPr>
            <w:noProof/>
            <w:webHidden/>
          </w:rPr>
          <w:t>17</w:t>
        </w:r>
        <w:r>
          <w:rPr>
            <w:noProof/>
            <w:webHidden/>
          </w:rPr>
          <w:fldChar w:fldCharType="end"/>
        </w:r>
      </w:hyperlink>
    </w:p>
    <w:p w14:paraId="52EA41EB" w14:textId="5820CB0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07" w:history="1">
        <w:r w:rsidRPr="00EF2D65">
          <w:rPr>
            <w:rStyle w:val="Hipercze"/>
            <w:rFonts w:cstheme="minorHAnsi"/>
            <w:bCs/>
            <w:noProof/>
          </w:rPr>
          <w:t>I.4.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OGÓLNE STANDARDY JAKOŚCIOWE OBSŁUGI UŻYTKOWNIKÓW SYSTEMU DYSTRYBUCYJNEGO</w:t>
        </w:r>
        <w:r>
          <w:rPr>
            <w:noProof/>
            <w:webHidden/>
          </w:rPr>
          <w:tab/>
        </w:r>
        <w:r>
          <w:rPr>
            <w:noProof/>
            <w:webHidden/>
          </w:rPr>
          <w:fldChar w:fldCharType="begin"/>
        </w:r>
        <w:r>
          <w:rPr>
            <w:noProof/>
            <w:webHidden/>
          </w:rPr>
          <w:instrText xml:space="preserve"> PAGEREF _Toc239333307 \h </w:instrText>
        </w:r>
        <w:r>
          <w:rPr>
            <w:noProof/>
            <w:webHidden/>
          </w:rPr>
        </w:r>
        <w:r>
          <w:rPr>
            <w:noProof/>
            <w:webHidden/>
          </w:rPr>
          <w:fldChar w:fldCharType="separate"/>
        </w:r>
        <w:r>
          <w:rPr>
            <w:noProof/>
            <w:webHidden/>
          </w:rPr>
          <w:t>19</w:t>
        </w:r>
        <w:r>
          <w:rPr>
            <w:noProof/>
            <w:webHidden/>
          </w:rPr>
          <w:fldChar w:fldCharType="end"/>
        </w:r>
      </w:hyperlink>
    </w:p>
    <w:p w14:paraId="7FEFBFBD" w14:textId="0D973624"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08" w:history="1">
        <w:r w:rsidRPr="00EF2D65">
          <w:rPr>
            <w:rStyle w:val="Hipercze"/>
            <w:rFonts w:cstheme="minorHAnsi"/>
            <w:bCs/>
            <w:noProof/>
          </w:rPr>
          <w:t>I.5.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REJESTR MAGAZYNÓW ENERGII ELEKTRYCZNEJ</w:t>
        </w:r>
        <w:r>
          <w:rPr>
            <w:noProof/>
            <w:webHidden/>
          </w:rPr>
          <w:tab/>
        </w:r>
        <w:r>
          <w:rPr>
            <w:noProof/>
            <w:webHidden/>
          </w:rPr>
          <w:fldChar w:fldCharType="begin"/>
        </w:r>
        <w:r>
          <w:rPr>
            <w:noProof/>
            <w:webHidden/>
          </w:rPr>
          <w:instrText xml:space="preserve"> PAGEREF _Toc239333308 \h </w:instrText>
        </w:r>
        <w:r>
          <w:rPr>
            <w:noProof/>
            <w:webHidden/>
          </w:rPr>
        </w:r>
        <w:r>
          <w:rPr>
            <w:noProof/>
            <w:webHidden/>
          </w:rPr>
          <w:fldChar w:fldCharType="separate"/>
        </w:r>
        <w:r>
          <w:rPr>
            <w:noProof/>
            <w:webHidden/>
          </w:rPr>
          <w:t>20</w:t>
        </w:r>
        <w:r>
          <w:rPr>
            <w:noProof/>
            <w:webHidden/>
          </w:rPr>
          <w:fldChar w:fldCharType="end"/>
        </w:r>
      </w:hyperlink>
    </w:p>
    <w:p w14:paraId="2B9BC107" w14:textId="3777C74C"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09" w:history="1">
        <w:r w:rsidRPr="00EF2D65">
          <w:rPr>
            <w:rStyle w:val="Hipercze"/>
            <w:rFonts w:cstheme="minorHAnsi"/>
            <w:noProof/>
          </w:rPr>
          <w:t>II.</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PRZYŁĄCZANIE ORAZ PLANOWANIE ROZWOJU SIECI DYSTRYBUCYJNEJ ACPRO</w:t>
        </w:r>
        <w:r>
          <w:rPr>
            <w:noProof/>
            <w:webHidden/>
          </w:rPr>
          <w:tab/>
        </w:r>
        <w:r>
          <w:rPr>
            <w:noProof/>
            <w:webHidden/>
          </w:rPr>
          <w:fldChar w:fldCharType="begin"/>
        </w:r>
        <w:r>
          <w:rPr>
            <w:noProof/>
            <w:webHidden/>
          </w:rPr>
          <w:instrText xml:space="preserve"> PAGEREF _Toc239333309 \h </w:instrText>
        </w:r>
        <w:r>
          <w:rPr>
            <w:noProof/>
            <w:webHidden/>
          </w:rPr>
        </w:r>
        <w:r>
          <w:rPr>
            <w:noProof/>
            <w:webHidden/>
          </w:rPr>
          <w:fldChar w:fldCharType="separate"/>
        </w:r>
        <w:r>
          <w:rPr>
            <w:noProof/>
            <w:webHidden/>
          </w:rPr>
          <w:t>21</w:t>
        </w:r>
        <w:r>
          <w:rPr>
            <w:noProof/>
            <w:webHidden/>
          </w:rPr>
          <w:fldChar w:fldCharType="end"/>
        </w:r>
      </w:hyperlink>
    </w:p>
    <w:p w14:paraId="1148FDB1" w14:textId="7BFCA2F8"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0" w:history="1">
        <w:r w:rsidRPr="00EF2D65">
          <w:rPr>
            <w:rStyle w:val="Hipercze"/>
            <w:rFonts w:cstheme="minorHAnsi"/>
            <w:bCs/>
            <w:noProof/>
          </w:rPr>
          <w:t>II.1.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PRZYŁĄCZANIA</w:t>
        </w:r>
        <w:r>
          <w:rPr>
            <w:noProof/>
            <w:webHidden/>
          </w:rPr>
          <w:tab/>
        </w:r>
        <w:r>
          <w:rPr>
            <w:noProof/>
            <w:webHidden/>
          </w:rPr>
          <w:fldChar w:fldCharType="begin"/>
        </w:r>
        <w:r>
          <w:rPr>
            <w:noProof/>
            <w:webHidden/>
          </w:rPr>
          <w:instrText xml:space="preserve"> PAGEREF _Toc239333310 \h </w:instrText>
        </w:r>
        <w:r>
          <w:rPr>
            <w:noProof/>
            <w:webHidden/>
          </w:rPr>
        </w:r>
        <w:r>
          <w:rPr>
            <w:noProof/>
            <w:webHidden/>
          </w:rPr>
          <w:fldChar w:fldCharType="separate"/>
        </w:r>
        <w:r>
          <w:rPr>
            <w:noProof/>
            <w:webHidden/>
          </w:rPr>
          <w:t>21</w:t>
        </w:r>
        <w:r>
          <w:rPr>
            <w:noProof/>
            <w:webHidden/>
          </w:rPr>
          <w:fldChar w:fldCharType="end"/>
        </w:r>
      </w:hyperlink>
    </w:p>
    <w:p w14:paraId="3839221A" w14:textId="285D768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1" w:history="1">
        <w:r w:rsidRPr="00EF2D65">
          <w:rPr>
            <w:rStyle w:val="Hipercze"/>
            <w:rFonts w:cstheme="minorHAnsi"/>
            <w:bCs/>
            <w:noProof/>
          </w:rPr>
          <w:t>II.2.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WZAJEMNEGO POŁĄCZENIA SIECI DYSTRYBUCYJNYCH RÓŻNYCH OPERATORÓW SYSTEMÓW DYSTRYBUCYJNYCH</w:t>
        </w:r>
        <w:r>
          <w:rPr>
            <w:noProof/>
            <w:webHidden/>
          </w:rPr>
          <w:tab/>
        </w:r>
        <w:r>
          <w:rPr>
            <w:noProof/>
            <w:webHidden/>
          </w:rPr>
          <w:fldChar w:fldCharType="begin"/>
        </w:r>
        <w:r>
          <w:rPr>
            <w:noProof/>
            <w:webHidden/>
          </w:rPr>
          <w:instrText xml:space="preserve"> PAGEREF _Toc239333311 \h </w:instrText>
        </w:r>
        <w:r>
          <w:rPr>
            <w:noProof/>
            <w:webHidden/>
          </w:rPr>
        </w:r>
        <w:r>
          <w:rPr>
            <w:noProof/>
            <w:webHidden/>
          </w:rPr>
          <w:fldChar w:fldCharType="separate"/>
        </w:r>
        <w:r>
          <w:rPr>
            <w:noProof/>
            <w:webHidden/>
          </w:rPr>
          <w:t>34</w:t>
        </w:r>
        <w:r>
          <w:rPr>
            <w:noProof/>
            <w:webHidden/>
          </w:rPr>
          <w:fldChar w:fldCharType="end"/>
        </w:r>
      </w:hyperlink>
    </w:p>
    <w:p w14:paraId="02DE1F22" w14:textId="3824264B"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2" w:history="1">
        <w:r w:rsidRPr="00EF2D65">
          <w:rPr>
            <w:rStyle w:val="Hipercze"/>
            <w:rFonts w:cstheme="minorHAnsi"/>
            <w:bCs/>
            <w:noProof/>
          </w:rPr>
          <w:t>II.3.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ODŁĄCZANIA, WSTRZYMYWANIA ORAZ WZNOWIENIA DOSTARCZANIA ENERGII ELEKTRYCZNEJ</w:t>
        </w:r>
        <w:r>
          <w:rPr>
            <w:noProof/>
            <w:webHidden/>
          </w:rPr>
          <w:tab/>
        </w:r>
        <w:r>
          <w:rPr>
            <w:noProof/>
            <w:webHidden/>
          </w:rPr>
          <w:fldChar w:fldCharType="begin"/>
        </w:r>
        <w:r>
          <w:rPr>
            <w:noProof/>
            <w:webHidden/>
          </w:rPr>
          <w:instrText xml:space="preserve"> PAGEREF _Toc239333312 \h </w:instrText>
        </w:r>
        <w:r>
          <w:rPr>
            <w:noProof/>
            <w:webHidden/>
          </w:rPr>
        </w:r>
        <w:r>
          <w:rPr>
            <w:noProof/>
            <w:webHidden/>
          </w:rPr>
          <w:fldChar w:fldCharType="separate"/>
        </w:r>
        <w:r>
          <w:rPr>
            <w:noProof/>
            <w:webHidden/>
          </w:rPr>
          <w:t>36</w:t>
        </w:r>
        <w:r>
          <w:rPr>
            <w:noProof/>
            <w:webHidden/>
          </w:rPr>
          <w:fldChar w:fldCharType="end"/>
        </w:r>
      </w:hyperlink>
    </w:p>
    <w:p w14:paraId="1E5D0D1B" w14:textId="24B2EE47"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3" w:history="1">
        <w:r w:rsidRPr="00EF2D65">
          <w:rPr>
            <w:rStyle w:val="Hipercze"/>
            <w:rFonts w:cstheme="minorHAnsi"/>
            <w:bCs/>
            <w:noProof/>
          </w:rPr>
          <w:t>II.4.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WYMAGANIA TECHNICZNE DLA JEDNOSTEK WYTWÓRCZYCH, SIECI, URZĄDZEŃ ODBIORCÓW, POŁĄCZEŃ MIĘDZYSTEMOWYCH, LINII BEZPOŚREDNICH ORAZ UKŁADÓW I SYSTEMÓW POMIAROWO-ROZLICZENIOWYCH</w:t>
        </w:r>
        <w:r>
          <w:rPr>
            <w:noProof/>
            <w:webHidden/>
          </w:rPr>
          <w:tab/>
        </w:r>
        <w:r>
          <w:rPr>
            <w:noProof/>
            <w:webHidden/>
          </w:rPr>
          <w:fldChar w:fldCharType="begin"/>
        </w:r>
        <w:r>
          <w:rPr>
            <w:noProof/>
            <w:webHidden/>
          </w:rPr>
          <w:instrText xml:space="preserve"> PAGEREF _Toc239333313 \h </w:instrText>
        </w:r>
        <w:r>
          <w:rPr>
            <w:noProof/>
            <w:webHidden/>
          </w:rPr>
        </w:r>
        <w:r>
          <w:rPr>
            <w:noProof/>
            <w:webHidden/>
          </w:rPr>
          <w:fldChar w:fldCharType="separate"/>
        </w:r>
        <w:r>
          <w:rPr>
            <w:noProof/>
            <w:webHidden/>
          </w:rPr>
          <w:t>38</w:t>
        </w:r>
        <w:r>
          <w:rPr>
            <w:noProof/>
            <w:webHidden/>
          </w:rPr>
          <w:fldChar w:fldCharType="end"/>
        </w:r>
      </w:hyperlink>
    </w:p>
    <w:p w14:paraId="72CC8FA9" w14:textId="6982D5A3"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4" w:history="1">
        <w:r w:rsidRPr="00EF2D65">
          <w:rPr>
            <w:rStyle w:val="Hipercze"/>
            <w:rFonts w:cstheme="minorHAnsi"/>
            <w:bCs/>
            <w:noProof/>
          </w:rPr>
          <w:t>II.5.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DANE PRZEKAZYWANE DO ACPRO PRZEZ PODMIOTY PRZYŁĄCZONE I PRZYŁĄCZANE DO SIECI DYSTRYBUCYJNEJ</w:t>
        </w:r>
        <w:r>
          <w:rPr>
            <w:noProof/>
            <w:webHidden/>
          </w:rPr>
          <w:tab/>
        </w:r>
        <w:r>
          <w:rPr>
            <w:noProof/>
            <w:webHidden/>
          </w:rPr>
          <w:fldChar w:fldCharType="begin"/>
        </w:r>
        <w:r>
          <w:rPr>
            <w:noProof/>
            <w:webHidden/>
          </w:rPr>
          <w:instrText xml:space="preserve"> PAGEREF _Toc239333314 \h </w:instrText>
        </w:r>
        <w:r>
          <w:rPr>
            <w:noProof/>
            <w:webHidden/>
          </w:rPr>
        </w:r>
        <w:r>
          <w:rPr>
            <w:noProof/>
            <w:webHidden/>
          </w:rPr>
          <w:fldChar w:fldCharType="separate"/>
        </w:r>
        <w:r>
          <w:rPr>
            <w:noProof/>
            <w:webHidden/>
          </w:rPr>
          <w:t>58</w:t>
        </w:r>
        <w:r>
          <w:rPr>
            <w:noProof/>
            <w:webHidden/>
          </w:rPr>
          <w:fldChar w:fldCharType="end"/>
        </w:r>
      </w:hyperlink>
    </w:p>
    <w:p w14:paraId="2CB048D9" w14:textId="5C2EDAF6"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15" w:history="1">
        <w:r w:rsidRPr="00EF2D65">
          <w:rPr>
            <w:rStyle w:val="Hipercze"/>
            <w:rFonts w:cstheme="minorHAnsi"/>
            <w:noProof/>
          </w:rPr>
          <w:t>III.</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EKSPLOATACJA URZĄDZEŃ, INSTALACJI I SIECI</w:t>
        </w:r>
        <w:r>
          <w:rPr>
            <w:noProof/>
            <w:webHidden/>
          </w:rPr>
          <w:tab/>
        </w:r>
        <w:r>
          <w:rPr>
            <w:noProof/>
            <w:webHidden/>
          </w:rPr>
          <w:fldChar w:fldCharType="begin"/>
        </w:r>
        <w:r>
          <w:rPr>
            <w:noProof/>
            <w:webHidden/>
          </w:rPr>
          <w:instrText xml:space="preserve"> PAGEREF _Toc239333315 \h </w:instrText>
        </w:r>
        <w:r>
          <w:rPr>
            <w:noProof/>
            <w:webHidden/>
          </w:rPr>
        </w:r>
        <w:r>
          <w:rPr>
            <w:noProof/>
            <w:webHidden/>
          </w:rPr>
          <w:fldChar w:fldCharType="separate"/>
        </w:r>
        <w:r>
          <w:rPr>
            <w:noProof/>
            <w:webHidden/>
          </w:rPr>
          <w:t>63</w:t>
        </w:r>
        <w:r>
          <w:rPr>
            <w:noProof/>
            <w:webHidden/>
          </w:rPr>
          <w:fldChar w:fldCharType="end"/>
        </w:r>
      </w:hyperlink>
    </w:p>
    <w:p w14:paraId="01E76974" w14:textId="7C51192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6" w:history="1">
        <w:r w:rsidRPr="00EF2D65">
          <w:rPr>
            <w:rStyle w:val="Hipercze"/>
            <w:rFonts w:cstheme="minorHAnsi"/>
            <w:noProof/>
          </w:rPr>
          <w:t>III.1.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PRZEPISY OGÓLNE</w:t>
        </w:r>
        <w:r>
          <w:rPr>
            <w:noProof/>
            <w:webHidden/>
          </w:rPr>
          <w:tab/>
        </w:r>
        <w:r>
          <w:rPr>
            <w:noProof/>
            <w:webHidden/>
          </w:rPr>
          <w:fldChar w:fldCharType="begin"/>
        </w:r>
        <w:r>
          <w:rPr>
            <w:noProof/>
            <w:webHidden/>
          </w:rPr>
          <w:instrText xml:space="preserve"> PAGEREF _Toc239333316 \h </w:instrText>
        </w:r>
        <w:r>
          <w:rPr>
            <w:noProof/>
            <w:webHidden/>
          </w:rPr>
        </w:r>
        <w:r>
          <w:rPr>
            <w:noProof/>
            <w:webHidden/>
          </w:rPr>
          <w:fldChar w:fldCharType="separate"/>
        </w:r>
        <w:r>
          <w:rPr>
            <w:noProof/>
            <w:webHidden/>
          </w:rPr>
          <w:t>63</w:t>
        </w:r>
        <w:r>
          <w:rPr>
            <w:noProof/>
            <w:webHidden/>
          </w:rPr>
          <w:fldChar w:fldCharType="end"/>
        </w:r>
      </w:hyperlink>
    </w:p>
    <w:p w14:paraId="25C53898" w14:textId="05E7E8D4"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7" w:history="1">
        <w:r w:rsidRPr="00EF2D65">
          <w:rPr>
            <w:rStyle w:val="Hipercze"/>
            <w:rFonts w:cstheme="minorHAnsi"/>
            <w:bCs/>
            <w:noProof/>
          </w:rPr>
          <w:t>III.2.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PRZYJMOWANIE URZĄDZEŃ, INSTALACJI I SIECI DO EKSPLOATACJI</w:t>
        </w:r>
        <w:r>
          <w:rPr>
            <w:noProof/>
            <w:webHidden/>
          </w:rPr>
          <w:tab/>
        </w:r>
        <w:r>
          <w:rPr>
            <w:noProof/>
            <w:webHidden/>
          </w:rPr>
          <w:fldChar w:fldCharType="begin"/>
        </w:r>
        <w:r>
          <w:rPr>
            <w:noProof/>
            <w:webHidden/>
          </w:rPr>
          <w:instrText xml:space="preserve"> PAGEREF _Toc239333317 \h </w:instrText>
        </w:r>
        <w:r>
          <w:rPr>
            <w:noProof/>
            <w:webHidden/>
          </w:rPr>
        </w:r>
        <w:r>
          <w:rPr>
            <w:noProof/>
            <w:webHidden/>
          </w:rPr>
          <w:fldChar w:fldCharType="separate"/>
        </w:r>
        <w:r>
          <w:rPr>
            <w:noProof/>
            <w:webHidden/>
          </w:rPr>
          <w:t>64</w:t>
        </w:r>
        <w:r>
          <w:rPr>
            <w:noProof/>
            <w:webHidden/>
          </w:rPr>
          <w:fldChar w:fldCharType="end"/>
        </w:r>
      </w:hyperlink>
    </w:p>
    <w:p w14:paraId="1A18F491" w14:textId="0776FC4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8" w:history="1">
        <w:r w:rsidRPr="00EF2D65">
          <w:rPr>
            <w:rStyle w:val="Hipercze"/>
            <w:rFonts w:cstheme="minorHAnsi"/>
            <w:bCs/>
            <w:noProof/>
          </w:rPr>
          <w:t>III.3.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PRZEKAZANIE URZĄDZEŃ DO REMONTU, PRZEBUDOWY LUB WYCOFYWANIE Z EKSPLOATACJI</w:t>
        </w:r>
        <w:r>
          <w:rPr>
            <w:noProof/>
            <w:webHidden/>
          </w:rPr>
          <w:tab/>
        </w:r>
        <w:r>
          <w:rPr>
            <w:noProof/>
            <w:webHidden/>
          </w:rPr>
          <w:fldChar w:fldCharType="begin"/>
        </w:r>
        <w:r>
          <w:rPr>
            <w:noProof/>
            <w:webHidden/>
          </w:rPr>
          <w:instrText xml:space="preserve"> PAGEREF _Toc239333318 \h </w:instrText>
        </w:r>
        <w:r>
          <w:rPr>
            <w:noProof/>
            <w:webHidden/>
          </w:rPr>
        </w:r>
        <w:r>
          <w:rPr>
            <w:noProof/>
            <w:webHidden/>
          </w:rPr>
          <w:fldChar w:fldCharType="separate"/>
        </w:r>
        <w:r>
          <w:rPr>
            <w:noProof/>
            <w:webHidden/>
          </w:rPr>
          <w:t>66</w:t>
        </w:r>
        <w:r>
          <w:rPr>
            <w:noProof/>
            <w:webHidden/>
          </w:rPr>
          <w:fldChar w:fldCharType="end"/>
        </w:r>
      </w:hyperlink>
    </w:p>
    <w:p w14:paraId="4A6B24E2" w14:textId="4310825B"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19" w:history="1">
        <w:r w:rsidRPr="00EF2D65">
          <w:rPr>
            <w:rStyle w:val="Hipercze"/>
            <w:rFonts w:cstheme="minorHAnsi"/>
            <w:bCs/>
            <w:noProof/>
          </w:rPr>
          <w:t>III.4.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UZGADNIANIE PRAC EKSPLOATACYJNYCH Z OPERATOREM SYSTEMU PRZESYŁOWEGO I OPERATORAMI SYSTEMÓW DYSTRYBUCYJNYCH</w:t>
        </w:r>
        <w:r>
          <w:rPr>
            <w:noProof/>
            <w:webHidden/>
          </w:rPr>
          <w:tab/>
        </w:r>
        <w:r>
          <w:rPr>
            <w:noProof/>
            <w:webHidden/>
          </w:rPr>
          <w:fldChar w:fldCharType="begin"/>
        </w:r>
        <w:r>
          <w:rPr>
            <w:noProof/>
            <w:webHidden/>
          </w:rPr>
          <w:instrText xml:space="preserve"> PAGEREF _Toc239333319 \h </w:instrText>
        </w:r>
        <w:r>
          <w:rPr>
            <w:noProof/>
            <w:webHidden/>
          </w:rPr>
        </w:r>
        <w:r>
          <w:rPr>
            <w:noProof/>
            <w:webHidden/>
          </w:rPr>
          <w:fldChar w:fldCharType="separate"/>
        </w:r>
        <w:r>
          <w:rPr>
            <w:noProof/>
            <w:webHidden/>
          </w:rPr>
          <w:t>66</w:t>
        </w:r>
        <w:r>
          <w:rPr>
            <w:noProof/>
            <w:webHidden/>
          </w:rPr>
          <w:fldChar w:fldCharType="end"/>
        </w:r>
      </w:hyperlink>
    </w:p>
    <w:p w14:paraId="0B72D383" w14:textId="395159C7"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0" w:history="1">
        <w:r w:rsidRPr="00EF2D65">
          <w:rPr>
            <w:rStyle w:val="Hipercze"/>
            <w:rFonts w:cstheme="minorHAnsi"/>
            <w:bCs/>
            <w:noProof/>
          </w:rPr>
          <w:t>III.5.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DOKUMENTACJA TECHNICZNA I PRAWNA</w:t>
        </w:r>
        <w:r>
          <w:rPr>
            <w:noProof/>
            <w:webHidden/>
          </w:rPr>
          <w:tab/>
        </w:r>
        <w:r>
          <w:rPr>
            <w:noProof/>
            <w:webHidden/>
          </w:rPr>
          <w:fldChar w:fldCharType="begin"/>
        </w:r>
        <w:r>
          <w:rPr>
            <w:noProof/>
            <w:webHidden/>
          </w:rPr>
          <w:instrText xml:space="preserve"> PAGEREF _Toc239333320 \h </w:instrText>
        </w:r>
        <w:r>
          <w:rPr>
            <w:noProof/>
            <w:webHidden/>
          </w:rPr>
        </w:r>
        <w:r>
          <w:rPr>
            <w:noProof/>
            <w:webHidden/>
          </w:rPr>
          <w:fldChar w:fldCharType="separate"/>
        </w:r>
        <w:r>
          <w:rPr>
            <w:noProof/>
            <w:webHidden/>
          </w:rPr>
          <w:t>67</w:t>
        </w:r>
        <w:r>
          <w:rPr>
            <w:noProof/>
            <w:webHidden/>
          </w:rPr>
          <w:fldChar w:fldCharType="end"/>
        </w:r>
      </w:hyperlink>
    </w:p>
    <w:p w14:paraId="4F290129" w14:textId="44A5D2E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1" w:history="1">
        <w:r w:rsidRPr="00EF2D65">
          <w:rPr>
            <w:rStyle w:val="Hipercze"/>
            <w:rFonts w:cstheme="minorHAnsi"/>
            <w:bCs/>
            <w:noProof/>
          </w:rPr>
          <w:t>III.6.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REZERWA URZĄDZEŃ I CZĘŚCI ZAPASOWYCH</w:t>
        </w:r>
        <w:r>
          <w:rPr>
            <w:noProof/>
            <w:webHidden/>
          </w:rPr>
          <w:tab/>
        </w:r>
        <w:r>
          <w:rPr>
            <w:noProof/>
            <w:webHidden/>
          </w:rPr>
          <w:fldChar w:fldCharType="begin"/>
        </w:r>
        <w:r>
          <w:rPr>
            <w:noProof/>
            <w:webHidden/>
          </w:rPr>
          <w:instrText xml:space="preserve"> PAGEREF _Toc239333321 \h </w:instrText>
        </w:r>
        <w:r>
          <w:rPr>
            <w:noProof/>
            <w:webHidden/>
          </w:rPr>
        </w:r>
        <w:r>
          <w:rPr>
            <w:noProof/>
            <w:webHidden/>
          </w:rPr>
          <w:fldChar w:fldCharType="separate"/>
        </w:r>
        <w:r>
          <w:rPr>
            <w:noProof/>
            <w:webHidden/>
          </w:rPr>
          <w:t>68</w:t>
        </w:r>
        <w:r>
          <w:rPr>
            <w:noProof/>
            <w:webHidden/>
          </w:rPr>
          <w:fldChar w:fldCharType="end"/>
        </w:r>
      </w:hyperlink>
    </w:p>
    <w:p w14:paraId="731E610D" w14:textId="234F0A13"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2" w:history="1">
        <w:r w:rsidRPr="00EF2D65">
          <w:rPr>
            <w:rStyle w:val="Hipercze"/>
            <w:rFonts w:cstheme="minorHAnsi"/>
            <w:bCs/>
            <w:noProof/>
          </w:rPr>
          <w:t>III.7.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WYMIANA INFORMACJI EKSPLOATACYJNYCH</w:t>
        </w:r>
        <w:r>
          <w:rPr>
            <w:noProof/>
            <w:webHidden/>
          </w:rPr>
          <w:tab/>
        </w:r>
        <w:r>
          <w:rPr>
            <w:noProof/>
            <w:webHidden/>
          </w:rPr>
          <w:fldChar w:fldCharType="begin"/>
        </w:r>
        <w:r>
          <w:rPr>
            <w:noProof/>
            <w:webHidden/>
          </w:rPr>
          <w:instrText xml:space="preserve"> PAGEREF _Toc239333322 \h </w:instrText>
        </w:r>
        <w:r>
          <w:rPr>
            <w:noProof/>
            <w:webHidden/>
          </w:rPr>
        </w:r>
        <w:r>
          <w:rPr>
            <w:noProof/>
            <w:webHidden/>
          </w:rPr>
          <w:fldChar w:fldCharType="separate"/>
        </w:r>
        <w:r>
          <w:rPr>
            <w:noProof/>
            <w:webHidden/>
          </w:rPr>
          <w:t>68</w:t>
        </w:r>
        <w:r>
          <w:rPr>
            <w:noProof/>
            <w:webHidden/>
          </w:rPr>
          <w:fldChar w:fldCharType="end"/>
        </w:r>
      </w:hyperlink>
    </w:p>
    <w:p w14:paraId="6F7E23C9" w14:textId="4CF9375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3" w:history="1">
        <w:r w:rsidRPr="00EF2D65">
          <w:rPr>
            <w:rStyle w:val="Hipercze"/>
            <w:rFonts w:cstheme="minorHAnsi"/>
            <w:bCs/>
            <w:noProof/>
          </w:rPr>
          <w:t>III.8.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OCHRONA ŚRODOWISKA NATURALNEGO</w:t>
        </w:r>
        <w:r>
          <w:rPr>
            <w:noProof/>
            <w:webHidden/>
          </w:rPr>
          <w:tab/>
        </w:r>
        <w:r>
          <w:rPr>
            <w:noProof/>
            <w:webHidden/>
          </w:rPr>
          <w:fldChar w:fldCharType="begin"/>
        </w:r>
        <w:r>
          <w:rPr>
            <w:noProof/>
            <w:webHidden/>
          </w:rPr>
          <w:instrText xml:space="preserve"> PAGEREF _Toc239333323 \h </w:instrText>
        </w:r>
        <w:r>
          <w:rPr>
            <w:noProof/>
            <w:webHidden/>
          </w:rPr>
        </w:r>
        <w:r>
          <w:rPr>
            <w:noProof/>
            <w:webHidden/>
          </w:rPr>
          <w:fldChar w:fldCharType="separate"/>
        </w:r>
        <w:r>
          <w:rPr>
            <w:noProof/>
            <w:webHidden/>
          </w:rPr>
          <w:t>69</w:t>
        </w:r>
        <w:r>
          <w:rPr>
            <w:noProof/>
            <w:webHidden/>
          </w:rPr>
          <w:fldChar w:fldCharType="end"/>
        </w:r>
      </w:hyperlink>
    </w:p>
    <w:p w14:paraId="552FBDCB" w14:textId="5F4E55B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4" w:history="1">
        <w:r w:rsidRPr="00EF2D65">
          <w:rPr>
            <w:rStyle w:val="Hipercze"/>
            <w:rFonts w:cstheme="minorHAnsi"/>
            <w:bCs/>
            <w:noProof/>
          </w:rPr>
          <w:t>III.9.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OCHRONA PRZECIWPOŻAROWA</w:t>
        </w:r>
        <w:r>
          <w:rPr>
            <w:noProof/>
            <w:webHidden/>
          </w:rPr>
          <w:tab/>
        </w:r>
        <w:r>
          <w:rPr>
            <w:noProof/>
            <w:webHidden/>
          </w:rPr>
          <w:fldChar w:fldCharType="begin"/>
        </w:r>
        <w:r>
          <w:rPr>
            <w:noProof/>
            <w:webHidden/>
          </w:rPr>
          <w:instrText xml:space="preserve"> PAGEREF _Toc239333324 \h </w:instrText>
        </w:r>
        <w:r>
          <w:rPr>
            <w:noProof/>
            <w:webHidden/>
          </w:rPr>
        </w:r>
        <w:r>
          <w:rPr>
            <w:noProof/>
            <w:webHidden/>
          </w:rPr>
          <w:fldChar w:fldCharType="separate"/>
        </w:r>
        <w:r>
          <w:rPr>
            <w:noProof/>
            <w:webHidden/>
          </w:rPr>
          <w:t>69</w:t>
        </w:r>
        <w:r>
          <w:rPr>
            <w:noProof/>
            <w:webHidden/>
          </w:rPr>
          <w:fldChar w:fldCharType="end"/>
        </w:r>
      </w:hyperlink>
    </w:p>
    <w:p w14:paraId="2391049E" w14:textId="17606E2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5" w:history="1">
        <w:r w:rsidRPr="00EF2D65">
          <w:rPr>
            <w:rStyle w:val="Hipercze"/>
            <w:rFonts w:cstheme="minorHAnsi"/>
            <w:bCs/>
            <w:noProof/>
          </w:rPr>
          <w:t>III.10.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PLANOWANIE PRAC EKSPLOATACYJNYCH</w:t>
        </w:r>
        <w:r>
          <w:rPr>
            <w:noProof/>
            <w:webHidden/>
          </w:rPr>
          <w:tab/>
        </w:r>
        <w:r>
          <w:rPr>
            <w:noProof/>
            <w:webHidden/>
          </w:rPr>
          <w:fldChar w:fldCharType="begin"/>
        </w:r>
        <w:r>
          <w:rPr>
            <w:noProof/>
            <w:webHidden/>
          </w:rPr>
          <w:instrText xml:space="preserve"> PAGEREF _Toc239333325 \h </w:instrText>
        </w:r>
        <w:r>
          <w:rPr>
            <w:noProof/>
            <w:webHidden/>
          </w:rPr>
        </w:r>
        <w:r>
          <w:rPr>
            <w:noProof/>
            <w:webHidden/>
          </w:rPr>
          <w:fldChar w:fldCharType="separate"/>
        </w:r>
        <w:r>
          <w:rPr>
            <w:noProof/>
            <w:webHidden/>
          </w:rPr>
          <w:t>69</w:t>
        </w:r>
        <w:r>
          <w:rPr>
            <w:noProof/>
            <w:webHidden/>
          </w:rPr>
          <w:fldChar w:fldCharType="end"/>
        </w:r>
      </w:hyperlink>
    </w:p>
    <w:p w14:paraId="0D6ADC25" w14:textId="716D8124"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6" w:history="1">
        <w:r w:rsidRPr="00EF2D65">
          <w:rPr>
            <w:rStyle w:val="Hipercze"/>
            <w:rFonts w:cstheme="minorHAnsi"/>
            <w:bCs/>
            <w:noProof/>
          </w:rPr>
          <w:t>III.11.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WARUNKI BEZPIECZNEGO WYKONYWANIA PRAC</w:t>
        </w:r>
        <w:r>
          <w:rPr>
            <w:noProof/>
            <w:webHidden/>
          </w:rPr>
          <w:tab/>
        </w:r>
        <w:r>
          <w:rPr>
            <w:noProof/>
            <w:webHidden/>
          </w:rPr>
          <w:fldChar w:fldCharType="begin"/>
        </w:r>
        <w:r>
          <w:rPr>
            <w:noProof/>
            <w:webHidden/>
          </w:rPr>
          <w:instrText xml:space="preserve"> PAGEREF _Toc239333326 \h </w:instrText>
        </w:r>
        <w:r>
          <w:rPr>
            <w:noProof/>
            <w:webHidden/>
          </w:rPr>
        </w:r>
        <w:r>
          <w:rPr>
            <w:noProof/>
            <w:webHidden/>
          </w:rPr>
          <w:fldChar w:fldCharType="separate"/>
        </w:r>
        <w:r>
          <w:rPr>
            <w:noProof/>
            <w:webHidden/>
          </w:rPr>
          <w:t>70</w:t>
        </w:r>
        <w:r>
          <w:rPr>
            <w:noProof/>
            <w:webHidden/>
          </w:rPr>
          <w:fldChar w:fldCharType="end"/>
        </w:r>
      </w:hyperlink>
    </w:p>
    <w:p w14:paraId="578C3A80" w14:textId="50F60199"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27" w:history="1">
        <w:r w:rsidRPr="00EF2D65">
          <w:rPr>
            <w:rStyle w:val="Hipercze"/>
            <w:rFonts w:cstheme="minorHAnsi"/>
            <w:noProof/>
          </w:rPr>
          <w:t>IV.</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BEZPIECZEŃSTWO FUNKCJONOWANIA SYSTEMU  ELEKTROENERGETYCZNEGO</w:t>
        </w:r>
        <w:r>
          <w:rPr>
            <w:noProof/>
            <w:webHidden/>
          </w:rPr>
          <w:tab/>
        </w:r>
        <w:r>
          <w:rPr>
            <w:noProof/>
            <w:webHidden/>
          </w:rPr>
          <w:fldChar w:fldCharType="begin"/>
        </w:r>
        <w:r>
          <w:rPr>
            <w:noProof/>
            <w:webHidden/>
          </w:rPr>
          <w:instrText xml:space="preserve"> PAGEREF _Toc239333327 \h </w:instrText>
        </w:r>
        <w:r>
          <w:rPr>
            <w:noProof/>
            <w:webHidden/>
          </w:rPr>
        </w:r>
        <w:r>
          <w:rPr>
            <w:noProof/>
            <w:webHidden/>
          </w:rPr>
          <w:fldChar w:fldCharType="separate"/>
        </w:r>
        <w:r>
          <w:rPr>
            <w:noProof/>
            <w:webHidden/>
          </w:rPr>
          <w:t>71</w:t>
        </w:r>
        <w:r>
          <w:rPr>
            <w:noProof/>
            <w:webHidden/>
          </w:rPr>
          <w:fldChar w:fldCharType="end"/>
        </w:r>
      </w:hyperlink>
    </w:p>
    <w:p w14:paraId="39AD3025" w14:textId="342E448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8" w:history="1">
        <w:r w:rsidRPr="00EF2D65">
          <w:rPr>
            <w:rStyle w:val="Hipercze"/>
            <w:rFonts w:cstheme="minorHAnsi"/>
            <w:bCs/>
            <w:noProof/>
          </w:rPr>
          <w:t>IV.1.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BEZPIECZEŃSTWO DOSTAW ENERGII ELEKTRYCZNEJ</w:t>
        </w:r>
        <w:r>
          <w:rPr>
            <w:noProof/>
            <w:webHidden/>
          </w:rPr>
          <w:tab/>
        </w:r>
        <w:r>
          <w:rPr>
            <w:noProof/>
            <w:webHidden/>
          </w:rPr>
          <w:fldChar w:fldCharType="begin"/>
        </w:r>
        <w:r>
          <w:rPr>
            <w:noProof/>
            <w:webHidden/>
          </w:rPr>
          <w:instrText xml:space="preserve"> PAGEREF _Toc239333328 \h </w:instrText>
        </w:r>
        <w:r>
          <w:rPr>
            <w:noProof/>
            <w:webHidden/>
          </w:rPr>
        </w:r>
        <w:r>
          <w:rPr>
            <w:noProof/>
            <w:webHidden/>
          </w:rPr>
          <w:fldChar w:fldCharType="separate"/>
        </w:r>
        <w:r>
          <w:rPr>
            <w:noProof/>
            <w:webHidden/>
          </w:rPr>
          <w:t>71</w:t>
        </w:r>
        <w:r>
          <w:rPr>
            <w:noProof/>
            <w:webHidden/>
          </w:rPr>
          <w:fldChar w:fldCharType="end"/>
        </w:r>
      </w:hyperlink>
    </w:p>
    <w:p w14:paraId="441CC7A5" w14:textId="63DC692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29" w:history="1">
        <w:r w:rsidRPr="00EF2D65">
          <w:rPr>
            <w:rStyle w:val="Hipercze"/>
            <w:rFonts w:cstheme="minorHAnsi"/>
            <w:bCs/>
            <w:noProof/>
          </w:rPr>
          <w:t>IV.2.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BEZPIECZEŃSTWO PRACY SIECI DYSTRYBUCYJNEJ</w:t>
        </w:r>
        <w:r>
          <w:rPr>
            <w:noProof/>
            <w:webHidden/>
          </w:rPr>
          <w:tab/>
        </w:r>
        <w:r>
          <w:rPr>
            <w:noProof/>
            <w:webHidden/>
          </w:rPr>
          <w:fldChar w:fldCharType="begin"/>
        </w:r>
        <w:r>
          <w:rPr>
            <w:noProof/>
            <w:webHidden/>
          </w:rPr>
          <w:instrText xml:space="preserve"> PAGEREF _Toc239333329 \h </w:instrText>
        </w:r>
        <w:r>
          <w:rPr>
            <w:noProof/>
            <w:webHidden/>
          </w:rPr>
        </w:r>
        <w:r>
          <w:rPr>
            <w:noProof/>
            <w:webHidden/>
          </w:rPr>
          <w:fldChar w:fldCharType="separate"/>
        </w:r>
        <w:r>
          <w:rPr>
            <w:noProof/>
            <w:webHidden/>
          </w:rPr>
          <w:t>72</w:t>
        </w:r>
        <w:r>
          <w:rPr>
            <w:noProof/>
            <w:webHidden/>
          </w:rPr>
          <w:fldChar w:fldCharType="end"/>
        </w:r>
      </w:hyperlink>
    </w:p>
    <w:p w14:paraId="1F23D45E" w14:textId="50DA3D2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0" w:history="1">
        <w:r w:rsidRPr="00EF2D65">
          <w:rPr>
            <w:rStyle w:val="Hipercze"/>
            <w:rFonts w:cstheme="minorHAnsi"/>
            <w:bCs/>
            <w:noProof/>
          </w:rPr>
          <w:t>IV.3.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WPROWADZANIE PRZERW ORAZ OGRANICZEŃ W DOSTARCZANIU I POBORZE ENERGII ELEKTRYCZNEJ</w:t>
        </w:r>
        <w:r>
          <w:rPr>
            <w:noProof/>
            <w:webHidden/>
          </w:rPr>
          <w:tab/>
        </w:r>
        <w:r>
          <w:rPr>
            <w:noProof/>
            <w:webHidden/>
          </w:rPr>
          <w:fldChar w:fldCharType="begin"/>
        </w:r>
        <w:r>
          <w:rPr>
            <w:noProof/>
            <w:webHidden/>
          </w:rPr>
          <w:instrText xml:space="preserve"> PAGEREF _Toc239333330 \h </w:instrText>
        </w:r>
        <w:r>
          <w:rPr>
            <w:noProof/>
            <w:webHidden/>
          </w:rPr>
        </w:r>
        <w:r>
          <w:rPr>
            <w:noProof/>
            <w:webHidden/>
          </w:rPr>
          <w:fldChar w:fldCharType="separate"/>
        </w:r>
        <w:r>
          <w:rPr>
            <w:noProof/>
            <w:webHidden/>
          </w:rPr>
          <w:t>72</w:t>
        </w:r>
        <w:r>
          <w:rPr>
            <w:noProof/>
            <w:webHidden/>
          </w:rPr>
          <w:fldChar w:fldCharType="end"/>
        </w:r>
      </w:hyperlink>
    </w:p>
    <w:p w14:paraId="3C96E24E" w14:textId="7DDC12C5"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1" w:history="1">
        <w:r w:rsidRPr="00EF2D65">
          <w:rPr>
            <w:rStyle w:val="Hipercze"/>
            <w:rFonts w:cstheme="minorHAnsi"/>
            <w:bCs/>
            <w:noProof/>
          </w:rPr>
          <w:t>IV.4.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WYMAGANIA DLA UŻYTKOWNIKÓW SYSTEMU W ZAKRESIE BEZPIECZEŃSTWA PRACY SIECI</w:t>
        </w:r>
        <w:r>
          <w:rPr>
            <w:noProof/>
            <w:webHidden/>
          </w:rPr>
          <w:tab/>
        </w:r>
        <w:r>
          <w:rPr>
            <w:noProof/>
            <w:webHidden/>
          </w:rPr>
          <w:fldChar w:fldCharType="begin"/>
        </w:r>
        <w:r>
          <w:rPr>
            <w:noProof/>
            <w:webHidden/>
          </w:rPr>
          <w:instrText xml:space="preserve"> PAGEREF _Toc239333331 \h </w:instrText>
        </w:r>
        <w:r>
          <w:rPr>
            <w:noProof/>
            <w:webHidden/>
          </w:rPr>
        </w:r>
        <w:r>
          <w:rPr>
            <w:noProof/>
            <w:webHidden/>
          </w:rPr>
          <w:fldChar w:fldCharType="separate"/>
        </w:r>
        <w:r>
          <w:rPr>
            <w:noProof/>
            <w:webHidden/>
          </w:rPr>
          <w:t>84</w:t>
        </w:r>
        <w:r>
          <w:rPr>
            <w:noProof/>
            <w:webHidden/>
          </w:rPr>
          <w:fldChar w:fldCharType="end"/>
        </w:r>
      </w:hyperlink>
    </w:p>
    <w:p w14:paraId="0374A11B" w14:textId="00FEDAD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2" w:history="1">
        <w:r w:rsidRPr="00EF2D65">
          <w:rPr>
            <w:rStyle w:val="Hipercze"/>
            <w:rFonts w:cstheme="minorHAnsi"/>
            <w:bCs/>
            <w:noProof/>
          </w:rPr>
          <w:t>IV.5.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REDYSPONOWANIE NIERYNKOWE</w:t>
        </w:r>
        <w:r>
          <w:rPr>
            <w:noProof/>
            <w:webHidden/>
          </w:rPr>
          <w:tab/>
        </w:r>
        <w:r>
          <w:rPr>
            <w:noProof/>
            <w:webHidden/>
          </w:rPr>
          <w:fldChar w:fldCharType="begin"/>
        </w:r>
        <w:r>
          <w:rPr>
            <w:noProof/>
            <w:webHidden/>
          </w:rPr>
          <w:instrText xml:space="preserve"> PAGEREF _Toc239333332 \h </w:instrText>
        </w:r>
        <w:r>
          <w:rPr>
            <w:noProof/>
            <w:webHidden/>
          </w:rPr>
        </w:r>
        <w:r>
          <w:rPr>
            <w:noProof/>
            <w:webHidden/>
          </w:rPr>
          <w:fldChar w:fldCharType="separate"/>
        </w:r>
        <w:r>
          <w:rPr>
            <w:noProof/>
            <w:webHidden/>
          </w:rPr>
          <w:t>86</w:t>
        </w:r>
        <w:r>
          <w:rPr>
            <w:noProof/>
            <w:webHidden/>
          </w:rPr>
          <w:fldChar w:fldCharType="end"/>
        </w:r>
      </w:hyperlink>
    </w:p>
    <w:p w14:paraId="2C554953" w14:textId="67ECA241"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3" w:history="1">
        <w:r w:rsidRPr="00EF2D65">
          <w:rPr>
            <w:rStyle w:val="Hipercze"/>
            <w:rFonts w:cstheme="minorHAnsi"/>
            <w:noProof/>
          </w:rPr>
          <w:t>IV.6.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INTERWENCYJNA DOSTAWA MOCY CZYNNEJ (obowiązuje do dnia 31 grudnia 2027 r.)</w:t>
        </w:r>
        <w:r>
          <w:rPr>
            <w:noProof/>
            <w:webHidden/>
          </w:rPr>
          <w:tab/>
        </w:r>
        <w:r>
          <w:rPr>
            <w:noProof/>
            <w:webHidden/>
          </w:rPr>
          <w:fldChar w:fldCharType="begin"/>
        </w:r>
        <w:r>
          <w:rPr>
            <w:noProof/>
            <w:webHidden/>
          </w:rPr>
          <w:instrText xml:space="preserve"> PAGEREF _Toc239333333 \h </w:instrText>
        </w:r>
        <w:r>
          <w:rPr>
            <w:noProof/>
            <w:webHidden/>
          </w:rPr>
        </w:r>
        <w:r>
          <w:rPr>
            <w:noProof/>
            <w:webHidden/>
          </w:rPr>
          <w:fldChar w:fldCharType="separate"/>
        </w:r>
        <w:r>
          <w:rPr>
            <w:noProof/>
            <w:webHidden/>
          </w:rPr>
          <w:t>88</w:t>
        </w:r>
        <w:r>
          <w:rPr>
            <w:noProof/>
            <w:webHidden/>
          </w:rPr>
          <w:fldChar w:fldCharType="end"/>
        </w:r>
      </w:hyperlink>
    </w:p>
    <w:p w14:paraId="5EEAB7B0" w14:textId="7A7DBA24"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34" w:history="1">
        <w:r w:rsidRPr="00EF2D65">
          <w:rPr>
            <w:rStyle w:val="Hipercze"/>
            <w:rFonts w:cstheme="minorHAnsi"/>
            <w:noProof/>
          </w:rPr>
          <w:t>V.</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WSPÓŁPRACA ACPRO Z INNYMI OPERATORAMI I PRZEKAZYWANIE INFORMACJI POMIĘDZY OPERATORAMI ORAZ OPERATORAMI A UŻYTKOWNIKAMI SYSTEMU</w:t>
        </w:r>
        <w:r>
          <w:rPr>
            <w:noProof/>
            <w:webHidden/>
          </w:rPr>
          <w:tab/>
        </w:r>
        <w:r>
          <w:rPr>
            <w:noProof/>
            <w:webHidden/>
          </w:rPr>
          <w:fldChar w:fldCharType="begin"/>
        </w:r>
        <w:r>
          <w:rPr>
            <w:noProof/>
            <w:webHidden/>
          </w:rPr>
          <w:instrText xml:space="preserve"> PAGEREF _Toc239333334 \h </w:instrText>
        </w:r>
        <w:r>
          <w:rPr>
            <w:noProof/>
            <w:webHidden/>
          </w:rPr>
        </w:r>
        <w:r>
          <w:rPr>
            <w:noProof/>
            <w:webHidden/>
          </w:rPr>
          <w:fldChar w:fldCharType="separate"/>
        </w:r>
        <w:r>
          <w:rPr>
            <w:noProof/>
            <w:webHidden/>
          </w:rPr>
          <w:t>88</w:t>
        </w:r>
        <w:r>
          <w:rPr>
            <w:noProof/>
            <w:webHidden/>
          </w:rPr>
          <w:fldChar w:fldCharType="end"/>
        </w:r>
      </w:hyperlink>
    </w:p>
    <w:p w14:paraId="6D95C02A" w14:textId="700F9F7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5" w:history="1">
        <w:r w:rsidRPr="00EF2D65">
          <w:rPr>
            <w:rStyle w:val="Hipercze"/>
            <w:rFonts w:cstheme="minorHAnsi"/>
            <w:noProof/>
          </w:rPr>
          <w:t>V.1.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współpracuje z następującymi podmiotami:</w:t>
        </w:r>
        <w:r>
          <w:rPr>
            <w:noProof/>
            <w:webHidden/>
          </w:rPr>
          <w:tab/>
        </w:r>
        <w:r>
          <w:rPr>
            <w:noProof/>
            <w:webHidden/>
          </w:rPr>
          <w:fldChar w:fldCharType="begin"/>
        </w:r>
        <w:r>
          <w:rPr>
            <w:noProof/>
            <w:webHidden/>
          </w:rPr>
          <w:instrText xml:space="preserve"> PAGEREF _Toc239333335 \h </w:instrText>
        </w:r>
        <w:r>
          <w:rPr>
            <w:noProof/>
            <w:webHidden/>
          </w:rPr>
        </w:r>
        <w:r>
          <w:rPr>
            <w:noProof/>
            <w:webHidden/>
          </w:rPr>
          <w:fldChar w:fldCharType="separate"/>
        </w:r>
        <w:r>
          <w:rPr>
            <w:noProof/>
            <w:webHidden/>
          </w:rPr>
          <w:t>88</w:t>
        </w:r>
        <w:r>
          <w:rPr>
            <w:noProof/>
            <w:webHidden/>
          </w:rPr>
          <w:fldChar w:fldCharType="end"/>
        </w:r>
      </w:hyperlink>
    </w:p>
    <w:p w14:paraId="24F9F44F" w14:textId="02160C85"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6" w:history="1">
        <w:r w:rsidRPr="00EF2D65">
          <w:rPr>
            <w:rStyle w:val="Hipercze"/>
            <w:rFonts w:cstheme="minorHAnsi"/>
            <w:noProof/>
          </w:rPr>
          <w:t>V.2.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i zakres współpracy ACPRO z operatorem systemu przesyłowego są określone w niniejszej IRiESD oraz IRiESP.</w:t>
        </w:r>
        <w:r>
          <w:rPr>
            <w:noProof/>
            <w:webHidden/>
          </w:rPr>
          <w:tab/>
        </w:r>
        <w:r>
          <w:rPr>
            <w:noProof/>
            <w:webHidden/>
          </w:rPr>
          <w:fldChar w:fldCharType="begin"/>
        </w:r>
        <w:r>
          <w:rPr>
            <w:noProof/>
            <w:webHidden/>
          </w:rPr>
          <w:instrText xml:space="preserve"> PAGEREF _Toc239333336 \h </w:instrText>
        </w:r>
        <w:r>
          <w:rPr>
            <w:noProof/>
            <w:webHidden/>
          </w:rPr>
        </w:r>
        <w:r>
          <w:rPr>
            <w:noProof/>
            <w:webHidden/>
          </w:rPr>
          <w:fldChar w:fldCharType="separate"/>
        </w:r>
        <w:r>
          <w:rPr>
            <w:noProof/>
            <w:webHidden/>
          </w:rPr>
          <w:t>89</w:t>
        </w:r>
        <w:r>
          <w:rPr>
            <w:noProof/>
            <w:webHidden/>
          </w:rPr>
          <w:fldChar w:fldCharType="end"/>
        </w:r>
      </w:hyperlink>
    </w:p>
    <w:p w14:paraId="241E47A7" w14:textId="2A5F5A35"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7" w:history="1">
        <w:r w:rsidRPr="00EF2D65">
          <w:rPr>
            <w:rStyle w:val="Hipercze"/>
            <w:rFonts w:cstheme="minorHAnsi"/>
            <w:noProof/>
          </w:rPr>
          <w:t>V.3.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oraz OSDn realizuje określone w Ustawie, IRiESP, WDB oraz IRiESD obowiązki w zakresie współpracy z OSP za pośrednictwem OSDp, z którego siecią jest połączony ACPRO. OSDp  jednocześnie posiada bezpośrednie połączenie z siecią przesyłową</w:t>
        </w:r>
        <w:r w:rsidRPr="00EF2D65">
          <w:rPr>
            <w:rStyle w:val="Hipercze"/>
            <w:rFonts w:eastAsia="Arial" w:cstheme="minorHAnsi"/>
            <w:noProof/>
          </w:rPr>
          <w:t>.</w:t>
        </w:r>
        <w:r>
          <w:rPr>
            <w:noProof/>
            <w:webHidden/>
          </w:rPr>
          <w:tab/>
        </w:r>
        <w:r>
          <w:rPr>
            <w:noProof/>
            <w:webHidden/>
          </w:rPr>
          <w:fldChar w:fldCharType="begin"/>
        </w:r>
        <w:r>
          <w:rPr>
            <w:noProof/>
            <w:webHidden/>
          </w:rPr>
          <w:instrText xml:space="preserve"> PAGEREF _Toc239333337 \h </w:instrText>
        </w:r>
        <w:r>
          <w:rPr>
            <w:noProof/>
            <w:webHidden/>
          </w:rPr>
        </w:r>
        <w:r>
          <w:rPr>
            <w:noProof/>
            <w:webHidden/>
          </w:rPr>
          <w:fldChar w:fldCharType="separate"/>
        </w:r>
        <w:r>
          <w:rPr>
            <w:noProof/>
            <w:webHidden/>
          </w:rPr>
          <w:t>89</w:t>
        </w:r>
        <w:r>
          <w:rPr>
            <w:noProof/>
            <w:webHidden/>
          </w:rPr>
          <w:fldChar w:fldCharType="end"/>
        </w:r>
      </w:hyperlink>
    </w:p>
    <w:p w14:paraId="38AF9A0D" w14:textId="583251D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8" w:history="1">
        <w:r w:rsidRPr="00EF2D65">
          <w:rPr>
            <w:rStyle w:val="Hipercze"/>
            <w:rFonts w:cstheme="minorHAnsi"/>
            <w:noProof/>
          </w:rPr>
          <w:t>V.4.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i zakres współpracy ACPRO z OSDn oraz ACPRO z OSDp są określone w IRiESP, WDB i IRiESD oraz w IWR, a także w stosownych umowach zawartych pomiędzy ACPRO a OSDn , oraz ACPRO a OSDp  przy czym:</w:t>
        </w:r>
        <w:r>
          <w:rPr>
            <w:noProof/>
            <w:webHidden/>
          </w:rPr>
          <w:tab/>
        </w:r>
        <w:r>
          <w:rPr>
            <w:noProof/>
            <w:webHidden/>
          </w:rPr>
          <w:fldChar w:fldCharType="begin"/>
        </w:r>
        <w:r>
          <w:rPr>
            <w:noProof/>
            <w:webHidden/>
          </w:rPr>
          <w:instrText xml:space="preserve"> PAGEREF _Toc239333338 \h </w:instrText>
        </w:r>
        <w:r>
          <w:rPr>
            <w:noProof/>
            <w:webHidden/>
          </w:rPr>
        </w:r>
        <w:r>
          <w:rPr>
            <w:noProof/>
            <w:webHidden/>
          </w:rPr>
          <w:fldChar w:fldCharType="separate"/>
        </w:r>
        <w:r>
          <w:rPr>
            <w:noProof/>
            <w:webHidden/>
          </w:rPr>
          <w:t>89</w:t>
        </w:r>
        <w:r>
          <w:rPr>
            <w:noProof/>
            <w:webHidden/>
          </w:rPr>
          <w:fldChar w:fldCharType="end"/>
        </w:r>
      </w:hyperlink>
    </w:p>
    <w:p w14:paraId="43B5AA08" w14:textId="7DAA2F8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39" w:history="1">
        <w:r w:rsidRPr="00EF2D65">
          <w:rPr>
            <w:rStyle w:val="Hipercze"/>
            <w:rFonts w:cstheme="minorHAnsi"/>
            <w:noProof/>
          </w:rPr>
          <w:t>V.5.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Szczegółowe zasady współpracy pomiędzy operatorami systemów dystrybucyjnych, oraz pomiędzy operatorami a użytkownikami systemu są określone w rozdziałach II, III, IV i VI.</w:t>
        </w:r>
        <w:r>
          <w:rPr>
            <w:noProof/>
            <w:webHidden/>
          </w:rPr>
          <w:tab/>
        </w:r>
        <w:r>
          <w:rPr>
            <w:noProof/>
            <w:webHidden/>
          </w:rPr>
          <w:fldChar w:fldCharType="begin"/>
        </w:r>
        <w:r>
          <w:rPr>
            <w:noProof/>
            <w:webHidden/>
          </w:rPr>
          <w:instrText xml:space="preserve"> PAGEREF _Toc239333339 \h </w:instrText>
        </w:r>
        <w:r>
          <w:rPr>
            <w:noProof/>
            <w:webHidden/>
          </w:rPr>
        </w:r>
        <w:r>
          <w:rPr>
            <w:noProof/>
            <w:webHidden/>
          </w:rPr>
          <w:fldChar w:fldCharType="separate"/>
        </w:r>
        <w:r>
          <w:rPr>
            <w:noProof/>
            <w:webHidden/>
          </w:rPr>
          <w:t>89</w:t>
        </w:r>
        <w:r>
          <w:rPr>
            <w:noProof/>
            <w:webHidden/>
          </w:rPr>
          <w:fldChar w:fldCharType="end"/>
        </w:r>
      </w:hyperlink>
    </w:p>
    <w:p w14:paraId="2B48CF6C" w14:textId="1A4C872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0" w:history="1">
        <w:r w:rsidRPr="00EF2D65">
          <w:rPr>
            <w:rStyle w:val="Hipercze"/>
            <w:rFonts w:cstheme="minorHAnsi"/>
            <w:noProof/>
          </w:rPr>
          <w:t>V.6.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Współpraca ACPRO z operatorami handlowo-technicznymi, operatorami handlowymi oraz operatorami pomiarów jest określona w części IRiESD-Bilansowanie.</w:t>
        </w:r>
        <w:r>
          <w:rPr>
            <w:noProof/>
            <w:webHidden/>
          </w:rPr>
          <w:tab/>
        </w:r>
        <w:r>
          <w:rPr>
            <w:noProof/>
            <w:webHidden/>
          </w:rPr>
          <w:fldChar w:fldCharType="begin"/>
        </w:r>
        <w:r>
          <w:rPr>
            <w:noProof/>
            <w:webHidden/>
          </w:rPr>
          <w:instrText xml:space="preserve"> PAGEREF _Toc239333340 \h </w:instrText>
        </w:r>
        <w:r>
          <w:rPr>
            <w:noProof/>
            <w:webHidden/>
          </w:rPr>
        </w:r>
        <w:r>
          <w:rPr>
            <w:noProof/>
            <w:webHidden/>
          </w:rPr>
          <w:fldChar w:fldCharType="separate"/>
        </w:r>
        <w:r>
          <w:rPr>
            <w:noProof/>
            <w:webHidden/>
          </w:rPr>
          <w:t>89</w:t>
        </w:r>
        <w:r>
          <w:rPr>
            <w:noProof/>
            <w:webHidden/>
          </w:rPr>
          <w:fldChar w:fldCharType="end"/>
        </w:r>
      </w:hyperlink>
    </w:p>
    <w:p w14:paraId="234A25E6" w14:textId="383B5D58"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1" w:history="1">
        <w:r w:rsidRPr="00EF2D65">
          <w:rPr>
            <w:rStyle w:val="Hipercze"/>
            <w:rFonts w:cstheme="minorHAnsi"/>
            <w:noProof/>
          </w:rPr>
          <w:t>V.7.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Operatorzy handlowo-technicznymi oraz operatorzy handlowi są zobowiązani do zawarcia stosownej umowy z operatorem systemu przesyłowego oraz z właściwymi operatorami systemu dystrybucyjnego, jeżeli ich działalność dotyczy podmiotów przyłączonych do sieci dystrybucyjnej.</w:t>
        </w:r>
        <w:r>
          <w:rPr>
            <w:noProof/>
            <w:webHidden/>
          </w:rPr>
          <w:tab/>
        </w:r>
        <w:r>
          <w:rPr>
            <w:noProof/>
            <w:webHidden/>
          </w:rPr>
          <w:fldChar w:fldCharType="begin"/>
        </w:r>
        <w:r>
          <w:rPr>
            <w:noProof/>
            <w:webHidden/>
          </w:rPr>
          <w:instrText xml:space="preserve"> PAGEREF _Toc239333341 \h </w:instrText>
        </w:r>
        <w:r>
          <w:rPr>
            <w:noProof/>
            <w:webHidden/>
          </w:rPr>
        </w:r>
        <w:r>
          <w:rPr>
            <w:noProof/>
            <w:webHidden/>
          </w:rPr>
          <w:fldChar w:fldCharType="separate"/>
        </w:r>
        <w:r>
          <w:rPr>
            <w:noProof/>
            <w:webHidden/>
          </w:rPr>
          <w:t>89</w:t>
        </w:r>
        <w:r>
          <w:rPr>
            <w:noProof/>
            <w:webHidden/>
          </w:rPr>
          <w:fldChar w:fldCharType="end"/>
        </w:r>
      </w:hyperlink>
    </w:p>
    <w:p w14:paraId="6E9C9CDA" w14:textId="2C5C1678"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2" w:history="1">
        <w:r w:rsidRPr="00EF2D65">
          <w:rPr>
            <w:rStyle w:val="Hipercze"/>
            <w:rFonts w:cstheme="minorHAnsi"/>
            <w:noProof/>
          </w:rPr>
          <w:t>V.8.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współpracy własnych służb dyspozytorskich ze służbami dyspozytorskimi innych operatorów systemów dystrybucyjnych, zawarte są w umowach i/lub w instrukcjach współpracy.</w:t>
        </w:r>
        <w:r>
          <w:rPr>
            <w:noProof/>
            <w:webHidden/>
          </w:rPr>
          <w:tab/>
        </w:r>
        <w:r>
          <w:rPr>
            <w:noProof/>
            <w:webHidden/>
          </w:rPr>
          <w:fldChar w:fldCharType="begin"/>
        </w:r>
        <w:r>
          <w:rPr>
            <w:noProof/>
            <w:webHidden/>
          </w:rPr>
          <w:instrText xml:space="preserve"> PAGEREF _Toc239333342 \h </w:instrText>
        </w:r>
        <w:r>
          <w:rPr>
            <w:noProof/>
            <w:webHidden/>
          </w:rPr>
        </w:r>
        <w:r>
          <w:rPr>
            <w:noProof/>
            <w:webHidden/>
          </w:rPr>
          <w:fldChar w:fldCharType="separate"/>
        </w:r>
        <w:r>
          <w:rPr>
            <w:noProof/>
            <w:webHidden/>
          </w:rPr>
          <w:t>89</w:t>
        </w:r>
        <w:r>
          <w:rPr>
            <w:noProof/>
            <w:webHidden/>
          </w:rPr>
          <w:fldChar w:fldCharType="end"/>
        </w:r>
      </w:hyperlink>
    </w:p>
    <w:p w14:paraId="093A4F29" w14:textId="430FBFC8"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3" w:history="1">
        <w:r w:rsidRPr="00EF2D65">
          <w:rPr>
            <w:rStyle w:val="Hipercze"/>
            <w:rFonts w:cstheme="minorHAnsi"/>
            <w:noProof/>
          </w:rPr>
          <w:t>V.9.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Podmioty przyłączone do sieci dystrybucyjnej ACPRO o napięciu znamionowym wyższym niż 1 kV zaliczone do I, II, III i VI grupy przyłączeniowej oraz, wytwórcy niezależnie od poziomu napięcia sieci, a w szczególnych przypadkach także inne podmioty wskazane przez ACPRO, opracowują i uzgadniają z ACPRO instrukcje współpracy, które powinny uwzględniać wymagania określone w IRiESD.</w:t>
        </w:r>
        <w:r>
          <w:rPr>
            <w:noProof/>
            <w:webHidden/>
          </w:rPr>
          <w:tab/>
        </w:r>
        <w:r>
          <w:rPr>
            <w:noProof/>
            <w:webHidden/>
          </w:rPr>
          <w:fldChar w:fldCharType="begin"/>
        </w:r>
        <w:r>
          <w:rPr>
            <w:noProof/>
            <w:webHidden/>
          </w:rPr>
          <w:instrText xml:space="preserve"> PAGEREF _Toc239333343 \h </w:instrText>
        </w:r>
        <w:r>
          <w:rPr>
            <w:noProof/>
            <w:webHidden/>
          </w:rPr>
        </w:r>
        <w:r>
          <w:rPr>
            <w:noProof/>
            <w:webHidden/>
          </w:rPr>
          <w:fldChar w:fldCharType="separate"/>
        </w:r>
        <w:r>
          <w:rPr>
            <w:noProof/>
            <w:webHidden/>
          </w:rPr>
          <w:t>89</w:t>
        </w:r>
        <w:r>
          <w:rPr>
            <w:noProof/>
            <w:webHidden/>
          </w:rPr>
          <w:fldChar w:fldCharType="end"/>
        </w:r>
      </w:hyperlink>
    </w:p>
    <w:p w14:paraId="1CFB8408" w14:textId="1D037D45"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4" w:history="1">
        <w:r w:rsidRPr="00EF2D65">
          <w:rPr>
            <w:rStyle w:val="Hipercze"/>
            <w:rFonts w:cstheme="minorHAnsi"/>
            <w:noProof/>
          </w:rPr>
          <w:t>V.10.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Przedmiotem instrukcji współpracy służb dyspozytorskich ACPRO ze służbami dyspozytorskimi innych operatorów systemów dystrybucyjnych, w tym OSDn, jest w zależności od potrzeb:</w:t>
        </w:r>
        <w:r>
          <w:rPr>
            <w:noProof/>
            <w:webHidden/>
          </w:rPr>
          <w:tab/>
        </w:r>
        <w:r>
          <w:rPr>
            <w:noProof/>
            <w:webHidden/>
          </w:rPr>
          <w:fldChar w:fldCharType="begin"/>
        </w:r>
        <w:r>
          <w:rPr>
            <w:noProof/>
            <w:webHidden/>
          </w:rPr>
          <w:instrText xml:space="preserve"> PAGEREF _Toc239333344 \h </w:instrText>
        </w:r>
        <w:r>
          <w:rPr>
            <w:noProof/>
            <w:webHidden/>
          </w:rPr>
        </w:r>
        <w:r>
          <w:rPr>
            <w:noProof/>
            <w:webHidden/>
          </w:rPr>
          <w:fldChar w:fldCharType="separate"/>
        </w:r>
        <w:r>
          <w:rPr>
            <w:noProof/>
            <w:webHidden/>
          </w:rPr>
          <w:t>90</w:t>
        </w:r>
        <w:r>
          <w:rPr>
            <w:noProof/>
            <w:webHidden/>
          </w:rPr>
          <w:fldChar w:fldCharType="end"/>
        </w:r>
      </w:hyperlink>
    </w:p>
    <w:p w14:paraId="7804D9DB" w14:textId="7C2D8B3A"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5" w:history="1">
        <w:r w:rsidRPr="00EF2D65">
          <w:rPr>
            <w:rStyle w:val="Hipercze"/>
            <w:rFonts w:cstheme="minorHAnsi"/>
            <w:noProof/>
          </w:rPr>
          <w:t>V.11.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Instrukcja współpracy służb dyspozytorskich ACPRO z podmiotami przyłączonymi do sieci dystrybucyjnej ACPRO zawiera co najmniej:</w:t>
        </w:r>
        <w:r>
          <w:rPr>
            <w:noProof/>
            <w:webHidden/>
          </w:rPr>
          <w:tab/>
        </w:r>
        <w:r>
          <w:rPr>
            <w:noProof/>
            <w:webHidden/>
          </w:rPr>
          <w:fldChar w:fldCharType="begin"/>
        </w:r>
        <w:r>
          <w:rPr>
            <w:noProof/>
            <w:webHidden/>
          </w:rPr>
          <w:instrText xml:space="preserve"> PAGEREF _Toc239333345 \h </w:instrText>
        </w:r>
        <w:r>
          <w:rPr>
            <w:noProof/>
            <w:webHidden/>
          </w:rPr>
        </w:r>
        <w:r>
          <w:rPr>
            <w:noProof/>
            <w:webHidden/>
          </w:rPr>
          <w:fldChar w:fldCharType="separate"/>
        </w:r>
        <w:r>
          <w:rPr>
            <w:noProof/>
            <w:webHidden/>
          </w:rPr>
          <w:t>90</w:t>
        </w:r>
        <w:r>
          <w:rPr>
            <w:noProof/>
            <w:webHidden/>
          </w:rPr>
          <w:fldChar w:fldCharType="end"/>
        </w:r>
      </w:hyperlink>
    </w:p>
    <w:p w14:paraId="6D26942D" w14:textId="7B0AC85A"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6" w:history="1">
        <w:r w:rsidRPr="00EF2D65">
          <w:rPr>
            <w:rStyle w:val="Hipercze"/>
            <w:rFonts w:cstheme="minorHAnsi"/>
            <w:noProof/>
          </w:rPr>
          <w:t>V.12.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 przedsiębiorstwo energetyczne zajmujące się dystrybucją energii elektrycznej jest obowiązane sporządzać informacje dotyczące:</w:t>
        </w:r>
        <w:r>
          <w:rPr>
            <w:noProof/>
            <w:webHidden/>
          </w:rPr>
          <w:tab/>
        </w:r>
        <w:r>
          <w:rPr>
            <w:noProof/>
            <w:webHidden/>
          </w:rPr>
          <w:fldChar w:fldCharType="begin"/>
        </w:r>
        <w:r>
          <w:rPr>
            <w:noProof/>
            <w:webHidden/>
          </w:rPr>
          <w:instrText xml:space="preserve"> PAGEREF _Toc239333346 \h </w:instrText>
        </w:r>
        <w:r>
          <w:rPr>
            <w:noProof/>
            <w:webHidden/>
          </w:rPr>
        </w:r>
        <w:r>
          <w:rPr>
            <w:noProof/>
            <w:webHidden/>
          </w:rPr>
          <w:fldChar w:fldCharType="separate"/>
        </w:r>
        <w:r>
          <w:rPr>
            <w:noProof/>
            <w:webHidden/>
          </w:rPr>
          <w:t>90</w:t>
        </w:r>
        <w:r>
          <w:rPr>
            <w:noProof/>
            <w:webHidden/>
          </w:rPr>
          <w:fldChar w:fldCharType="end"/>
        </w:r>
      </w:hyperlink>
    </w:p>
    <w:p w14:paraId="7C0F78A8" w14:textId="2CD0CC3B"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47" w:history="1">
        <w:r w:rsidRPr="00EF2D65">
          <w:rPr>
            <w:rStyle w:val="Hipercze"/>
            <w:rFonts w:cstheme="minorHAnsi"/>
            <w:noProof/>
          </w:rPr>
          <w:t>VI.</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PROWADZENIE RUCHU SIECI DYSTRYBUCYJNEJ</w:t>
        </w:r>
        <w:r>
          <w:rPr>
            <w:noProof/>
            <w:webHidden/>
          </w:rPr>
          <w:tab/>
        </w:r>
        <w:r>
          <w:rPr>
            <w:noProof/>
            <w:webHidden/>
          </w:rPr>
          <w:fldChar w:fldCharType="begin"/>
        </w:r>
        <w:r>
          <w:rPr>
            <w:noProof/>
            <w:webHidden/>
          </w:rPr>
          <w:instrText xml:space="preserve"> PAGEREF _Toc239333347 \h </w:instrText>
        </w:r>
        <w:r>
          <w:rPr>
            <w:noProof/>
            <w:webHidden/>
          </w:rPr>
        </w:r>
        <w:r>
          <w:rPr>
            <w:noProof/>
            <w:webHidden/>
          </w:rPr>
          <w:fldChar w:fldCharType="separate"/>
        </w:r>
        <w:r>
          <w:rPr>
            <w:noProof/>
            <w:webHidden/>
          </w:rPr>
          <w:t>91</w:t>
        </w:r>
        <w:r>
          <w:rPr>
            <w:noProof/>
            <w:webHidden/>
          </w:rPr>
          <w:fldChar w:fldCharType="end"/>
        </w:r>
      </w:hyperlink>
    </w:p>
    <w:p w14:paraId="7894BE0A" w14:textId="34BC68C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8" w:history="1">
        <w:r w:rsidRPr="00EF2D65">
          <w:rPr>
            <w:rStyle w:val="Hipercze"/>
            <w:rFonts w:cstheme="minorHAnsi"/>
            <w:noProof/>
          </w:rPr>
          <w:t>VI.1.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OBOWIĄZKI ACPRO</w:t>
        </w:r>
        <w:r>
          <w:rPr>
            <w:noProof/>
            <w:webHidden/>
          </w:rPr>
          <w:tab/>
        </w:r>
        <w:r>
          <w:rPr>
            <w:noProof/>
            <w:webHidden/>
          </w:rPr>
          <w:fldChar w:fldCharType="begin"/>
        </w:r>
        <w:r>
          <w:rPr>
            <w:noProof/>
            <w:webHidden/>
          </w:rPr>
          <w:instrText xml:space="preserve"> PAGEREF _Toc239333348 \h </w:instrText>
        </w:r>
        <w:r>
          <w:rPr>
            <w:noProof/>
            <w:webHidden/>
          </w:rPr>
        </w:r>
        <w:r>
          <w:rPr>
            <w:noProof/>
            <w:webHidden/>
          </w:rPr>
          <w:fldChar w:fldCharType="separate"/>
        </w:r>
        <w:r>
          <w:rPr>
            <w:noProof/>
            <w:webHidden/>
          </w:rPr>
          <w:t>91</w:t>
        </w:r>
        <w:r>
          <w:rPr>
            <w:noProof/>
            <w:webHidden/>
          </w:rPr>
          <w:fldChar w:fldCharType="end"/>
        </w:r>
      </w:hyperlink>
    </w:p>
    <w:p w14:paraId="7D4B6CF5" w14:textId="3CD75CF4"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49" w:history="1">
        <w:r w:rsidRPr="00EF2D65">
          <w:rPr>
            <w:rStyle w:val="Hipercze"/>
            <w:rFonts w:cstheme="minorHAnsi"/>
            <w:bCs/>
            <w:noProof/>
          </w:rPr>
          <w:t>VI.2.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STRUKTURA I PODZIAŁ KOMPETENCJI SŁUŻB DYSPOZYTORSKICH OPERATORA SYSTEMU DYSTRYBUCYJNEGO</w:t>
        </w:r>
        <w:r>
          <w:rPr>
            <w:noProof/>
            <w:webHidden/>
          </w:rPr>
          <w:tab/>
        </w:r>
        <w:r>
          <w:rPr>
            <w:noProof/>
            <w:webHidden/>
          </w:rPr>
          <w:fldChar w:fldCharType="begin"/>
        </w:r>
        <w:r>
          <w:rPr>
            <w:noProof/>
            <w:webHidden/>
          </w:rPr>
          <w:instrText xml:space="preserve"> PAGEREF _Toc239333349 \h </w:instrText>
        </w:r>
        <w:r>
          <w:rPr>
            <w:noProof/>
            <w:webHidden/>
          </w:rPr>
        </w:r>
        <w:r>
          <w:rPr>
            <w:noProof/>
            <w:webHidden/>
          </w:rPr>
          <w:fldChar w:fldCharType="separate"/>
        </w:r>
        <w:r>
          <w:rPr>
            <w:noProof/>
            <w:webHidden/>
          </w:rPr>
          <w:t>92</w:t>
        </w:r>
        <w:r>
          <w:rPr>
            <w:noProof/>
            <w:webHidden/>
          </w:rPr>
          <w:fldChar w:fldCharType="end"/>
        </w:r>
      </w:hyperlink>
    </w:p>
    <w:p w14:paraId="519FDF6D" w14:textId="3A591847"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0" w:history="1">
        <w:r w:rsidRPr="00EF2D65">
          <w:rPr>
            <w:rStyle w:val="Hipercze"/>
            <w:rFonts w:cstheme="minorHAnsi"/>
            <w:bCs/>
            <w:noProof/>
          </w:rPr>
          <w:t>VI.3.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PLANOWANIE PRODUKCJI ENERGII ELEKTRYCZNEJ</w:t>
        </w:r>
        <w:r>
          <w:rPr>
            <w:noProof/>
            <w:webHidden/>
          </w:rPr>
          <w:tab/>
        </w:r>
        <w:r>
          <w:rPr>
            <w:noProof/>
            <w:webHidden/>
          </w:rPr>
          <w:fldChar w:fldCharType="begin"/>
        </w:r>
        <w:r>
          <w:rPr>
            <w:noProof/>
            <w:webHidden/>
          </w:rPr>
          <w:instrText xml:space="preserve"> PAGEREF _Toc239333350 \h </w:instrText>
        </w:r>
        <w:r>
          <w:rPr>
            <w:noProof/>
            <w:webHidden/>
          </w:rPr>
        </w:r>
        <w:r>
          <w:rPr>
            <w:noProof/>
            <w:webHidden/>
          </w:rPr>
          <w:fldChar w:fldCharType="separate"/>
        </w:r>
        <w:r>
          <w:rPr>
            <w:noProof/>
            <w:webHidden/>
          </w:rPr>
          <w:t>93</w:t>
        </w:r>
        <w:r>
          <w:rPr>
            <w:noProof/>
            <w:webHidden/>
          </w:rPr>
          <w:fldChar w:fldCharType="end"/>
        </w:r>
      </w:hyperlink>
    </w:p>
    <w:p w14:paraId="7D4B2C24" w14:textId="6D8E3D88"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1" w:history="1">
        <w:r w:rsidRPr="00EF2D65">
          <w:rPr>
            <w:rStyle w:val="Hipercze"/>
            <w:rFonts w:cstheme="minorHAnsi"/>
            <w:bCs/>
            <w:noProof/>
          </w:rPr>
          <w:t>VI.4.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PROGNOZOWANIE ZAPOTRZEBOWANIA NA MOC I ENERGIĘ ELEKTRYCZNĄ</w:t>
        </w:r>
        <w:r>
          <w:rPr>
            <w:noProof/>
            <w:webHidden/>
          </w:rPr>
          <w:tab/>
        </w:r>
        <w:r>
          <w:rPr>
            <w:noProof/>
            <w:webHidden/>
          </w:rPr>
          <w:fldChar w:fldCharType="begin"/>
        </w:r>
        <w:r>
          <w:rPr>
            <w:noProof/>
            <w:webHidden/>
          </w:rPr>
          <w:instrText xml:space="preserve"> PAGEREF _Toc239333351 \h </w:instrText>
        </w:r>
        <w:r>
          <w:rPr>
            <w:noProof/>
            <w:webHidden/>
          </w:rPr>
        </w:r>
        <w:r>
          <w:rPr>
            <w:noProof/>
            <w:webHidden/>
          </w:rPr>
          <w:fldChar w:fldCharType="separate"/>
        </w:r>
        <w:r>
          <w:rPr>
            <w:noProof/>
            <w:webHidden/>
          </w:rPr>
          <w:t>94</w:t>
        </w:r>
        <w:r>
          <w:rPr>
            <w:noProof/>
            <w:webHidden/>
          </w:rPr>
          <w:fldChar w:fldCharType="end"/>
        </w:r>
      </w:hyperlink>
    </w:p>
    <w:p w14:paraId="47E94F39" w14:textId="717621A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2" w:history="1">
        <w:r w:rsidRPr="00EF2D65">
          <w:rPr>
            <w:rStyle w:val="Hipercze"/>
            <w:rFonts w:cstheme="minorHAnsi"/>
            <w:bCs/>
            <w:noProof/>
          </w:rPr>
          <w:t>VI.5.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UKŁAD NORMALNY  PRACY SIECI DYSTRYBUCYJNEJ</w:t>
        </w:r>
        <w:r>
          <w:rPr>
            <w:noProof/>
            <w:webHidden/>
          </w:rPr>
          <w:tab/>
        </w:r>
        <w:r>
          <w:rPr>
            <w:noProof/>
            <w:webHidden/>
          </w:rPr>
          <w:fldChar w:fldCharType="begin"/>
        </w:r>
        <w:r>
          <w:rPr>
            <w:noProof/>
            <w:webHidden/>
          </w:rPr>
          <w:instrText xml:space="preserve"> PAGEREF _Toc239333352 \h </w:instrText>
        </w:r>
        <w:r>
          <w:rPr>
            <w:noProof/>
            <w:webHidden/>
          </w:rPr>
        </w:r>
        <w:r>
          <w:rPr>
            <w:noProof/>
            <w:webHidden/>
          </w:rPr>
          <w:fldChar w:fldCharType="separate"/>
        </w:r>
        <w:r>
          <w:rPr>
            <w:noProof/>
            <w:webHidden/>
          </w:rPr>
          <w:t>94</w:t>
        </w:r>
        <w:r>
          <w:rPr>
            <w:noProof/>
            <w:webHidden/>
          </w:rPr>
          <w:fldChar w:fldCharType="end"/>
        </w:r>
      </w:hyperlink>
    </w:p>
    <w:p w14:paraId="5C911825" w14:textId="5ED84DD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3" w:history="1">
        <w:r w:rsidRPr="00EF2D65">
          <w:rPr>
            <w:rStyle w:val="Hipercze"/>
            <w:rFonts w:cstheme="minorHAnsi"/>
            <w:bCs/>
            <w:noProof/>
          </w:rPr>
          <w:t>VI.6.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PLANY WYŁĄCZEŃ ELEMENTÓW SIECI DYSTRYBUCYJNEJ</w:t>
        </w:r>
        <w:r>
          <w:rPr>
            <w:noProof/>
            <w:webHidden/>
          </w:rPr>
          <w:tab/>
        </w:r>
        <w:r>
          <w:rPr>
            <w:noProof/>
            <w:webHidden/>
          </w:rPr>
          <w:fldChar w:fldCharType="begin"/>
        </w:r>
        <w:r>
          <w:rPr>
            <w:noProof/>
            <w:webHidden/>
          </w:rPr>
          <w:instrText xml:space="preserve"> PAGEREF _Toc239333353 \h </w:instrText>
        </w:r>
        <w:r>
          <w:rPr>
            <w:noProof/>
            <w:webHidden/>
          </w:rPr>
        </w:r>
        <w:r>
          <w:rPr>
            <w:noProof/>
            <w:webHidden/>
          </w:rPr>
          <w:fldChar w:fldCharType="separate"/>
        </w:r>
        <w:r>
          <w:rPr>
            <w:noProof/>
            <w:webHidden/>
          </w:rPr>
          <w:t>95</w:t>
        </w:r>
        <w:r>
          <w:rPr>
            <w:noProof/>
            <w:webHidden/>
          </w:rPr>
          <w:fldChar w:fldCharType="end"/>
        </w:r>
      </w:hyperlink>
    </w:p>
    <w:p w14:paraId="4558267F" w14:textId="1ED3239A"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4" w:history="1">
        <w:r w:rsidRPr="00EF2D65">
          <w:rPr>
            <w:rStyle w:val="Hipercze"/>
            <w:rFonts w:cstheme="minorHAnsi"/>
            <w:bCs/>
            <w:noProof/>
          </w:rPr>
          <w:t>VI.7.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PROGRAMY ŁĄCZENIOWE</w:t>
        </w:r>
        <w:r>
          <w:rPr>
            <w:noProof/>
            <w:webHidden/>
          </w:rPr>
          <w:tab/>
        </w:r>
        <w:r>
          <w:rPr>
            <w:noProof/>
            <w:webHidden/>
          </w:rPr>
          <w:fldChar w:fldCharType="begin"/>
        </w:r>
        <w:r>
          <w:rPr>
            <w:noProof/>
            <w:webHidden/>
          </w:rPr>
          <w:instrText xml:space="preserve"> PAGEREF _Toc239333354 \h </w:instrText>
        </w:r>
        <w:r>
          <w:rPr>
            <w:noProof/>
            <w:webHidden/>
          </w:rPr>
        </w:r>
        <w:r>
          <w:rPr>
            <w:noProof/>
            <w:webHidden/>
          </w:rPr>
          <w:fldChar w:fldCharType="separate"/>
        </w:r>
        <w:r>
          <w:rPr>
            <w:noProof/>
            <w:webHidden/>
          </w:rPr>
          <w:t>96</w:t>
        </w:r>
        <w:r>
          <w:rPr>
            <w:noProof/>
            <w:webHidden/>
          </w:rPr>
          <w:fldChar w:fldCharType="end"/>
        </w:r>
      </w:hyperlink>
    </w:p>
    <w:p w14:paraId="61C9B4EB" w14:textId="78C52115"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55" w:history="1">
        <w:r w:rsidRPr="00EF2D65">
          <w:rPr>
            <w:rStyle w:val="Hipercze"/>
            <w:rFonts w:cstheme="minorHAnsi"/>
            <w:noProof/>
          </w:rPr>
          <w:t>VII.</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STANDARDY TECHNICZNE I BEZPIECZEŃSTWA PRACY SIECI DYSTRYBUCYJNEJ ACPRO</w:t>
        </w:r>
        <w:r>
          <w:rPr>
            <w:noProof/>
            <w:webHidden/>
          </w:rPr>
          <w:tab/>
        </w:r>
        <w:r>
          <w:rPr>
            <w:noProof/>
            <w:webHidden/>
          </w:rPr>
          <w:fldChar w:fldCharType="begin"/>
        </w:r>
        <w:r>
          <w:rPr>
            <w:noProof/>
            <w:webHidden/>
          </w:rPr>
          <w:instrText xml:space="preserve"> PAGEREF _Toc239333355 \h </w:instrText>
        </w:r>
        <w:r>
          <w:rPr>
            <w:noProof/>
            <w:webHidden/>
          </w:rPr>
        </w:r>
        <w:r>
          <w:rPr>
            <w:noProof/>
            <w:webHidden/>
          </w:rPr>
          <w:fldChar w:fldCharType="separate"/>
        </w:r>
        <w:r>
          <w:rPr>
            <w:noProof/>
            <w:webHidden/>
          </w:rPr>
          <w:t>97</w:t>
        </w:r>
        <w:r>
          <w:rPr>
            <w:noProof/>
            <w:webHidden/>
          </w:rPr>
          <w:fldChar w:fldCharType="end"/>
        </w:r>
      </w:hyperlink>
    </w:p>
    <w:p w14:paraId="122E92F6" w14:textId="518F2CF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6" w:history="1">
        <w:r w:rsidRPr="00EF2D65">
          <w:rPr>
            <w:rStyle w:val="Hipercze"/>
            <w:rFonts w:cstheme="minorHAnsi"/>
            <w:noProof/>
          </w:rPr>
          <w:t>VII.1.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normalnych warunkach pracy sieci dystrybucyjnej ACPRO w szczególności powinny być spełnione następujące warunki techniczne:</w:t>
        </w:r>
        <w:r>
          <w:rPr>
            <w:noProof/>
            <w:webHidden/>
          </w:rPr>
          <w:tab/>
        </w:r>
        <w:r>
          <w:rPr>
            <w:noProof/>
            <w:webHidden/>
          </w:rPr>
          <w:fldChar w:fldCharType="begin"/>
        </w:r>
        <w:r>
          <w:rPr>
            <w:noProof/>
            <w:webHidden/>
          </w:rPr>
          <w:instrText xml:space="preserve"> PAGEREF _Toc239333356 \h </w:instrText>
        </w:r>
        <w:r>
          <w:rPr>
            <w:noProof/>
            <w:webHidden/>
          </w:rPr>
        </w:r>
        <w:r>
          <w:rPr>
            <w:noProof/>
            <w:webHidden/>
          </w:rPr>
          <w:fldChar w:fldCharType="separate"/>
        </w:r>
        <w:r>
          <w:rPr>
            <w:noProof/>
            <w:webHidden/>
          </w:rPr>
          <w:t>97</w:t>
        </w:r>
        <w:r>
          <w:rPr>
            <w:noProof/>
            <w:webHidden/>
          </w:rPr>
          <w:fldChar w:fldCharType="end"/>
        </w:r>
      </w:hyperlink>
    </w:p>
    <w:p w14:paraId="1FC896F3" w14:textId="0FEBE59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7" w:history="1">
        <w:r w:rsidRPr="00EF2D65">
          <w:rPr>
            <w:rStyle w:val="Hipercze"/>
            <w:rFonts w:cstheme="minorHAnsi"/>
            <w:noProof/>
          </w:rPr>
          <w:t>VII.2.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Warunki pracy punktu neutralnego transformatorów określa ACPRO.</w:t>
        </w:r>
        <w:r>
          <w:rPr>
            <w:noProof/>
            <w:webHidden/>
          </w:rPr>
          <w:tab/>
        </w:r>
        <w:r>
          <w:rPr>
            <w:noProof/>
            <w:webHidden/>
          </w:rPr>
          <w:fldChar w:fldCharType="begin"/>
        </w:r>
        <w:r>
          <w:rPr>
            <w:noProof/>
            <w:webHidden/>
          </w:rPr>
          <w:instrText xml:space="preserve"> PAGEREF _Toc239333357 \h </w:instrText>
        </w:r>
        <w:r>
          <w:rPr>
            <w:noProof/>
            <w:webHidden/>
          </w:rPr>
        </w:r>
        <w:r>
          <w:rPr>
            <w:noProof/>
            <w:webHidden/>
          </w:rPr>
          <w:fldChar w:fldCharType="separate"/>
        </w:r>
        <w:r>
          <w:rPr>
            <w:noProof/>
            <w:webHidden/>
          </w:rPr>
          <w:t>97</w:t>
        </w:r>
        <w:r>
          <w:rPr>
            <w:noProof/>
            <w:webHidden/>
          </w:rPr>
          <w:fldChar w:fldCharType="end"/>
        </w:r>
      </w:hyperlink>
    </w:p>
    <w:p w14:paraId="6D53A8DD" w14:textId="12C0D46B"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8" w:history="1">
        <w:r w:rsidRPr="00EF2D65">
          <w:rPr>
            <w:rStyle w:val="Hipercze"/>
            <w:rFonts w:cstheme="minorHAnsi"/>
            <w:noProof/>
          </w:rPr>
          <w:t>VII.3.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 xml:space="preserve">Dopuszcza się okresowo w sieci dystrybucyjnej ACPRO pracę wyłączników z przekroczoną mocą wyłączalną, po </w:t>
        </w:r>
        <w:r w:rsidRPr="00EF2D65">
          <w:rPr>
            <w:rStyle w:val="Hipercze"/>
            <w:rFonts w:cstheme="minorHAnsi"/>
            <w:bCs/>
            <w:noProof/>
          </w:rPr>
          <w:t xml:space="preserve">uprzednim </w:t>
        </w:r>
        <w:r w:rsidRPr="00EF2D65">
          <w:rPr>
            <w:rStyle w:val="Hipercze"/>
            <w:rFonts w:cstheme="minorHAnsi"/>
            <w:noProof/>
          </w:rPr>
          <w:t>wyrażeniu zgody na taką pracę przez ACPRO.</w:t>
        </w:r>
        <w:r>
          <w:rPr>
            <w:noProof/>
            <w:webHidden/>
          </w:rPr>
          <w:tab/>
        </w:r>
        <w:r>
          <w:rPr>
            <w:noProof/>
            <w:webHidden/>
          </w:rPr>
          <w:fldChar w:fldCharType="begin"/>
        </w:r>
        <w:r>
          <w:rPr>
            <w:noProof/>
            <w:webHidden/>
          </w:rPr>
          <w:instrText xml:space="preserve"> PAGEREF _Toc239333358 \h </w:instrText>
        </w:r>
        <w:r>
          <w:rPr>
            <w:noProof/>
            <w:webHidden/>
          </w:rPr>
        </w:r>
        <w:r>
          <w:rPr>
            <w:noProof/>
            <w:webHidden/>
          </w:rPr>
          <w:fldChar w:fldCharType="separate"/>
        </w:r>
        <w:r>
          <w:rPr>
            <w:noProof/>
            <w:webHidden/>
          </w:rPr>
          <w:t>97</w:t>
        </w:r>
        <w:r>
          <w:rPr>
            <w:noProof/>
            <w:webHidden/>
          </w:rPr>
          <w:fldChar w:fldCharType="end"/>
        </w:r>
      </w:hyperlink>
    </w:p>
    <w:p w14:paraId="3D821627" w14:textId="798DF15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59" w:history="1">
        <w:r w:rsidRPr="00EF2D65">
          <w:rPr>
            <w:rStyle w:val="Hipercze"/>
            <w:rFonts w:cstheme="minorHAnsi"/>
            <w:noProof/>
          </w:rPr>
          <w:t>VII.4.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Rozwiązania techniczne stosowane przy projektowaniu i budowie nowych oraz remoncie istniejących sieci dystrybucyjnych ACPRO powinny spełniać wymagania określone w standardach/wytycznych budowy systemów elektroenergetycznych obowiązujących u ACPRO.</w:t>
        </w:r>
        <w:r>
          <w:rPr>
            <w:noProof/>
            <w:webHidden/>
          </w:rPr>
          <w:tab/>
        </w:r>
        <w:r>
          <w:rPr>
            <w:noProof/>
            <w:webHidden/>
          </w:rPr>
          <w:fldChar w:fldCharType="begin"/>
        </w:r>
        <w:r>
          <w:rPr>
            <w:noProof/>
            <w:webHidden/>
          </w:rPr>
          <w:instrText xml:space="preserve"> PAGEREF _Toc239333359 \h </w:instrText>
        </w:r>
        <w:r>
          <w:rPr>
            <w:noProof/>
            <w:webHidden/>
          </w:rPr>
        </w:r>
        <w:r>
          <w:rPr>
            <w:noProof/>
            <w:webHidden/>
          </w:rPr>
          <w:fldChar w:fldCharType="separate"/>
        </w:r>
        <w:r>
          <w:rPr>
            <w:noProof/>
            <w:webHidden/>
          </w:rPr>
          <w:t>97</w:t>
        </w:r>
        <w:r>
          <w:rPr>
            <w:noProof/>
            <w:webHidden/>
          </w:rPr>
          <w:fldChar w:fldCharType="end"/>
        </w:r>
      </w:hyperlink>
    </w:p>
    <w:p w14:paraId="4298B75A" w14:textId="317FF6D1"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60" w:history="1">
        <w:r w:rsidRPr="00EF2D65">
          <w:rPr>
            <w:rStyle w:val="Hipercze"/>
            <w:rFonts w:cstheme="minorHAnsi"/>
            <w:noProof/>
          </w:rPr>
          <w:t>VIII.</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PARAMETRY JAKOŚCIOWE ENERGII ELEKTRYCZNEJ, WSKAŹNIKI JAKOŚCI I NIEZAWODNOŚCI DOSTAW ENERGII ELEKTRYCZNEJ ORAZ STANDARDY JAKOŚCIOWE OBSŁUGI UŻYTKOWNIKÓW SYSTEMU</w:t>
        </w:r>
        <w:r>
          <w:rPr>
            <w:noProof/>
            <w:webHidden/>
          </w:rPr>
          <w:tab/>
        </w:r>
        <w:r>
          <w:rPr>
            <w:noProof/>
            <w:webHidden/>
          </w:rPr>
          <w:fldChar w:fldCharType="begin"/>
        </w:r>
        <w:r>
          <w:rPr>
            <w:noProof/>
            <w:webHidden/>
          </w:rPr>
          <w:instrText xml:space="preserve"> PAGEREF _Toc239333360 \h </w:instrText>
        </w:r>
        <w:r>
          <w:rPr>
            <w:noProof/>
            <w:webHidden/>
          </w:rPr>
        </w:r>
        <w:r>
          <w:rPr>
            <w:noProof/>
            <w:webHidden/>
          </w:rPr>
          <w:fldChar w:fldCharType="separate"/>
        </w:r>
        <w:r>
          <w:rPr>
            <w:noProof/>
            <w:webHidden/>
          </w:rPr>
          <w:t>98</w:t>
        </w:r>
        <w:r>
          <w:rPr>
            <w:noProof/>
            <w:webHidden/>
          </w:rPr>
          <w:fldChar w:fldCharType="end"/>
        </w:r>
      </w:hyperlink>
    </w:p>
    <w:p w14:paraId="77BEC1B9" w14:textId="655DFC0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61" w:history="1">
        <w:r w:rsidRPr="00EF2D65">
          <w:rPr>
            <w:rStyle w:val="Hipercze"/>
            <w:rFonts w:cstheme="minorHAnsi"/>
            <w:bCs/>
            <w:noProof/>
          </w:rPr>
          <w:t>VIII.1.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PARAMETRY JAKOŚCIOWE ENERGII ELEKTRYCZNEJ</w:t>
        </w:r>
        <w:r>
          <w:rPr>
            <w:noProof/>
            <w:webHidden/>
          </w:rPr>
          <w:tab/>
        </w:r>
        <w:r>
          <w:rPr>
            <w:noProof/>
            <w:webHidden/>
          </w:rPr>
          <w:fldChar w:fldCharType="begin"/>
        </w:r>
        <w:r>
          <w:rPr>
            <w:noProof/>
            <w:webHidden/>
          </w:rPr>
          <w:instrText xml:space="preserve"> PAGEREF _Toc239333361 \h </w:instrText>
        </w:r>
        <w:r>
          <w:rPr>
            <w:noProof/>
            <w:webHidden/>
          </w:rPr>
        </w:r>
        <w:r>
          <w:rPr>
            <w:noProof/>
            <w:webHidden/>
          </w:rPr>
          <w:fldChar w:fldCharType="separate"/>
        </w:r>
        <w:r>
          <w:rPr>
            <w:noProof/>
            <w:webHidden/>
          </w:rPr>
          <w:t>98</w:t>
        </w:r>
        <w:r>
          <w:rPr>
            <w:noProof/>
            <w:webHidden/>
          </w:rPr>
          <w:fldChar w:fldCharType="end"/>
        </w:r>
      </w:hyperlink>
    </w:p>
    <w:p w14:paraId="6C1AC1BA" w14:textId="7B48A09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62" w:history="1">
        <w:r w:rsidRPr="00EF2D65">
          <w:rPr>
            <w:rStyle w:val="Hipercze"/>
            <w:rFonts w:cstheme="minorHAnsi"/>
            <w:bCs/>
            <w:noProof/>
          </w:rPr>
          <w:t>VIII.2.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WSKAŹNIKI JAKOŚCI I NIEZAWODNOŚCI DOSTAW ENERGII ELEKTRYCZNEJ</w:t>
        </w:r>
        <w:r>
          <w:rPr>
            <w:noProof/>
            <w:webHidden/>
          </w:rPr>
          <w:tab/>
        </w:r>
        <w:r>
          <w:rPr>
            <w:noProof/>
            <w:webHidden/>
          </w:rPr>
          <w:fldChar w:fldCharType="begin"/>
        </w:r>
        <w:r>
          <w:rPr>
            <w:noProof/>
            <w:webHidden/>
          </w:rPr>
          <w:instrText xml:space="preserve"> PAGEREF _Toc239333362 \h </w:instrText>
        </w:r>
        <w:r>
          <w:rPr>
            <w:noProof/>
            <w:webHidden/>
          </w:rPr>
        </w:r>
        <w:r>
          <w:rPr>
            <w:noProof/>
            <w:webHidden/>
          </w:rPr>
          <w:fldChar w:fldCharType="separate"/>
        </w:r>
        <w:r>
          <w:rPr>
            <w:noProof/>
            <w:webHidden/>
          </w:rPr>
          <w:t>100</w:t>
        </w:r>
        <w:r>
          <w:rPr>
            <w:noProof/>
            <w:webHidden/>
          </w:rPr>
          <w:fldChar w:fldCharType="end"/>
        </w:r>
      </w:hyperlink>
    </w:p>
    <w:p w14:paraId="5986EF96" w14:textId="2624560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63" w:history="1">
        <w:r w:rsidRPr="00EF2D65">
          <w:rPr>
            <w:rStyle w:val="Hipercze"/>
            <w:rFonts w:cstheme="minorHAnsi"/>
            <w:bCs/>
            <w:noProof/>
          </w:rPr>
          <w:t>VIII.3.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DOPUSZCZALNE POZIOMY ZABURZEŃ PARAMETRÓW JAKOŚCIOWYCH ENERGII ELEKTRYCZNEJ</w:t>
        </w:r>
        <w:r>
          <w:rPr>
            <w:noProof/>
            <w:webHidden/>
          </w:rPr>
          <w:tab/>
        </w:r>
        <w:r>
          <w:rPr>
            <w:noProof/>
            <w:webHidden/>
          </w:rPr>
          <w:fldChar w:fldCharType="begin"/>
        </w:r>
        <w:r>
          <w:rPr>
            <w:noProof/>
            <w:webHidden/>
          </w:rPr>
          <w:instrText xml:space="preserve"> PAGEREF _Toc239333363 \h </w:instrText>
        </w:r>
        <w:r>
          <w:rPr>
            <w:noProof/>
            <w:webHidden/>
          </w:rPr>
        </w:r>
        <w:r>
          <w:rPr>
            <w:noProof/>
            <w:webHidden/>
          </w:rPr>
          <w:fldChar w:fldCharType="separate"/>
        </w:r>
        <w:r>
          <w:rPr>
            <w:noProof/>
            <w:webHidden/>
          </w:rPr>
          <w:t>101</w:t>
        </w:r>
        <w:r>
          <w:rPr>
            <w:noProof/>
            <w:webHidden/>
          </w:rPr>
          <w:fldChar w:fldCharType="end"/>
        </w:r>
      </w:hyperlink>
    </w:p>
    <w:p w14:paraId="28A22071" w14:textId="1C0AB22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64" w:history="1">
        <w:r w:rsidRPr="00EF2D65">
          <w:rPr>
            <w:rStyle w:val="Hipercze"/>
            <w:rFonts w:cstheme="minorHAnsi"/>
            <w:bCs/>
            <w:noProof/>
          </w:rPr>
          <w:t>VIII.4.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STANDARDY JAKOŚCIOWE OBSŁUGI UŻYTKOWNIKÓW SYSTEMU</w:t>
        </w:r>
        <w:r>
          <w:rPr>
            <w:noProof/>
            <w:webHidden/>
          </w:rPr>
          <w:tab/>
        </w:r>
        <w:r>
          <w:rPr>
            <w:noProof/>
            <w:webHidden/>
          </w:rPr>
          <w:fldChar w:fldCharType="begin"/>
        </w:r>
        <w:r>
          <w:rPr>
            <w:noProof/>
            <w:webHidden/>
          </w:rPr>
          <w:instrText xml:space="preserve"> PAGEREF _Toc239333364 \h </w:instrText>
        </w:r>
        <w:r>
          <w:rPr>
            <w:noProof/>
            <w:webHidden/>
          </w:rPr>
        </w:r>
        <w:r>
          <w:rPr>
            <w:noProof/>
            <w:webHidden/>
          </w:rPr>
          <w:fldChar w:fldCharType="separate"/>
        </w:r>
        <w:r>
          <w:rPr>
            <w:noProof/>
            <w:webHidden/>
          </w:rPr>
          <w:t>105</w:t>
        </w:r>
        <w:r>
          <w:rPr>
            <w:noProof/>
            <w:webHidden/>
          </w:rPr>
          <w:fldChar w:fldCharType="end"/>
        </w:r>
      </w:hyperlink>
    </w:p>
    <w:p w14:paraId="6EC34572" w14:textId="06CD5923"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65" w:history="1">
        <w:r w:rsidRPr="00EF2D65">
          <w:rPr>
            <w:rStyle w:val="Hipercze"/>
            <w:rFonts w:cstheme="minorHAnsi"/>
            <w:noProof/>
          </w:rPr>
          <w:t>CZĘŚĆ:</w:t>
        </w:r>
        <w:r>
          <w:rPr>
            <w:noProof/>
            <w:webHidden/>
          </w:rPr>
          <w:tab/>
        </w:r>
        <w:r>
          <w:rPr>
            <w:noProof/>
            <w:webHidden/>
          </w:rPr>
          <w:fldChar w:fldCharType="begin"/>
        </w:r>
        <w:r>
          <w:rPr>
            <w:noProof/>
            <w:webHidden/>
          </w:rPr>
          <w:instrText xml:space="preserve"> PAGEREF _Toc239333365 \h </w:instrText>
        </w:r>
        <w:r>
          <w:rPr>
            <w:noProof/>
            <w:webHidden/>
          </w:rPr>
        </w:r>
        <w:r>
          <w:rPr>
            <w:noProof/>
            <w:webHidden/>
          </w:rPr>
          <w:fldChar w:fldCharType="separate"/>
        </w:r>
        <w:r>
          <w:rPr>
            <w:noProof/>
            <w:webHidden/>
          </w:rPr>
          <w:t>107</w:t>
        </w:r>
        <w:r>
          <w:rPr>
            <w:noProof/>
            <w:webHidden/>
          </w:rPr>
          <w:fldChar w:fldCharType="end"/>
        </w:r>
      </w:hyperlink>
    </w:p>
    <w:p w14:paraId="544C21AC" w14:textId="737D9415"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66" w:history="1">
        <w:r w:rsidRPr="00EF2D65">
          <w:rPr>
            <w:rStyle w:val="Hipercze"/>
            <w:rFonts w:cstheme="minorHAnsi"/>
            <w:noProof/>
          </w:rPr>
          <w:t>BILANSOWANIE SYSTEMU DYSTRYBUCYJNEGO I ZARZĄDZANIE OGRANICZENIAMI SYSTEMOWYMI</w:t>
        </w:r>
        <w:r>
          <w:rPr>
            <w:noProof/>
            <w:webHidden/>
          </w:rPr>
          <w:tab/>
        </w:r>
        <w:r>
          <w:rPr>
            <w:noProof/>
            <w:webHidden/>
          </w:rPr>
          <w:fldChar w:fldCharType="begin"/>
        </w:r>
        <w:r>
          <w:rPr>
            <w:noProof/>
            <w:webHidden/>
          </w:rPr>
          <w:instrText xml:space="preserve"> PAGEREF _Toc239333366 \h </w:instrText>
        </w:r>
        <w:r>
          <w:rPr>
            <w:noProof/>
            <w:webHidden/>
          </w:rPr>
        </w:r>
        <w:r>
          <w:rPr>
            <w:noProof/>
            <w:webHidden/>
          </w:rPr>
          <w:fldChar w:fldCharType="separate"/>
        </w:r>
        <w:r>
          <w:rPr>
            <w:noProof/>
            <w:webHidden/>
          </w:rPr>
          <w:t>107</w:t>
        </w:r>
        <w:r>
          <w:rPr>
            <w:noProof/>
            <w:webHidden/>
          </w:rPr>
          <w:fldChar w:fldCharType="end"/>
        </w:r>
      </w:hyperlink>
    </w:p>
    <w:p w14:paraId="07B495AF" w14:textId="2379D82B"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67" w:history="1">
        <w:r w:rsidRPr="00EF2D65">
          <w:rPr>
            <w:rStyle w:val="Hipercze"/>
            <w:rFonts w:cstheme="minorHAnsi"/>
            <w:noProof/>
          </w:rPr>
          <w:t>A.</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POSTANOWIENIA WSTĘPNE</w:t>
        </w:r>
        <w:r>
          <w:rPr>
            <w:noProof/>
            <w:webHidden/>
          </w:rPr>
          <w:tab/>
        </w:r>
        <w:r>
          <w:rPr>
            <w:noProof/>
            <w:webHidden/>
          </w:rPr>
          <w:fldChar w:fldCharType="begin"/>
        </w:r>
        <w:r>
          <w:rPr>
            <w:noProof/>
            <w:webHidden/>
          </w:rPr>
          <w:instrText xml:space="preserve"> PAGEREF _Toc239333367 \h </w:instrText>
        </w:r>
        <w:r>
          <w:rPr>
            <w:noProof/>
            <w:webHidden/>
          </w:rPr>
        </w:r>
        <w:r>
          <w:rPr>
            <w:noProof/>
            <w:webHidden/>
          </w:rPr>
          <w:fldChar w:fldCharType="separate"/>
        </w:r>
        <w:r>
          <w:rPr>
            <w:noProof/>
            <w:webHidden/>
          </w:rPr>
          <w:t>108</w:t>
        </w:r>
        <w:r>
          <w:rPr>
            <w:noProof/>
            <w:webHidden/>
          </w:rPr>
          <w:fldChar w:fldCharType="end"/>
        </w:r>
      </w:hyperlink>
    </w:p>
    <w:p w14:paraId="35DF1804" w14:textId="41B3A21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68" w:history="1">
        <w:r w:rsidRPr="00EF2D65">
          <w:rPr>
            <w:rStyle w:val="Hipercze"/>
            <w:rFonts w:cstheme="minorHAnsi"/>
            <w:noProof/>
          </w:rPr>
          <w:t>A.1.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UWARUNKOWANIA FORMALNO-PRAWNE</w:t>
        </w:r>
        <w:r>
          <w:rPr>
            <w:noProof/>
            <w:webHidden/>
          </w:rPr>
          <w:tab/>
        </w:r>
        <w:r>
          <w:rPr>
            <w:noProof/>
            <w:webHidden/>
          </w:rPr>
          <w:fldChar w:fldCharType="begin"/>
        </w:r>
        <w:r>
          <w:rPr>
            <w:noProof/>
            <w:webHidden/>
          </w:rPr>
          <w:instrText xml:space="preserve"> PAGEREF _Toc239333368 \h </w:instrText>
        </w:r>
        <w:r>
          <w:rPr>
            <w:noProof/>
            <w:webHidden/>
          </w:rPr>
        </w:r>
        <w:r>
          <w:rPr>
            <w:noProof/>
            <w:webHidden/>
          </w:rPr>
          <w:fldChar w:fldCharType="separate"/>
        </w:r>
        <w:r>
          <w:rPr>
            <w:noProof/>
            <w:webHidden/>
          </w:rPr>
          <w:t>108</w:t>
        </w:r>
        <w:r>
          <w:rPr>
            <w:noProof/>
            <w:webHidden/>
          </w:rPr>
          <w:fldChar w:fldCharType="end"/>
        </w:r>
      </w:hyperlink>
    </w:p>
    <w:p w14:paraId="4AA92932" w14:textId="6A122A31"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69" w:history="1">
        <w:r w:rsidRPr="00EF2D65">
          <w:rPr>
            <w:rStyle w:val="Hipercze"/>
            <w:rFonts w:cstheme="minorHAnsi"/>
            <w:noProof/>
          </w:rPr>
          <w:t>A.2.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ZAKRES PRZEDMIOTOWY I PODMIOTOWY</w:t>
        </w:r>
        <w:r>
          <w:rPr>
            <w:noProof/>
            <w:webHidden/>
          </w:rPr>
          <w:tab/>
        </w:r>
        <w:r>
          <w:rPr>
            <w:noProof/>
            <w:webHidden/>
          </w:rPr>
          <w:fldChar w:fldCharType="begin"/>
        </w:r>
        <w:r>
          <w:rPr>
            <w:noProof/>
            <w:webHidden/>
          </w:rPr>
          <w:instrText xml:space="preserve"> PAGEREF _Toc239333369 \h </w:instrText>
        </w:r>
        <w:r>
          <w:rPr>
            <w:noProof/>
            <w:webHidden/>
          </w:rPr>
        </w:r>
        <w:r>
          <w:rPr>
            <w:noProof/>
            <w:webHidden/>
          </w:rPr>
          <w:fldChar w:fldCharType="separate"/>
        </w:r>
        <w:r>
          <w:rPr>
            <w:noProof/>
            <w:webHidden/>
          </w:rPr>
          <w:t>109</w:t>
        </w:r>
        <w:r>
          <w:rPr>
            <w:noProof/>
            <w:webHidden/>
          </w:rPr>
          <w:fldChar w:fldCharType="end"/>
        </w:r>
      </w:hyperlink>
    </w:p>
    <w:p w14:paraId="569E318A" w14:textId="7CD1950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0" w:history="1">
        <w:r w:rsidRPr="00EF2D65">
          <w:rPr>
            <w:rStyle w:val="Hipercze"/>
            <w:rFonts w:cstheme="minorHAnsi"/>
            <w:noProof/>
          </w:rPr>
          <w:t>A.3.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OGÓLNE ZASADY FUNKCJONOWANIA RYNKU BILANSUJĄCEGO I DETALICZNEGO</w:t>
        </w:r>
        <w:r>
          <w:rPr>
            <w:noProof/>
            <w:webHidden/>
          </w:rPr>
          <w:tab/>
        </w:r>
        <w:r>
          <w:rPr>
            <w:noProof/>
            <w:webHidden/>
          </w:rPr>
          <w:fldChar w:fldCharType="begin"/>
        </w:r>
        <w:r>
          <w:rPr>
            <w:noProof/>
            <w:webHidden/>
          </w:rPr>
          <w:instrText xml:space="preserve"> PAGEREF _Toc239333370 \h </w:instrText>
        </w:r>
        <w:r>
          <w:rPr>
            <w:noProof/>
            <w:webHidden/>
          </w:rPr>
        </w:r>
        <w:r>
          <w:rPr>
            <w:noProof/>
            <w:webHidden/>
          </w:rPr>
          <w:fldChar w:fldCharType="separate"/>
        </w:r>
        <w:r>
          <w:rPr>
            <w:noProof/>
            <w:webHidden/>
          </w:rPr>
          <w:t>111</w:t>
        </w:r>
        <w:r>
          <w:rPr>
            <w:noProof/>
            <w:webHidden/>
          </w:rPr>
          <w:fldChar w:fldCharType="end"/>
        </w:r>
      </w:hyperlink>
    </w:p>
    <w:p w14:paraId="0DDF54D3" w14:textId="668A6462"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1" w:history="1">
        <w:r w:rsidRPr="00EF2D65">
          <w:rPr>
            <w:rStyle w:val="Hipercze"/>
            <w:rFonts w:cstheme="minorHAnsi"/>
            <w:noProof/>
          </w:rPr>
          <w:t>A.4.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WARUNKI REALIZACJI UMÓW SPRZEDAŻY ORAZ UMÓW KOMPLEKSOWYCH I UCZESTNICTWA W PROCESIE BILANSOWANIA</w:t>
        </w:r>
        <w:r>
          <w:rPr>
            <w:noProof/>
            <w:webHidden/>
          </w:rPr>
          <w:tab/>
        </w:r>
        <w:r>
          <w:rPr>
            <w:noProof/>
            <w:webHidden/>
          </w:rPr>
          <w:fldChar w:fldCharType="begin"/>
        </w:r>
        <w:r>
          <w:rPr>
            <w:noProof/>
            <w:webHidden/>
          </w:rPr>
          <w:instrText xml:space="preserve"> PAGEREF _Toc239333371 \h </w:instrText>
        </w:r>
        <w:r>
          <w:rPr>
            <w:noProof/>
            <w:webHidden/>
          </w:rPr>
        </w:r>
        <w:r>
          <w:rPr>
            <w:noProof/>
            <w:webHidden/>
          </w:rPr>
          <w:fldChar w:fldCharType="separate"/>
        </w:r>
        <w:r>
          <w:rPr>
            <w:noProof/>
            <w:webHidden/>
          </w:rPr>
          <w:t>114</w:t>
        </w:r>
        <w:r>
          <w:rPr>
            <w:noProof/>
            <w:webHidden/>
          </w:rPr>
          <w:fldChar w:fldCharType="end"/>
        </w:r>
      </w:hyperlink>
    </w:p>
    <w:p w14:paraId="4BC5E663" w14:textId="57720CE2"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2" w:history="1">
        <w:r w:rsidRPr="00EF2D65">
          <w:rPr>
            <w:rStyle w:val="Hipercze"/>
            <w:rFonts w:cstheme="minorHAnsi"/>
            <w:noProof/>
          </w:rPr>
          <w:t>A.5.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KONFIGURACJI PODMIOTOWEJ I OBIEKTOWEJ RYNKU DETALICZNEGO ORAZ NADAWANIA KODÓW IDENTYFIKACYJNYCH</w:t>
        </w:r>
        <w:r>
          <w:rPr>
            <w:noProof/>
            <w:webHidden/>
          </w:rPr>
          <w:tab/>
        </w:r>
        <w:r>
          <w:rPr>
            <w:noProof/>
            <w:webHidden/>
          </w:rPr>
          <w:fldChar w:fldCharType="begin"/>
        </w:r>
        <w:r>
          <w:rPr>
            <w:noProof/>
            <w:webHidden/>
          </w:rPr>
          <w:instrText xml:space="preserve"> PAGEREF _Toc239333372 \h </w:instrText>
        </w:r>
        <w:r>
          <w:rPr>
            <w:noProof/>
            <w:webHidden/>
          </w:rPr>
        </w:r>
        <w:r>
          <w:rPr>
            <w:noProof/>
            <w:webHidden/>
          </w:rPr>
          <w:fldChar w:fldCharType="separate"/>
        </w:r>
        <w:r>
          <w:rPr>
            <w:noProof/>
            <w:webHidden/>
          </w:rPr>
          <w:t>121</w:t>
        </w:r>
        <w:r>
          <w:rPr>
            <w:noProof/>
            <w:webHidden/>
          </w:rPr>
          <w:fldChar w:fldCharType="end"/>
        </w:r>
      </w:hyperlink>
    </w:p>
    <w:p w14:paraId="0224459A" w14:textId="39EBB40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3" w:history="1">
        <w:r w:rsidRPr="00EF2D65">
          <w:rPr>
            <w:rStyle w:val="Hipercze"/>
            <w:rFonts w:cstheme="minorHAnsi"/>
            <w:noProof/>
          </w:rPr>
          <w:t>A.6.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WSPÓŁPRACY OSDn Z OSDp W ZAKRESIE PRZEKAZYWANIA DANYCH POMIAROWYCH</w:t>
        </w:r>
        <w:r>
          <w:rPr>
            <w:noProof/>
            <w:webHidden/>
          </w:rPr>
          <w:tab/>
        </w:r>
        <w:r>
          <w:rPr>
            <w:noProof/>
            <w:webHidden/>
          </w:rPr>
          <w:fldChar w:fldCharType="begin"/>
        </w:r>
        <w:r>
          <w:rPr>
            <w:noProof/>
            <w:webHidden/>
          </w:rPr>
          <w:instrText xml:space="preserve"> PAGEREF _Toc239333373 \h </w:instrText>
        </w:r>
        <w:r>
          <w:rPr>
            <w:noProof/>
            <w:webHidden/>
          </w:rPr>
        </w:r>
        <w:r>
          <w:rPr>
            <w:noProof/>
            <w:webHidden/>
          </w:rPr>
          <w:fldChar w:fldCharType="separate"/>
        </w:r>
        <w:r>
          <w:rPr>
            <w:noProof/>
            <w:webHidden/>
          </w:rPr>
          <w:t>125</w:t>
        </w:r>
        <w:r>
          <w:rPr>
            <w:noProof/>
            <w:webHidden/>
          </w:rPr>
          <w:fldChar w:fldCharType="end"/>
        </w:r>
      </w:hyperlink>
    </w:p>
    <w:p w14:paraId="448ECC0F" w14:textId="446F3AC1"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4" w:history="1">
        <w:r w:rsidRPr="00EF2D65">
          <w:rPr>
            <w:rStyle w:val="Hipercze"/>
            <w:rFonts w:cstheme="minorHAnsi"/>
            <w:noProof/>
          </w:rPr>
          <w:t>A.7.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SPRZEDAŻY REZERWOWEJ</w:t>
        </w:r>
        <w:r>
          <w:rPr>
            <w:noProof/>
            <w:webHidden/>
          </w:rPr>
          <w:tab/>
        </w:r>
        <w:r>
          <w:rPr>
            <w:noProof/>
            <w:webHidden/>
          </w:rPr>
          <w:fldChar w:fldCharType="begin"/>
        </w:r>
        <w:r>
          <w:rPr>
            <w:noProof/>
            <w:webHidden/>
          </w:rPr>
          <w:instrText xml:space="preserve"> PAGEREF _Toc239333374 \h </w:instrText>
        </w:r>
        <w:r>
          <w:rPr>
            <w:noProof/>
            <w:webHidden/>
          </w:rPr>
        </w:r>
        <w:r>
          <w:rPr>
            <w:noProof/>
            <w:webHidden/>
          </w:rPr>
          <w:fldChar w:fldCharType="separate"/>
        </w:r>
        <w:r>
          <w:rPr>
            <w:noProof/>
            <w:webHidden/>
          </w:rPr>
          <w:t>128</w:t>
        </w:r>
        <w:r>
          <w:rPr>
            <w:noProof/>
            <w:webHidden/>
          </w:rPr>
          <w:fldChar w:fldCharType="end"/>
        </w:r>
      </w:hyperlink>
    </w:p>
    <w:p w14:paraId="35372E40" w14:textId="4C2CD887"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5" w:history="1">
        <w:r w:rsidRPr="00EF2D65">
          <w:rPr>
            <w:rStyle w:val="Hipercze"/>
            <w:rFonts w:cstheme="minorHAnsi"/>
            <w:noProof/>
          </w:rPr>
          <w:t>A.8.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WYMIANY INFORMACJI</w:t>
        </w:r>
        <w:r>
          <w:rPr>
            <w:noProof/>
            <w:webHidden/>
          </w:rPr>
          <w:tab/>
        </w:r>
        <w:r>
          <w:rPr>
            <w:noProof/>
            <w:webHidden/>
          </w:rPr>
          <w:fldChar w:fldCharType="begin"/>
        </w:r>
        <w:r>
          <w:rPr>
            <w:noProof/>
            <w:webHidden/>
          </w:rPr>
          <w:instrText xml:space="preserve"> PAGEREF _Toc239333375 \h </w:instrText>
        </w:r>
        <w:r>
          <w:rPr>
            <w:noProof/>
            <w:webHidden/>
          </w:rPr>
        </w:r>
        <w:r>
          <w:rPr>
            <w:noProof/>
            <w:webHidden/>
          </w:rPr>
          <w:fldChar w:fldCharType="separate"/>
        </w:r>
        <w:r>
          <w:rPr>
            <w:noProof/>
            <w:webHidden/>
          </w:rPr>
          <w:t>131</w:t>
        </w:r>
        <w:r>
          <w:rPr>
            <w:noProof/>
            <w:webHidden/>
          </w:rPr>
          <w:fldChar w:fldCharType="end"/>
        </w:r>
      </w:hyperlink>
    </w:p>
    <w:p w14:paraId="20F60CB7" w14:textId="71EF8AB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6" w:history="1">
        <w:r w:rsidRPr="00EF2D65">
          <w:rPr>
            <w:rStyle w:val="Hipercze"/>
            <w:rFonts w:cstheme="minorHAnsi"/>
            <w:noProof/>
          </w:rPr>
          <w:t>A.9.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WSPÓŁPRACY DOTYCZĄCE USŁUGI IRP I USŁUGI IZP</w:t>
        </w:r>
        <w:r>
          <w:rPr>
            <w:noProof/>
            <w:webHidden/>
          </w:rPr>
          <w:tab/>
        </w:r>
        <w:r>
          <w:rPr>
            <w:noProof/>
            <w:webHidden/>
          </w:rPr>
          <w:fldChar w:fldCharType="begin"/>
        </w:r>
        <w:r>
          <w:rPr>
            <w:noProof/>
            <w:webHidden/>
          </w:rPr>
          <w:instrText xml:space="preserve"> PAGEREF _Toc239333376 \h </w:instrText>
        </w:r>
        <w:r>
          <w:rPr>
            <w:noProof/>
            <w:webHidden/>
          </w:rPr>
        </w:r>
        <w:r>
          <w:rPr>
            <w:noProof/>
            <w:webHidden/>
          </w:rPr>
          <w:fldChar w:fldCharType="separate"/>
        </w:r>
        <w:r>
          <w:rPr>
            <w:noProof/>
            <w:webHidden/>
          </w:rPr>
          <w:t>131</w:t>
        </w:r>
        <w:r>
          <w:rPr>
            <w:noProof/>
            <w:webHidden/>
          </w:rPr>
          <w:fldChar w:fldCharType="end"/>
        </w:r>
      </w:hyperlink>
    </w:p>
    <w:p w14:paraId="1A529C8D" w14:textId="5A55CD74"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7" w:history="1">
        <w:r w:rsidRPr="00EF2D65">
          <w:rPr>
            <w:rStyle w:val="Hipercze"/>
            <w:rFonts w:cstheme="minorHAnsi"/>
            <w:noProof/>
          </w:rPr>
          <w:t>A.10.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WSPÓŁPRACY DOTYCZĄCE USŁUG BILANSUJĄCYCH</w:t>
        </w:r>
        <w:r>
          <w:rPr>
            <w:noProof/>
            <w:webHidden/>
          </w:rPr>
          <w:tab/>
        </w:r>
        <w:r>
          <w:rPr>
            <w:noProof/>
            <w:webHidden/>
          </w:rPr>
          <w:fldChar w:fldCharType="begin"/>
        </w:r>
        <w:r>
          <w:rPr>
            <w:noProof/>
            <w:webHidden/>
          </w:rPr>
          <w:instrText xml:space="preserve"> PAGEREF _Toc239333377 \h </w:instrText>
        </w:r>
        <w:r>
          <w:rPr>
            <w:noProof/>
            <w:webHidden/>
          </w:rPr>
        </w:r>
        <w:r>
          <w:rPr>
            <w:noProof/>
            <w:webHidden/>
          </w:rPr>
          <w:fldChar w:fldCharType="separate"/>
        </w:r>
        <w:r>
          <w:rPr>
            <w:noProof/>
            <w:webHidden/>
          </w:rPr>
          <w:t>142</w:t>
        </w:r>
        <w:r>
          <w:rPr>
            <w:noProof/>
            <w:webHidden/>
          </w:rPr>
          <w:fldChar w:fldCharType="end"/>
        </w:r>
      </w:hyperlink>
    </w:p>
    <w:p w14:paraId="6E4C9F6B" w14:textId="29E07BC8"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78" w:history="1">
        <w:r w:rsidRPr="00EF2D65">
          <w:rPr>
            <w:rStyle w:val="Hipercze"/>
            <w:rFonts w:cstheme="minorHAnsi"/>
            <w:noProof/>
          </w:rPr>
          <w:t>A.11.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UWARUNKOWANIA ŚWIADCZENIA USŁUG BILANSUJĄCYCH</w:t>
        </w:r>
        <w:r>
          <w:rPr>
            <w:noProof/>
            <w:webHidden/>
          </w:rPr>
          <w:tab/>
        </w:r>
        <w:r>
          <w:rPr>
            <w:noProof/>
            <w:webHidden/>
          </w:rPr>
          <w:fldChar w:fldCharType="begin"/>
        </w:r>
        <w:r>
          <w:rPr>
            <w:noProof/>
            <w:webHidden/>
          </w:rPr>
          <w:instrText xml:space="preserve"> PAGEREF _Toc239333378 \h </w:instrText>
        </w:r>
        <w:r>
          <w:rPr>
            <w:noProof/>
            <w:webHidden/>
          </w:rPr>
        </w:r>
        <w:r>
          <w:rPr>
            <w:noProof/>
            <w:webHidden/>
          </w:rPr>
          <w:fldChar w:fldCharType="separate"/>
        </w:r>
        <w:r>
          <w:rPr>
            <w:noProof/>
            <w:webHidden/>
          </w:rPr>
          <w:t>145</w:t>
        </w:r>
        <w:r>
          <w:rPr>
            <w:noProof/>
            <w:webHidden/>
          </w:rPr>
          <w:fldChar w:fldCharType="end"/>
        </w:r>
      </w:hyperlink>
    </w:p>
    <w:p w14:paraId="0C8CAFAE" w14:textId="32773E83"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379" w:history="1">
        <w:r w:rsidRPr="00EF2D65">
          <w:rPr>
            <w:rStyle w:val="Hipercze"/>
            <w:rFonts w:cstheme="minorHAnsi"/>
            <w:noProof/>
          </w:rPr>
          <w:t>B.</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ZASADY ZAWIERANIA UMÓW DYSTRYBUCJI Z URD</w:t>
        </w:r>
        <w:r>
          <w:rPr>
            <w:noProof/>
            <w:webHidden/>
          </w:rPr>
          <w:tab/>
        </w:r>
        <w:r>
          <w:rPr>
            <w:noProof/>
            <w:webHidden/>
          </w:rPr>
          <w:fldChar w:fldCharType="begin"/>
        </w:r>
        <w:r>
          <w:rPr>
            <w:noProof/>
            <w:webHidden/>
          </w:rPr>
          <w:instrText xml:space="preserve"> PAGEREF _Toc239333379 \h </w:instrText>
        </w:r>
        <w:r>
          <w:rPr>
            <w:noProof/>
            <w:webHidden/>
          </w:rPr>
        </w:r>
        <w:r>
          <w:rPr>
            <w:noProof/>
            <w:webHidden/>
          </w:rPr>
          <w:fldChar w:fldCharType="separate"/>
        </w:r>
        <w:r>
          <w:rPr>
            <w:noProof/>
            <w:webHidden/>
          </w:rPr>
          <w:t>147</w:t>
        </w:r>
        <w:r>
          <w:rPr>
            <w:noProof/>
            <w:webHidden/>
          </w:rPr>
          <w:fldChar w:fldCharType="end"/>
        </w:r>
      </w:hyperlink>
    </w:p>
    <w:p w14:paraId="0C3C5798" w14:textId="3260CCD5"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0" w:history="1">
        <w:r w:rsidRPr="00EF2D65">
          <w:rPr>
            <w:rStyle w:val="Hipercze"/>
            <w:rFonts w:cstheme="minorHAnsi"/>
            <w:noProof/>
          </w:rPr>
          <w:t>B.1.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Umowa dystrybucji zawierana jest na wniosek URD</w:t>
        </w:r>
        <w:r w:rsidRPr="00EF2D65">
          <w:rPr>
            <w:rStyle w:val="Hipercze"/>
            <w:rFonts w:cstheme="minorHAnsi"/>
            <w:noProof/>
            <w:vertAlign w:val="subscript"/>
          </w:rPr>
          <w:t>O</w:t>
        </w:r>
        <w:r w:rsidRPr="00EF2D65">
          <w:rPr>
            <w:rStyle w:val="Hipercze"/>
            <w:rFonts w:cstheme="minorHAnsi"/>
            <w:noProof/>
          </w:rPr>
          <w:t>, URD</w:t>
        </w:r>
        <w:r w:rsidRPr="00EF2D65">
          <w:rPr>
            <w:rStyle w:val="Hipercze"/>
            <w:rFonts w:cstheme="minorHAnsi"/>
            <w:noProof/>
            <w:vertAlign w:val="subscript"/>
          </w:rPr>
          <w:t>W</w:t>
        </w:r>
        <w:r w:rsidRPr="00EF2D65">
          <w:rPr>
            <w:rStyle w:val="Hipercze"/>
            <w:rFonts w:cstheme="minorHAnsi"/>
            <w:noProof/>
          </w:rPr>
          <w:t xml:space="preserve"> oraz URD</w:t>
        </w:r>
        <w:r w:rsidRPr="00EF2D65">
          <w:rPr>
            <w:rStyle w:val="Hipercze"/>
            <w:rFonts w:cstheme="minorHAnsi"/>
            <w:noProof/>
            <w:vertAlign w:val="subscript"/>
          </w:rPr>
          <w:t>ME</w:t>
        </w:r>
        <w:r w:rsidRPr="00EF2D65">
          <w:rPr>
            <w:rStyle w:val="Hipercze"/>
            <w:rFonts w:cstheme="minorHAnsi"/>
            <w:noProof/>
          </w:rPr>
          <w:t xml:space="preserve"> lub podmiotu przyłączanego do sieci dystrybucyjnej ACPRO.</w:t>
        </w:r>
        <w:r>
          <w:rPr>
            <w:noProof/>
            <w:webHidden/>
          </w:rPr>
          <w:tab/>
        </w:r>
        <w:r>
          <w:rPr>
            <w:noProof/>
            <w:webHidden/>
          </w:rPr>
          <w:fldChar w:fldCharType="begin"/>
        </w:r>
        <w:r>
          <w:rPr>
            <w:noProof/>
            <w:webHidden/>
          </w:rPr>
          <w:instrText xml:space="preserve"> PAGEREF _Toc239333380 \h </w:instrText>
        </w:r>
        <w:r>
          <w:rPr>
            <w:noProof/>
            <w:webHidden/>
          </w:rPr>
        </w:r>
        <w:r>
          <w:rPr>
            <w:noProof/>
            <w:webHidden/>
          </w:rPr>
          <w:fldChar w:fldCharType="separate"/>
        </w:r>
        <w:r>
          <w:rPr>
            <w:noProof/>
            <w:webHidden/>
          </w:rPr>
          <w:t>147</w:t>
        </w:r>
        <w:r>
          <w:rPr>
            <w:noProof/>
            <w:webHidden/>
          </w:rPr>
          <w:fldChar w:fldCharType="end"/>
        </w:r>
      </w:hyperlink>
    </w:p>
    <w:p w14:paraId="01F90A3C" w14:textId="5721DF4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1" w:history="1">
        <w:r w:rsidRPr="00EF2D65">
          <w:rPr>
            <w:rStyle w:val="Hipercze"/>
            <w:rFonts w:cstheme="minorHAnsi"/>
            <w:noProof/>
          </w:rPr>
          <w:t>B.2.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Dla URD</w:t>
        </w:r>
        <w:r w:rsidRPr="00EF2D65">
          <w:rPr>
            <w:rStyle w:val="Hipercze"/>
            <w:rFonts w:cstheme="minorHAnsi"/>
            <w:noProof/>
            <w:vertAlign w:val="subscript"/>
          </w:rPr>
          <w:t>O</w:t>
        </w:r>
        <w:r w:rsidRPr="00EF2D65">
          <w:rPr>
            <w:rStyle w:val="Hipercze"/>
            <w:rFonts w:cstheme="minorHAnsi"/>
            <w:noProof/>
          </w:rPr>
          <w:t xml:space="preserve"> posiadającego umowę kompleksową nie będącego URD</w:t>
        </w:r>
        <w:r w:rsidRPr="00EF2D65">
          <w:rPr>
            <w:rStyle w:val="Hipercze"/>
            <w:rFonts w:cstheme="minorHAnsi"/>
            <w:noProof/>
            <w:vertAlign w:val="subscript"/>
          </w:rPr>
          <w:t>O</w:t>
        </w:r>
        <w:r w:rsidRPr="00EF2D65">
          <w:rPr>
            <w:rStyle w:val="Hipercze"/>
            <w:rFonts w:cstheme="minorHAnsi"/>
            <w:noProof/>
          </w:rPr>
          <w:t xml:space="preserve"> w gospodarstwie domowym, który chce zawrzeć umowę dystrybucji, dopuszcza się zawarcie umowy dystrybucji poprzez złożenie przez upoważnionego sprzedawcę działającego w imieniu i na rzecz URD</w:t>
        </w:r>
        <w:r w:rsidRPr="00EF2D65">
          <w:rPr>
            <w:rStyle w:val="Hipercze"/>
            <w:rFonts w:cstheme="minorHAnsi"/>
            <w:noProof/>
            <w:vertAlign w:val="subscript"/>
          </w:rPr>
          <w:t>O</w:t>
        </w:r>
        <w:r w:rsidRPr="00EF2D65">
          <w:rPr>
            <w:rStyle w:val="Hipercze"/>
            <w:rFonts w:cstheme="minorHAnsi"/>
            <w:noProof/>
          </w:rPr>
          <w:t xml:space="preserve"> wraz z powiadomieniem, o którym mowa w pkt D.2.1, oświadczenia o posiadaniu oświadczenia woli tego URD</w:t>
        </w:r>
        <w:r w:rsidRPr="00EF2D65">
          <w:rPr>
            <w:rStyle w:val="Hipercze"/>
            <w:rFonts w:cstheme="minorHAnsi"/>
            <w:noProof/>
            <w:vertAlign w:val="subscript"/>
          </w:rPr>
          <w:t>O</w:t>
        </w:r>
        <w:r w:rsidRPr="00EF2D65">
          <w:rPr>
            <w:rStyle w:val="Hipercze"/>
            <w:rFonts w:cstheme="minorHAnsi"/>
            <w:noProof/>
          </w:rPr>
          <w:t xml:space="preserve"> (według wzoru zamieszczonego na stronie internetowej ACPRO lub udostępnionego w siedzibie ACPRO) obejmującego zgodę URD</w:t>
        </w:r>
        <w:r w:rsidRPr="00EF2D65">
          <w:rPr>
            <w:rStyle w:val="Hipercze"/>
            <w:rFonts w:cstheme="minorHAnsi"/>
            <w:noProof/>
            <w:vertAlign w:val="subscript"/>
          </w:rPr>
          <w:t>O</w:t>
        </w:r>
        <w:r w:rsidRPr="00EF2D65">
          <w:rPr>
            <w:rStyle w:val="Hipercze"/>
            <w:rFonts w:cstheme="minorHAnsi"/>
            <w:noProof/>
          </w:rPr>
          <w:t xml:space="preserve"> na zawarcie umowy dystrybucji z ACPRO, na warunkach wynikających z</w:t>
        </w:r>
        <w:r>
          <w:rPr>
            <w:noProof/>
            <w:webHidden/>
          </w:rPr>
          <w:tab/>
        </w:r>
        <w:r>
          <w:rPr>
            <w:noProof/>
            <w:webHidden/>
          </w:rPr>
          <w:fldChar w:fldCharType="begin"/>
        </w:r>
        <w:r>
          <w:rPr>
            <w:noProof/>
            <w:webHidden/>
          </w:rPr>
          <w:instrText xml:space="preserve"> PAGEREF _Toc239333381 \h </w:instrText>
        </w:r>
        <w:r>
          <w:rPr>
            <w:noProof/>
            <w:webHidden/>
          </w:rPr>
        </w:r>
        <w:r>
          <w:rPr>
            <w:noProof/>
            <w:webHidden/>
          </w:rPr>
          <w:fldChar w:fldCharType="separate"/>
        </w:r>
        <w:r>
          <w:rPr>
            <w:noProof/>
            <w:webHidden/>
          </w:rPr>
          <w:t>147</w:t>
        </w:r>
        <w:r>
          <w:rPr>
            <w:noProof/>
            <w:webHidden/>
          </w:rPr>
          <w:fldChar w:fldCharType="end"/>
        </w:r>
      </w:hyperlink>
    </w:p>
    <w:p w14:paraId="4A0A531F" w14:textId="5F119E6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2" w:history="1">
        <w:r w:rsidRPr="00EF2D65">
          <w:rPr>
            <w:rStyle w:val="Hipercze"/>
            <w:rFonts w:cstheme="minorHAnsi"/>
            <w:noProof/>
          </w:rPr>
          <w:t>B.3.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URDw, umowa dystrybucji jest zawierana na wniosek, złożony na wzorze, o którym mowa w pkt. B.1. po wskazaniu POB</w:t>
        </w:r>
        <w:r w:rsidRPr="00EF2D65">
          <w:rPr>
            <w:rStyle w:val="Hipercze"/>
            <w:rFonts w:cstheme="minorHAnsi"/>
            <w:noProof/>
            <w:vertAlign w:val="subscript"/>
          </w:rPr>
          <w:t>Z</w:t>
        </w:r>
        <w:r w:rsidRPr="00EF2D65">
          <w:rPr>
            <w:rStyle w:val="Hipercze"/>
            <w:rFonts w:cstheme="minorHAnsi"/>
            <w:noProof/>
          </w:rPr>
          <w:t xml:space="preserve"> przez URDw.</w:t>
        </w:r>
        <w:r>
          <w:rPr>
            <w:noProof/>
            <w:webHidden/>
          </w:rPr>
          <w:tab/>
        </w:r>
        <w:r>
          <w:rPr>
            <w:noProof/>
            <w:webHidden/>
          </w:rPr>
          <w:fldChar w:fldCharType="begin"/>
        </w:r>
        <w:r>
          <w:rPr>
            <w:noProof/>
            <w:webHidden/>
          </w:rPr>
          <w:instrText xml:space="preserve"> PAGEREF _Toc239333382 \h </w:instrText>
        </w:r>
        <w:r>
          <w:rPr>
            <w:noProof/>
            <w:webHidden/>
          </w:rPr>
        </w:r>
        <w:r>
          <w:rPr>
            <w:noProof/>
            <w:webHidden/>
          </w:rPr>
          <w:fldChar w:fldCharType="separate"/>
        </w:r>
        <w:r>
          <w:rPr>
            <w:noProof/>
            <w:webHidden/>
          </w:rPr>
          <w:t>149</w:t>
        </w:r>
        <w:r>
          <w:rPr>
            <w:noProof/>
            <w:webHidden/>
          </w:rPr>
          <w:fldChar w:fldCharType="end"/>
        </w:r>
      </w:hyperlink>
    </w:p>
    <w:p w14:paraId="0923B65E" w14:textId="59F4C1B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3" w:history="1">
        <w:r w:rsidRPr="00EF2D65">
          <w:rPr>
            <w:rStyle w:val="Hipercze"/>
            <w:rFonts w:cstheme="minorHAnsi"/>
            <w:noProof/>
          </w:rPr>
          <w:t>B.4.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złożenia przez URD</w:t>
        </w:r>
        <w:r w:rsidRPr="00EF2D65">
          <w:rPr>
            <w:rStyle w:val="Hipercze"/>
            <w:rFonts w:cstheme="minorHAnsi"/>
            <w:noProof/>
            <w:vertAlign w:val="subscript"/>
          </w:rPr>
          <w:t>O</w:t>
        </w:r>
        <w:r w:rsidRPr="00EF2D65">
          <w:rPr>
            <w:rStyle w:val="Hipercze"/>
            <w:rFonts w:cstheme="minorHAnsi"/>
            <w:noProof/>
          </w:rPr>
          <w:t xml:space="preserve"> wniosku opisanego w pkt B.1. ACPRO w terminie:</w:t>
        </w:r>
        <w:r>
          <w:rPr>
            <w:noProof/>
            <w:webHidden/>
          </w:rPr>
          <w:tab/>
        </w:r>
        <w:r>
          <w:rPr>
            <w:noProof/>
            <w:webHidden/>
          </w:rPr>
          <w:fldChar w:fldCharType="begin"/>
        </w:r>
        <w:r>
          <w:rPr>
            <w:noProof/>
            <w:webHidden/>
          </w:rPr>
          <w:instrText xml:space="preserve"> PAGEREF _Toc239333383 \h </w:instrText>
        </w:r>
        <w:r>
          <w:rPr>
            <w:noProof/>
            <w:webHidden/>
          </w:rPr>
        </w:r>
        <w:r>
          <w:rPr>
            <w:noProof/>
            <w:webHidden/>
          </w:rPr>
          <w:fldChar w:fldCharType="separate"/>
        </w:r>
        <w:r>
          <w:rPr>
            <w:noProof/>
            <w:webHidden/>
          </w:rPr>
          <w:t>150</w:t>
        </w:r>
        <w:r>
          <w:rPr>
            <w:noProof/>
            <w:webHidden/>
          </w:rPr>
          <w:fldChar w:fldCharType="end"/>
        </w:r>
      </w:hyperlink>
    </w:p>
    <w:p w14:paraId="3A17E00F" w14:textId="65A7C34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4" w:history="1">
        <w:r w:rsidRPr="00EF2D65">
          <w:rPr>
            <w:rStyle w:val="Hipercze"/>
            <w:rFonts w:cstheme="minorHAnsi"/>
            <w:noProof/>
          </w:rPr>
          <w:t>B.5.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Umowa dystrybucji wchodzi w życie w dniu rozpoczęcia sprzedaży energii przez sprzedawcę  po wypełnieniu procedury, o której mowa w rozdziale D lub w dniu rozpoczęcia sprzedaży rezerwowej, w przypadku gdy umowa sprzedaży energii zawarta przez URD</w:t>
        </w:r>
        <w:r w:rsidRPr="00EF2D65">
          <w:rPr>
            <w:rStyle w:val="Hipercze"/>
            <w:rFonts w:cstheme="minorHAnsi"/>
            <w:noProof/>
            <w:vertAlign w:val="subscript"/>
          </w:rPr>
          <w:t>O</w:t>
        </w:r>
        <w:r w:rsidRPr="00EF2D65">
          <w:rPr>
            <w:rStyle w:val="Hipercze"/>
            <w:rFonts w:cstheme="minorHAnsi"/>
            <w:noProof/>
          </w:rPr>
          <w:t xml:space="preserve"> ze sprzedawcą nie będzie mogła być realizowana.</w:t>
        </w:r>
        <w:r>
          <w:rPr>
            <w:noProof/>
            <w:webHidden/>
          </w:rPr>
          <w:tab/>
        </w:r>
        <w:r>
          <w:rPr>
            <w:noProof/>
            <w:webHidden/>
          </w:rPr>
          <w:fldChar w:fldCharType="begin"/>
        </w:r>
        <w:r>
          <w:rPr>
            <w:noProof/>
            <w:webHidden/>
          </w:rPr>
          <w:instrText xml:space="preserve"> PAGEREF _Toc239333384 \h </w:instrText>
        </w:r>
        <w:r>
          <w:rPr>
            <w:noProof/>
            <w:webHidden/>
          </w:rPr>
        </w:r>
        <w:r>
          <w:rPr>
            <w:noProof/>
            <w:webHidden/>
          </w:rPr>
          <w:fldChar w:fldCharType="separate"/>
        </w:r>
        <w:r>
          <w:rPr>
            <w:noProof/>
            <w:webHidden/>
          </w:rPr>
          <w:t>150</w:t>
        </w:r>
        <w:r>
          <w:rPr>
            <w:noProof/>
            <w:webHidden/>
          </w:rPr>
          <w:fldChar w:fldCharType="end"/>
        </w:r>
      </w:hyperlink>
    </w:p>
    <w:p w14:paraId="40FB63DC" w14:textId="4042ABDB"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5" w:history="1">
        <w:r w:rsidRPr="00EF2D65">
          <w:rPr>
            <w:rStyle w:val="Hipercze"/>
            <w:rFonts w:cstheme="minorHAnsi"/>
            <w:noProof/>
          </w:rPr>
          <w:t>B.6.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zawarcia przez URD</w:t>
        </w:r>
        <w:r w:rsidRPr="00EF2D65">
          <w:rPr>
            <w:rStyle w:val="Hipercze"/>
            <w:rFonts w:cstheme="minorHAnsi"/>
            <w:noProof/>
            <w:vertAlign w:val="subscript"/>
          </w:rPr>
          <w:t>O</w:t>
        </w:r>
        <w:r w:rsidRPr="00EF2D65">
          <w:rPr>
            <w:rStyle w:val="Hipercze"/>
            <w:rFonts w:cstheme="minorHAnsi"/>
            <w:noProof/>
          </w:rPr>
          <w:t xml:space="preserve"> z ACPRO umowy dystrybucji, z dniem rozpoczęcia świadczenia usługi dystrybucji w ramach tej umowy, dotychczasowa umowa kompleksowa przestaje być realizowana przez ACPRO</w:t>
        </w:r>
        <w:r>
          <w:rPr>
            <w:noProof/>
            <w:webHidden/>
          </w:rPr>
          <w:tab/>
        </w:r>
        <w:r>
          <w:rPr>
            <w:noProof/>
            <w:webHidden/>
          </w:rPr>
          <w:fldChar w:fldCharType="begin"/>
        </w:r>
        <w:r>
          <w:rPr>
            <w:noProof/>
            <w:webHidden/>
          </w:rPr>
          <w:instrText xml:space="preserve"> PAGEREF _Toc239333385 \h </w:instrText>
        </w:r>
        <w:r>
          <w:rPr>
            <w:noProof/>
            <w:webHidden/>
          </w:rPr>
        </w:r>
        <w:r>
          <w:rPr>
            <w:noProof/>
            <w:webHidden/>
          </w:rPr>
          <w:fldChar w:fldCharType="separate"/>
        </w:r>
        <w:r>
          <w:rPr>
            <w:noProof/>
            <w:webHidden/>
          </w:rPr>
          <w:t>150</w:t>
        </w:r>
        <w:r>
          <w:rPr>
            <w:noProof/>
            <w:webHidden/>
          </w:rPr>
          <w:fldChar w:fldCharType="end"/>
        </w:r>
      </w:hyperlink>
    </w:p>
    <w:p w14:paraId="0732C28C" w14:textId="03CEFB2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6" w:history="1">
        <w:r w:rsidRPr="00EF2D65">
          <w:rPr>
            <w:rStyle w:val="Hipercze"/>
            <w:rFonts w:cstheme="minorHAnsi"/>
            <w:noProof/>
          </w:rPr>
          <w:t>B.7.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świadczenia usług dystrybucji przez ACPRO dla URD</w:t>
        </w:r>
        <w:r w:rsidRPr="00EF2D65">
          <w:rPr>
            <w:rStyle w:val="Hipercze"/>
            <w:rFonts w:cstheme="minorHAnsi"/>
            <w:noProof/>
            <w:vertAlign w:val="subscript"/>
          </w:rPr>
          <w:t>O</w:t>
        </w:r>
        <w:r w:rsidRPr="00EF2D65">
          <w:rPr>
            <w:rStyle w:val="Hipercze"/>
            <w:rFonts w:cstheme="minorHAnsi"/>
            <w:noProof/>
          </w:rPr>
          <w:t xml:space="preserve"> posiadających zawarte umowy kompleksowe, określa się w umowie zawieranej pomiędzy ACPRO a sprzedawcą oraz w IRiESD.</w:t>
        </w:r>
        <w:r>
          <w:rPr>
            <w:noProof/>
            <w:webHidden/>
          </w:rPr>
          <w:tab/>
        </w:r>
        <w:r>
          <w:rPr>
            <w:noProof/>
            <w:webHidden/>
          </w:rPr>
          <w:fldChar w:fldCharType="begin"/>
        </w:r>
        <w:r>
          <w:rPr>
            <w:noProof/>
            <w:webHidden/>
          </w:rPr>
          <w:instrText xml:space="preserve"> PAGEREF _Toc239333386 \h </w:instrText>
        </w:r>
        <w:r>
          <w:rPr>
            <w:noProof/>
            <w:webHidden/>
          </w:rPr>
        </w:r>
        <w:r>
          <w:rPr>
            <w:noProof/>
            <w:webHidden/>
          </w:rPr>
          <w:fldChar w:fldCharType="separate"/>
        </w:r>
        <w:r>
          <w:rPr>
            <w:noProof/>
            <w:webHidden/>
          </w:rPr>
          <w:t>151</w:t>
        </w:r>
        <w:r>
          <w:rPr>
            <w:noProof/>
            <w:webHidden/>
          </w:rPr>
          <w:fldChar w:fldCharType="end"/>
        </w:r>
      </w:hyperlink>
    </w:p>
    <w:p w14:paraId="415E1D3F" w14:textId="69D9A20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7" w:history="1">
        <w:r w:rsidRPr="00EF2D65">
          <w:rPr>
            <w:rStyle w:val="Hipercze"/>
            <w:rFonts w:cstheme="minorHAnsi"/>
            <w:noProof/>
          </w:rPr>
          <w:t>B.8.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zawarcia przez URD</w:t>
        </w:r>
        <w:r w:rsidRPr="00EF2D65">
          <w:rPr>
            <w:rStyle w:val="Hipercze"/>
            <w:rFonts w:cstheme="minorHAnsi"/>
            <w:noProof/>
            <w:vertAlign w:val="subscript"/>
          </w:rPr>
          <w:t>O</w:t>
        </w:r>
        <w:r w:rsidRPr="00EF2D65">
          <w:rPr>
            <w:rStyle w:val="Hipercze"/>
            <w:rFonts w:cstheme="minorHAnsi"/>
            <w:noProof/>
          </w:rPr>
          <w:t xml:space="preserve"> z wybranym sprzedawcą umowy kompleksowej, z dniem rozpoczęcia świadczenia usługi kompleksowej zgodnie z IRiESD-Bilansowanie, umowa ta w części dotyczącej świadczenia usług dystrybucji zastępuje dotychczasową umowę o świadczenie usług dystrybucji zawartą z ACPRO, której stroną był ten URD</w:t>
        </w:r>
        <w:r w:rsidRPr="00EF2D65">
          <w:rPr>
            <w:rStyle w:val="Hipercze"/>
            <w:rFonts w:cstheme="minorHAnsi"/>
            <w:noProof/>
            <w:vertAlign w:val="subscript"/>
          </w:rPr>
          <w:t>O</w:t>
        </w:r>
        <w:r w:rsidRPr="00EF2D65">
          <w:rPr>
            <w:rStyle w:val="Hipercze"/>
            <w:rFonts w:cstheme="minorHAnsi"/>
            <w:noProof/>
          </w:rPr>
          <w:t>. Dotychczasowa umowa o świadczenie usług dystrybucji ulega z tym dniem rozwiązaniu.</w:t>
        </w:r>
        <w:r>
          <w:rPr>
            <w:noProof/>
            <w:webHidden/>
          </w:rPr>
          <w:tab/>
        </w:r>
        <w:r>
          <w:rPr>
            <w:noProof/>
            <w:webHidden/>
          </w:rPr>
          <w:fldChar w:fldCharType="begin"/>
        </w:r>
        <w:r>
          <w:rPr>
            <w:noProof/>
            <w:webHidden/>
          </w:rPr>
          <w:instrText xml:space="preserve"> PAGEREF _Toc239333387 \h </w:instrText>
        </w:r>
        <w:r>
          <w:rPr>
            <w:noProof/>
            <w:webHidden/>
          </w:rPr>
        </w:r>
        <w:r>
          <w:rPr>
            <w:noProof/>
            <w:webHidden/>
          </w:rPr>
          <w:fldChar w:fldCharType="separate"/>
        </w:r>
        <w:r>
          <w:rPr>
            <w:noProof/>
            <w:webHidden/>
          </w:rPr>
          <w:t>151</w:t>
        </w:r>
        <w:r>
          <w:rPr>
            <w:noProof/>
            <w:webHidden/>
          </w:rPr>
          <w:fldChar w:fldCharType="end"/>
        </w:r>
      </w:hyperlink>
    </w:p>
    <w:p w14:paraId="5294D00E" w14:textId="2314605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8" w:history="1">
        <w:r w:rsidRPr="00EF2D65">
          <w:rPr>
            <w:rStyle w:val="Hipercze"/>
            <w:rFonts w:cstheme="minorHAnsi"/>
            <w:noProof/>
          </w:rPr>
          <w:t>B.9.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zgłaszania umów sprzedaży energii elektrycznej oraz umów kompleksowych, w tym terminy rozpoczęcia sprzedaży energii lub świadczenia usługi kompleksowej, określa rozdział D i F.</w:t>
        </w:r>
        <w:r>
          <w:rPr>
            <w:noProof/>
            <w:webHidden/>
          </w:rPr>
          <w:tab/>
        </w:r>
        <w:r>
          <w:rPr>
            <w:noProof/>
            <w:webHidden/>
          </w:rPr>
          <w:fldChar w:fldCharType="begin"/>
        </w:r>
        <w:r>
          <w:rPr>
            <w:noProof/>
            <w:webHidden/>
          </w:rPr>
          <w:instrText xml:space="preserve"> PAGEREF _Toc239333388 \h </w:instrText>
        </w:r>
        <w:r>
          <w:rPr>
            <w:noProof/>
            <w:webHidden/>
          </w:rPr>
        </w:r>
        <w:r>
          <w:rPr>
            <w:noProof/>
            <w:webHidden/>
          </w:rPr>
          <w:fldChar w:fldCharType="separate"/>
        </w:r>
        <w:r>
          <w:rPr>
            <w:noProof/>
            <w:webHidden/>
          </w:rPr>
          <w:t>151</w:t>
        </w:r>
        <w:r>
          <w:rPr>
            <w:noProof/>
            <w:webHidden/>
          </w:rPr>
          <w:fldChar w:fldCharType="end"/>
        </w:r>
      </w:hyperlink>
    </w:p>
    <w:p w14:paraId="31FE7E95" w14:textId="57855CD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89" w:history="1">
        <w:r w:rsidRPr="00EF2D65">
          <w:rPr>
            <w:rStyle w:val="Hipercze"/>
            <w:rFonts w:cstheme="minorHAnsi"/>
            <w:noProof/>
          </w:rPr>
          <w:t>B.10.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Rozdzielenie umowy kompleksowej na umowę sprzedaży oraz umowę dystrybucji bez dokonywania zmiany sprzedawcy jest możliwe tylko dla URD nie będących URD w gospodarstwie domowym i wymaga zgłoszenia umowy sprzedaży na zasadach i w trybie określonym w rozdziale D.</w:t>
        </w:r>
        <w:r>
          <w:rPr>
            <w:noProof/>
            <w:webHidden/>
          </w:rPr>
          <w:tab/>
        </w:r>
        <w:r>
          <w:rPr>
            <w:noProof/>
            <w:webHidden/>
          </w:rPr>
          <w:fldChar w:fldCharType="begin"/>
        </w:r>
        <w:r>
          <w:rPr>
            <w:noProof/>
            <w:webHidden/>
          </w:rPr>
          <w:instrText xml:space="preserve"> PAGEREF _Toc239333389 \h </w:instrText>
        </w:r>
        <w:r>
          <w:rPr>
            <w:noProof/>
            <w:webHidden/>
          </w:rPr>
        </w:r>
        <w:r>
          <w:rPr>
            <w:noProof/>
            <w:webHidden/>
          </w:rPr>
          <w:fldChar w:fldCharType="separate"/>
        </w:r>
        <w:r>
          <w:rPr>
            <w:noProof/>
            <w:webHidden/>
          </w:rPr>
          <w:t>151</w:t>
        </w:r>
        <w:r>
          <w:rPr>
            <w:noProof/>
            <w:webHidden/>
          </w:rPr>
          <w:fldChar w:fldCharType="end"/>
        </w:r>
      </w:hyperlink>
    </w:p>
    <w:p w14:paraId="0B4AD746" w14:textId="0B084E3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0" w:history="1">
        <w:r w:rsidRPr="00EF2D65">
          <w:rPr>
            <w:rStyle w:val="Hipercze"/>
            <w:rFonts w:cstheme="minorHAnsi"/>
            <w:noProof/>
          </w:rPr>
          <w:t>B.11.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URDo przyłączanych do sieci dystrybucyjnej ACPRO lub zmiany URD</w:t>
        </w:r>
        <w:r w:rsidRPr="00EF2D65">
          <w:rPr>
            <w:rStyle w:val="Hipercze"/>
            <w:rFonts w:cstheme="minorHAnsi"/>
            <w:noProof/>
            <w:vertAlign w:val="subscript"/>
          </w:rPr>
          <w:t>O</w:t>
        </w:r>
        <w:r w:rsidRPr="00EF2D65">
          <w:rPr>
            <w:rStyle w:val="Hipercze"/>
            <w:rFonts w:cstheme="minorHAnsi"/>
            <w:noProof/>
          </w:rPr>
          <w:t xml:space="preserve"> dla istniejącego PPE przyłączonego do sieci dystrybucyjnej ACPRO, zawieranie umowy dystrybucji odbywa się przy zachowaniu postanowień pkt. B.2. – B.6,  B.8 B.9.</w:t>
        </w:r>
        <w:r>
          <w:rPr>
            <w:noProof/>
            <w:webHidden/>
          </w:rPr>
          <w:tab/>
        </w:r>
        <w:r>
          <w:rPr>
            <w:noProof/>
            <w:webHidden/>
          </w:rPr>
          <w:fldChar w:fldCharType="begin"/>
        </w:r>
        <w:r>
          <w:rPr>
            <w:noProof/>
            <w:webHidden/>
          </w:rPr>
          <w:instrText xml:space="preserve"> PAGEREF _Toc239333390 \h </w:instrText>
        </w:r>
        <w:r>
          <w:rPr>
            <w:noProof/>
            <w:webHidden/>
          </w:rPr>
        </w:r>
        <w:r>
          <w:rPr>
            <w:noProof/>
            <w:webHidden/>
          </w:rPr>
          <w:fldChar w:fldCharType="separate"/>
        </w:r>
        <w:r>
          <w:rPr>
            <w:noProof/>
            <w:webHidden/>
          </w:rPr>
          <w:t>151</w:t>
        </w:r>
        <w:r>
          <w:rPr>
            <w:noProof/>
            <w:webHidden/>
          </w:rPr>
          <w:fldChar w:fldCharType="end"/>
        </w:r>
      </w:hyperlink>
    </w:p>
    <w:p w14:paraId="5131544C" w14:textId="650915E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1" w:history="1">
        <w:r w:rsidRPr="00EF2D65">
          <w:rPr>
            <w:rStyle w:val="Hipercze"/>
            <w:rFonts w:cstheme="minorHAnsi"/>
            <w:noProof/>
          </w:rPr>
          <w:t>B.12.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Sprzedawca zawiera umowę kompleksową z URD</w:t>
        </w:r>
        <w:r w:rsidRPr="00EF2D65">
          <w:rPr>
            <w:rStyle w:val="Hipercze"/>
            <w:rFonts w:cstheme="minorHAnsi"/>
            <w:noProof/>
            <w:vertAlign w:val="subscript"/>
          </w:rPr>
          <w:t>O</w:t>
        </w:r>
        <w:r w:rsidRPr="00EF2D65">
          <w:rPr>
            <w:rStyle w:val="Hipercze"/>
            <w:rFonts w:cstheme="minorHAnsi"/>
            <w:noProof/>
          </w:rPr>
          <w:t xml:space="preserve"> na podstawie wydanego przez ACPRO potwierdzenia możliwości świadczenia usługi dystrybucji energii elektrycznej i określenia parametrów dostaw.</w:t>
        </w:r>
        <w:r>
          <w:rPr>
            <w:noProof/>
            <w:webHidden/>
          </w:rPr>
          <w:tab/>
        </w:r>
        <w:r>
          <w:rPr>
            <w:noProof/>
            <w:webHidden/>
          </w:rPr>
          <w:fldChar w:fldCharType="begin"/>
        </w:r>
        <w:r>
          <w:rPr>
            <w:noProof/>
            <w:webHidden/>
          </w:rPr>
          <w:instrText xml:space="preserve"> PAGEREF _Toc239333391 \h </w:instrText>
        </w:r>
        <w:r>
          <w:rPr>
            <w:noProof/>
            <w:webHidden/>
          </w:rPr>
        </w:r>
        <w:r>
          <w:rPr>
            <w:noProof/>
            <w:webHidden/>
          </w:rPr>
          <w:fldChar w:fldCharType="separate"/>
        </w:r>
        <w:r>
          <w:rPr>
            <w:noProof/>
            <w:webHidden/>
          </w:rPr>
          <w:t>151</w:t>
        </w:r>
        <w:r>
          <w:rPr>
            <w:noProof/>
            <w:webHidden/>
          </w:rPr>
          <w:fldChar w:fldCharType="end"/>
        </w:r>
      </w:hyperlink>
    </w:p>
    <w:p w14:paraId="6C7BC677" w14:textId="3761C26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2" w:history="1">
        <w:r w:rsidRPr="00EF2D65">
          <w:rPr>
            <w:rStyle w:val="Hipercze"/>
            <w:rFonts w:cstheme="minorHAnsi"/>
            <w:noProof/>
          </w:rPr>
          <w:t>B.13.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Potwierdzenie możliwości świadczenia usługi dystrybucji energii elektrycznej i określenie parametrów dostaw, o których mowa w pkt. B.12. ACPRO wydaje na wniosek Sprzedawcy w oparciu o dostarczone pełnomocnictwo URD</w:t>
        </w:r>
        <w:r w:rsidRPr="00EF2D65">
          <w:rPr>
            <w:rStyle w:val="Hipercze"/>
            <w:rFonts w:cstheme="minorHAnsi"/>
            <w:noProof/>
            <w:vertAlign w:val="subscript"/>
          </w:rPr>
          <w:t>O</w:t>
        </w:r>
        <w:r w:rsidRPr="00EF2D65">
          <w:rPr>
            <w:rStyle w:val="Hipercze"/>
            <w:rFonts w:cstheme="minorHAnsi"/>
            <w:noProof/>
          </w:rPr>
          <w:t>.</w:t>
        </w:r>
        <w:r>
          <w:rPr>
            <w:noProof/>
            <w:webHidden/>
          </w:rPr>
          <w:tab/>
        </w:r>
        <w:r>
          <w:rPr>
            <w:noProof/>
            <w:webHidden/>
          </w:rPr>
          <w:fldChar w:fldCharType="begin"/>
        </w:r>
        <w:r>
          <w:rPr>
            <w:noProof/>
            <w:webHidden/>
          </w:rPr>
          <w:instrText xml:space="preserve"> PAGEREF _Toc239333392 \h </w:instrText>
        </w:r>
        <w:r>
          <w:rPr>
            <w:noProof/>
            <w:webHidden/>
          </w:rPr>
        </w:r>
        <w:r>
          <w:rPr>
            <w:noProof/>
            <w:webHidden/>
          </w:rPr>
          <w:fldChar w:fldCharType="separate"/>
        </w:r>
        <w:r>
          <w:rPr>
            <w:noProof/>
            <w:webHidden/>
          </w:rPr>
          <w:t>151</w:t>
        </w:r>
        <w:r>
          <w:rPr>
            <w:noProof/>
            <w:webHidden/>
          </w:rPr>
          <w:fldChar w:fldCharType="end"/>
        </w:r>
      </w:hyperlink>
    </w:p>
    <w:p w14:paraId="6379C1C8" w14:textId="34308B5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3" w:history="1">
        <w:r w:rsidRPr="00EF2D65">
          <w:rPr>
            <w:rStyle w:val="Hipercze"/>
            <w:rFonts w:cstheme="minorHAnsi"/>
            <w:noProof/>
          </w:rPr>
          <w:t>B.14.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Świadczenie usług dystrybucji odbywa się na podstawie tylko jednej umowy tj. umowy dystrybucji albo umowy kompleksowej.</w:t>
        </w:r>
        <w:r>
          <w:rPr>
            <w:noProof/>
            <w:webHidden/>
          </w:rPr>
          <w:tab/>
        </w:r>
        <w:r>
          <w:rPr>
            <w:noProof/>
            <w:webHidden/>
          </w:rPr>
          <w:fldChar w:fldCharType="begin"/>
        </w:r>
        <w:r>
          <w:rPr>
            <w:noProof/>
            <w:webHidden/>
          </w:rPr>
          <w:instrText xml:space="preserve"> PAGEREF _Toc239333393 \h </w:instrText>
        </w:r>
        <w:r>
          <w:rPr>
            <w:noProof/>
            <w:webHidden/>
          </w:rPr>
        </w:r>
        <w:r>
          <w:rPr>
            <w:noProof/>
            <w:webHidden/>
          </w:rPr>
          <w:fldChar w:fldCharType="separate"/>
        </w:r>
        <w:r>
          <w:rPr>
            <w:noProof/>
            <w:webHidden/>
          </w:rPr>
          <w:t>151</w:t>
        </w:r>
        <w:r>
          <w:rPr>
            <w:noProof/>
            <w:webHidden/>
          </w:rPr>
          <w:fldChar w:fldCharType="end"/>
        </w:r>
      </w:hyperlink>
    </w:p>
    <w:p w14:paraId="510C0DEA" w14:textId="7DD1FC4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4" w:history="1">
        <w:r w:rsidRPr="00EF2D65">
          <w:rPr>
            <w:rStyle w:val="Hipercze"/>
            <w:rFonts w:cstheme="minorHAnsi"/>
            <w:noProof/>
          </w:rPr>
          <w:t>B.15.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Świadczenie usług dystrybucji w zakresie energii pobranej z sieci dystrybucyjnej ACPRO oraz wprowadzonej do tej sieci, dla:</w:t>
        </w:r>
        <w:r>
          <w:rPr>
            <w:noProof/>
            <w:webHidden/>
          </w:rPr>
          <w:tab/>
        </w:r>
        <w:r>
          <w:rPr>
            <w:noProof/>
            <w:webHidden/>
          </w:rPr>
          <w:fldChar w:fldCharType="begin"/>
        </w:r>
        <w:r>
          <w:rPr>
            <w:noProof/>
            <w:webHidden/>
          </w:rPr>
          <w:instrText xml:space="preserve"> PAGEREF _Toc239333394 \h </w:instrText>
        </w:r>
        <w:r>
          <w:rPr>
            <w:noProof/>
            <w:webHidden/>
          </w:rPr>
        </w:r>
        <w:r>
          <w:rPr>
            <w:noProof/>
            <w:webHidden/>
          </w:rPr>
          <w:fldChar w:fldCharType="separate"/>
        </w:r>
        <w:r>
          <w:rPr>
            <w:noProof/>
            <w:webHidden/>
          </w:rPr>
          <w:t>151</w:t>
        </w:r>
        <w:r>
          <w:rPr>
            <w:noProof/>
            <w:webHidden/>
          </w:rPr>
          <w:fldChar w:fldCharType="end"/>
        </w:r>
      </w:hyperlink>
    </w:p>
    <w:p w14:paraId="567EB84D" w14:textId="65182228"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5" w:history="1">
        <w:r w:rsidRPr="00EF2D65">
          <w:rPr>
            <w:rStyle w:val="Hipercze"/>
            <w:rFonts w:cstheme="minorHAnsi"/>
            <w:noProof/>
          </w:rPr>
          <w:t>B.16.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Świadczenie usług dystrybucji w zakresie energii pobranej z sieci dystrybucyjnej ACPRO oraz wprowadzonej do tej sieci, z URD</w:t>
        </w:r>
        <w:r w:rsidRPr="00EF2D65">
          <w:rPr>
            <w:rStyle w:val="Hipercze"/>
            <w:rFonts w:cstheme="minorHAnsi"/>
            <w:noProof/>
            <w:vertAlign w:val="subscript"/>
          </w:rPr>
          <w:t>O</w:t>
        </w:r>
        <w:r w:rsidRPr="00EF2D65">
          <w:rPr>
            <w:rStyle w:val="Hipercze"/>
            <w:rFonts w:cstheme="minorHAnsi"/>
            <w:noProof/>
          </w:rPr>
          <w:t xml:space="preserve"> wytwarzającymi energię w mikroinstalacji odbywa się na podstawie umowy dystrybucji, z wyłączeniem:</w:t>
        </w:r>
        <w:r>
          <w:rPr>
            <w:noProof/>
            <w:webHidden/>
          </w:rPr>
          <w:tab/>
        </w:r>
        <w:r>
          <w:rPr>
            <w:noProof/>
            <w:webHidden/>
          </w:rPr>
          <w:fldChar w:fldCharType="begin"/>
        </w:r>
        <w:r>
          <w:rPr>
            <w:noProof/>
            <w:webHidden/>
          </w:rPr>
          <w:instrText xml:space="preserve"> PAGEREF _Toc239333395 \h </w:instrText>
        </w:r>
        <w:r>
          <w:rPr>
            <w:noProof/>
            <w:webHidden/>
          </w:rPr>
        </w:r>
        <w:r>
          <w:rPr>
            <w:noProof/>
            <w:webHidden/>
          </w:rPr>
          <w:fldChar w:fldCharType="separate"/>
        </w:r>
        <w:r>
          <w:rPr>
            <w:noProof/>
            <w:webHidden/>
          </w:rPr>
          <w:t>152</w:t>
        </w:r>
        <w:r>
          <w:rPr>
            <w:noProof/>
            <w:webHidden/>
          </w:rPr>
          <w:fldChar w:fldCharType="end"/>
        </w:r>
      </w:hyperlink>
    </w:p>
    <w:p w14:paraId="56714A32" w14:textId="4C0A7871"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6" w:history="1">
        <w:r w:rsidRPr="00EF2D65">
          <w:rPr>
            <w:rStyle w:val="Hipercze"/>
            <w:rFonts w:cstheme="minorHAnsi"/>
            <w:noProof/>
          </w:rPr>
          <w:t>B.17.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Umowa dystrybucji, w zakresie energii pobranej z sieci oraz wprowadzonej do sieci ACPRO, z URD</w:t>
        </w:r>
        <w:r w:rsidRPr="00EF2D65">
          <w:rPr>
            <w:rStyle w:val="Hipercze"/>
            <w:rFonts w:cstheme="minorHAnsi"/>
            <w:noProof/>
            <w:vertAlign w:val="subscript"/>
          </w:rPr>
          <w:t>O</w:t>
        </w:r>
        <w:r w:rsidRPr="00EF2D65">
          <w:rPr>
            <w:rStyle w:val="Hipercze"/>
            <w:rFonts w:cstheme="minorHAnsi"/>
            <w:noProof/>
          </w:rPr>
          <w:t xml:space="preserve"> wytwarzającymi energię w mikroinstalacji, z wyłączeniem prosumentów, jest zawierana po uprzednim zgłoszeniu mikroinstalacji lub realizacji umowy przyłączeniowej.</w:t>
        </w:r>
        <w:r>
          <w:rPr>
            <w:noProof/>
            <w:webHidden/>
          </w:rPr>
          <w:tab/>
        </w:r>
        <w:r>
          <w:rPr>
            <w:noProof/>
            <w:webHidden/>
          </w:rPr>
          <w:fldChar w:fldCharType="begin"/>
        </w:r>
        <w:r>
          <w:rPr>
            <w:noProof/>
            <w:webHidden/>
          </w:rPr>
          <w:instrText xml:space="preserve"> PAGEREF _Toc239333396 \h </w:instrText>
        </w:r>
        <w:r>
          <w:rPr>
            <w:noProof/>
            <w:webHidden/>
          </w:rPr>
        </w:r>
        <w:r>
          <w:rPr>
            <w:noProof/>
            <w:webHidden/>
          </w:rPr>
          <w:fldChar w:fldCharType="separate"/>
        </w:r>
        <w:r>
          <w:rPr>
            <w:noProof/>
            <w:webHidden/>
          </w:rPr>
          <w:t>152</w:t>
        </w:r>
        <w:r>
          <w:rPr>
            <w:noProof/>
            <w:webHidden/>
          </w:rPr>
          <w:fldChar w:fldCharType="end"/>
        </w:r>
      </w:hyperlink>
    </w:p>
    <w:p w14:paraId="53385367" w14:textId="58ABCF0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7" w:history="1">
        <w:r w:rsidRPr="00EF2D65">
          <w:rPr>
            <w:rStyle w:val="Hipercze"/>
            <w:rFonts w:cstheme="minorHAnsi"/>
            <w:noProof/>
          </w:rPr>
          <w:t>B.18.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zamieszcza na swojej stronie internetowej lub udostępnia w swojej siedzibie wykaz informacji, które zgodnie z art. 12 ust. 1 ustawy o prawach konsumenta winny być przekazane konsumentowi zamierzającemu zawrzeć umowę dystrybucji z ACPRO.</w:t>
        </w:r>
        <w:r>
          <w:rPr>
            <w:noProof/>
            <w:webHidden/>
          </w:rPr>
          <w:tab/>
        </w:r>
        <w:r>
          <w:rPr>
            <w:noProof/>
            <w:webHidden/>
          </w:rPr>
          <w:fldChar w:fldCharType="begin"/>
        </w:r>
        <w:r>
          <w:rPr>
            <w:noProof/>
            <w:webHidden/>
          </w:rPr>
          <w:instrText xml:space="preserve"> PAGEREF _Toc239333397 \h </w:instrText>
        </w:r>
        <w:r>
          <w:rPr>
            <w:noProof/>
            <w:webHidden/>
          </w:rPr>
        </w:r>
        <w:r>
          <w:rPr>
            <w:noProof/>
            <w:webHidden/>
          </w:rPr>
          <w:fldChar w:fldCharType="separate"/>
        </w:r>
        <w:r>
          <w:rPr>
            <w:noProof/>
            <w:webHidden/>
          </w:rPr>
          <w:t>152</w:t>
        </w:r>
        <w:r>
          <w:rPr>
            <w:noProof/>
            <w:webHidden/>
          </w:rPr>
          <w:fldChar w:fldCharType="end"/>
        </w:r>
      </w:hyperlink>
    </w:p>
    <w:p w14:paraId="32E47E32" w14:textId="0874D525"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8" w:history="1">
        <w:r w:rsidRPr="00EF2D65">
          <w:rPr>
            <w:rStyle w:val="Hipercze"/>
            <w:rFonts w:cstheme="minorHAnsi"/>
            <w:noProof/>
          </w:rPr>
          <w:t>B.19.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złożenia, zgodnie z pkt. D.2.10 przez sprzedawcę i przyjęcia przez ACPRO oświadczenia o anulowaniu powiadomienia o zawarciu umowy sprzedaży energii elektrycznej, o którym mowa w pkt. D.2.1, umowa o świadczenie usług dystrybucji, o której mowa:</w:t>
        </w:r>
        <w:r>
          <w:rPr>
            <w:noProof/>
            <w:webHidden/>
          </w:rPr>
          <w:tab/>
        </w:r>
        <w:r>
          <w:rPr>
            <w:noProof/>
            <w:webHidden/>
          </w:rPr>
          <w:fldChar w:fldCharType="begin"/>
        </w:r>
        <w:r>
          <w:rPr>
            <w:noProof/>
            <w:webHidden/>
          </w:rPr>
          <w:instrText xml:space="preserve"> PAGEREF _Toc239333398 \h </w:instrText>
        </w:r>
        <w:r>
          <w:rPr>
            <w:noProof/>
            <w:webHidden/>
          </w:rPr>
        </w:r>
        <w:r>
          <w:rPr>
            <w:noProof/>
            <w:webHidden/>
          </w:rPr>
          <w:fldChar w:fldCharType="separate"/>
        </w:r>
        <w:r>
          <w:rPr>
            <w:noProof/>
            <w:webHidden/>
          </w:rPr>
          <w:t>152</w:t>
        </w:r>
        <w:r>
          <w:rPr>
            <w:noProof/>
            <w:webHidden/>
          </w:rPr>
          <w:fldChar w:fldCharType="end"/>
        </w:r>
      </w:hyperlink>
    </w:p>
    <w:p w14:paraId="02CA0D99" w14:textId="767F465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399" w:history="1">
        <w:r w:rsidRPr="00EF2D65">
          <w:rPr>
            <w:rStyle w:val="Hipercze"/>
            <w:rFonts w:cstheme="minorHAnsi"/>
            <w:noProof/>
          </w:rPr>
          <w:t>B.20.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Zakończenie na wniosek URD świadczenia usługi dystrybucji na podstawie umowy dystrybucji następuje w dacie odłączenia zasilania w danym PPE, tj. stworzenia fizycznej przerwy w torze prądowym (np. demontaż układu pomiarowo-rozliczeniowego, demontaż przyłącza bądź jego fragmentu, wyjęcie wkładki bezpiecznikowej, odłączenie stycznika w LZO, itp.).</w:t>
        </w:r>
        <w:r>
          <w:rPr>
            <w:noProof/>
            <w:webHidden/>
          </w:rPr>
          <w:tab/>
        </w:r>
        <w:r>
          <w:rPr>
            <w:noProof/>
            <w:webHidden/>
          </w:rPr>
          <w:fldChar w:fldCharType="begin"/>
        </w:r>
        <w:r>
          <w:rPr>
            <w:noProof/>
            <w:webHidden/>
          </w:rPr>
          <w:instrText xml:space="preserve"> PAGEREF _Toc239333399 \h </w:instrText>
        </w:r>
        <w:r>
          <w:rPr>
            <w:noProof/>
            <w:webHidden/>
          </w:rPr>
        </w:r>
        <w:r>
          <w:rPr>
            <w:noProof/>
            <w:webHidden/>
          </w:rPr>
          <w:fldChar w:fldCharType="separate"/>
        </w:r>
        <w:r>
          <w:rPr>
            <w:noProof/>
            <w:webHidden/>
          </w:rPr>
          <w:t>152</w:t>
        </w:r>
        <w:r>
          <w:rPr>
            <w:noProof/>
            <w:webHidden/>
          </w:rPr>
          <w:fldChar w:fldCharType="end"/>
        </w:r>
      </w:hyperlink>
    </w:p>
    <w:p w14:paraId="1C785A5C" w14:textId="1893BC30"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00" w:history="1">
        <w:r w:rsidRPr="00EF2D65">
          <w:rPr>
            <w:rStyle w:val="Hipercze"/>
            <w:rFonts w:cstheme="minorHAnsi"/>
            <w:noProof/>
          </w:rPr>
          <w:t>C.</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ZASADY WYZNACZANIA, PRZEKAZYWANIA I UDOSTĘPNIANIA DANYCH POMIAROWYCH</w:t>
        </w:r>
        <w:r>
          <w:rPr>
            <w:noProof/>
            <w:webHidden/>
          </w:rPr>
          <w:tab/>
        </w:r>
        <w:r>
          <w:rPr>
            <w:noProof/>
            <w:webHidden/>
          </w:rPr>
          <w:fldChar w:fldCharType="begin"/>
        </w:r>
        <w:r>
          <w:rPr>
            <w:noProof/>
            <w:webHidden/>
          </w:rPr>
          <w:instrText xml:space="preserve"> PAGEREF _Toc239333400 \h </w:instrText>
        </w:r>
        <w:r>
          <w:rPr>
            <w:noProof/>
            <w:webHidden/>
          </w:rPr>
        </w:r>
        <w:r>
          <w:rPr>
            <w:noProof/>
            <w:webHidden/>
          </w:rPr>
          <w:fldChar w:fldCharType="separate"/>
        </w:r>
        <w:r>
          <w:rPr>
            <w:noProof/>
            <w:webHidden/>
          </w:rPr>
          <w:t>154</w:t>
        </w:r>
        <w:r>
          <w:rPr>
            <w:noProof/>
            <w:webHidden/>
          </w:rPr>
          <w:fldChar w:fldCharType="end"/>
        </w:r>
      </w:hyperlink>
    </w:p>
    <w:p w14:paraId="502F429B" w14:textId="0B817F57"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01" w:history="1">
        <w:r w:rsidRPr="00EF2D65">
          <w:rPr>
            <w:rStyle w:val="Hipercze"/>
            <w:rFonts w:cstheme="minorHAnsi"/>
            <w:noProof/>
          </w:rPr>
          <w:t>C.1.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WYZNACZANIE ORAZ PRZEKAZYWANIE DANYCH POMIAROWYCH I POMIAROWO-ROZLICZENIOWYCH.</w:t>
        </w:r>
        <w:r>
          <w:rPr>
            <w:noProof/>
            <w:webHidden/>
          </w:rPr>
          <w:tab/>
        </w:r>
        <w:r>
          <w:rPr>
            <w:noProof/>
            <w:webHidden/>
          </w:rPr>
          <w:fldChar w:fldCharType="begin"/>
        </w:r>
        <w:r>
          <w:rPr>
            <w:noProof/>
            <w:webHidden/>
          </w:rPr>
          <w:instrText xml:space="preserve"> PAGEREF _Toc239333401 \h </w:instrText>
        </w:r>
        <w:r>
          <w:rPr>
            <w:noProof/>
            <w:webHidden/>
          </w:rPr>
        </w:r>
        <w:r>
          <w:rPr>
            <w:noProof/>
            <w:webHidden/>
          </w:rPr>
          <w:fldChar w:fldCharType="separate"/>
        </w:r>
        <w:r>
          <w:rPr>
            <w:noProof/>
            <w:webHidden/>
          </w:rPr>
          <w:t>154</w:t>
        </w:r>
        <w:r>
          <w:rPr>
            <w:noProof/>
            <w:webHidden/>
          </w:rPr>
          <w:fldChar w:fldCharType="end"/>
        </w:r>
      </w:hyperlink>
    </w:p>
    <w:p w14:paraId="401B1438" w14:textId="2BE1408A"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02" w:history="1">
        <w:r w:rsidRPr="00EF2D65">
          <w:rPr>
            <w:rStyle w:val="Hipercze"/>
            <w:rFonts w:cstheme="minorHAnsi"/>
            <w:noProof/>
          </w:rPr>
          <w:t>D.</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PROCEDURA ZMIANY SPRZEDAWCY ORAZ OBSŁUGI ZGŁOSZEŃ O ZAWARTYCH UMOWACH SPRZEDAŻY LUB UMOWACH KOMPLEKSOWYCH</w:t>
        </w:r>
        <w:r>
          <w:rPr>
            <w:noProof/>
            <w:webHidden/>
          </w:rPr>
          <w:tab/>
        </w:r>
        <w:r>
          <w:rPr>
            <w:noProof/>
            <w:webHidden/>
          </w:rPr>
          <w:fldChar w:fldCharType="begin"/>
        </w:r>
        <w:r>
          <w:rPr>
            <w:noProof/>
            <w:webHidden/>
          </w:rPr>
          <w:instrText xml:space="preserve"> PAGEREF _Toc239333402 \h </w:instrText>
        </w:r>
        <w:r>
          <w:rPr>
            <w:noProof/>
            <w:webHidden/>
          </w:rPr>
        </w:r>
        <w:r>
          <w:rPr>
            <w:noProof/>
            <w:webHidden/>
          </w:rPr>
          <w:fldChar w:fldCharType="separate"/>
        </w:r>
        <w:r>
          <w:rPr>
            <w:noProof/>
            <w:webHidden/>
          </w:rPr>
          <w:t>160</w:t>
        </w:r>
        <w:r>
          <w:rPr>
            <w:noProof/>
            <w:webHidden/>
          </w:rPr>
          <w:fldChar w:fldCharType="end"/>
        </w:r>
      </w:hyperlink>
    </w:p>
    <w:p w14:paraId="69E36F00" w14:textId="70FE3EB3"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03" w:history="1">
        <w:r w:rsidRPr="00EF2D65">
          <w:rPr>
            <w:rStyle w:val="Hipercze"/>
            <w:rFonts w:cstheme="minorHAnsi"/>
            <w:noProof/>
          </w:rPr>
          <w:t>D.1.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WYMAGANIA OGÓLNE</w:t>
        </w:r>
        <w:r>
          <w:rPr>
            <w:noProof/>
            <w:webHidden/>
          </w:rPr>
          <w:tab/>
        </w:r>
        <w:r>
          <w:rPr>
            <w:noProof/>
            <w:webHidden/>
          </w:rPr>
          <w:fldChar w:fldCharType="begin"/>
        </w:r>
        <w:r>
          <w:rPr>
            <w:noProof/>
            <w:webHidden/>
          </w:rPr>
          <w:instrText xml:space="preserve"> PAGEREF _Toc239333403 \h </w:instrText>
        </w:r>
        <w:r>
          <w:rPr>
            <w:noProof/>
            <w:webHidden/>
          </w:rPr>
        </w:r>
        <w:r>
          <w:rPr>
            <w:noProof/>
            <w:webHidden/>
          </w:rPr>
          <w:fldChar w:fldCharType="separate"/>
        </w:r>
        <w:r>
          <w:rPr>
            <w:noProof/>
            <w:webHidden/>
          </w:rPr>
          <w:t>160</w:t>
        </w:r>
        <w:r>
          <w:rPr>
            <w:noProof/>
            <w:webHidden/>
          </w:rPr>
          <w:fldChar w:fldCharType="end"/>
        </w:r>
      </w:hyperlink>
    </w:p>
    <w:p w14:paraId="552637DA" w14:textId="0AE8B05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04" w:history="1">
        <w:r w:rsidRPr="00EF2D65">
          <w:rPr>
            <w:rStyle w:val="Hipercze"/>
            <w:rFonts w:cstheme="minorHAnsi"/>
            <w:noProof/>
          </w:rPr>
          <w:t>D.2.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POWIADAMIANIA O ZAWARTYCH UMOWACH SPRZEDAŻY ALBO UMOWACH KOMPLEKSOWYCH</w:t>
        </w:r>
        <w:r>
          <w:rPr>
            <w:noProof/>
            <w:webHidden/>
          </w:rPr>
          <w:tab/>
        </w:r>
        <w:r>
          <w:rPr>
            <w:noProof/>
            <w:webHidden/>
          </w:rPr>
          <w:fldChar w:fldCharType="begin"/>
        </w:r>
        <w:r>
          <w:rPr>
            <w:noProof/>
            <w:webHidden/>
          </w:rPr>
          <w:instrText xml:space="preserve"> PAGEREF _Toc239333404 \h </w:instrText>
        </w:r>
        <w:r>
          <w:rPr>
            <w:noProof/>
            <w:webHidden/>
          </w:rPr>
        </w:r>
        <w:r>
          <w:rPr>
            <w:noProof/>
            <w:webHidden/>
          </w:rPr>
          <w:fldChar w:fldCharType="separate"/>
        </w:r>
        <w:r>
          <w:rPr>
            <w:noProof/>
            <w:webHidden/>
          </w:rPr>
          <w:t>163</w:t>
        </w:r>
        <w:r>
          <w:rPr>
            <w:noProof/>
            <w:webHidden/>
          </w:rPr>
          <w:fldChar w:fldCharType="end"/>
        </w:r>
      </w:hyperlink>
    </w:p>
    <w:p w14:paraId="363992C4" w14:textId="11BAECF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05" w:history="1">
        <w:r w:rsidRPr="00EF2D65">
          <w:rPr>
            <w:rStyle w:val="Hipercze"/>
            <w:rFonts w:cstheme="minorHAnsi"/>
            <w:noProof/>
          </w:rPr>
          <w:t>D.3.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PROCEDURA ZMIANY SPRZEDAWCY PRZEZ  URD</w:t>
        </w:r>
        <w:r w:rsidRPr="00EF2D65">
          <w:rPr>
            <w:rStyle w:val="Hipercze"/>
            <w:rFonts w:cstheme="minorHAnsi"/>
            <w:noProof/>
            <w:vertAlign w:val="subscript"/>
          </w:rPr>
          <w:t>O</w:t>
        </w:r>
        <w:r>
          <w:rPr>
            <w:noProof/>
            <w:webHidden/>
          </w:rPr>
          <w:tab/>
        </w:r>
        <w:r>
          <w:rPr>
            <w:noProof/>
            <w:webHidden/>
          </w:rPr>
          <w:fldChar w:fldCharType="begin"/>
        </w:r>
        <w:r>
          <w:rPr>
            <w:noProof/>
            <w:webHidden/>
          </w:rPr>
          <w:instrText xml:space="preserve"> PAGEREF _Toc239333405 \h </w:instrText>
        </w:r>
        <w:r>
          <w:rPr>
            <w:noProof/>
            <w:webHidden/>
          </w:rPr>
        </w:r>
        <w:r>
          <w:rPr>
            <w:noProof/>
            <w:webHidden/>
          </w:rPr>
          <w:fldChar w:fldCharType="separate"/>
        </w:r>
        <w:r>
          <w:rPr>
            <w:noProof/>
            <w:webHidden/>
          </w:rPr>
          <w:t>166</w:t>
        </w:r>
        <w:r>
          <w:rPr>
            <w:noProof/>
            <w:webHidden/>
          </w:rPr>
          <w:fldChar w:fldCharType="end"/>
        </w:r>
      </w:hyperlink>
    </w:p>
    <w:p w14:paraId="59C04A9C" w14:textId="6A4B544B"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06" w:history="1">
        <w:r w:rsidRPr="00EF2D65">
          <w:rPr>
            <w:rStyle w:val="Hipercze"/>
            <w:rFonts w:cstheme="minorHAnsi"/>
            <w:noProof/>
          </w:rPr>
          <w:t>D.4.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ZASADY UDZIELANIA INFORMACJI I OBSŁUGI ODBIORCÓW</w:t>
        </w:r>
        <w:r>
          <w:rPr>
            <w:noProof/>
            <w:webHidden/>
          </w:rPr>
          <w:tab/>
        </w:r>
        <w:r>
          <w:rPr>
            <w:noProof/>
            <w:webHidden/>
          </w:rPr>
          <w:fldChar w:fldCharType="begin"/>
        </w:r>
        <w:r>
          <w:rPr>
            <w:noProof/>
            <w:webHidden/>
          </w:rPr>
          <w:instrText xml:space="preserve"> PAGEREF _Toc239333406 \h </w:instrText>
        </w:r>
        <w:r>
          <w:rPr>
            <w:noProof/>
            <w:webHidden/>
          </w:rPr>
        </w:r>
        <w:r>
          <w:rPr>
            <w:noProof/>
            <w:webHidden/>
          </w:rPr>
          <w:fldChar w:fldCharType="separate"/>
        </w:r>
        <w:r>
          <w:rPr>
            <w:noProof/>
            <w:webHidden/>
          </w:rPr>
          <w:t>167</w:t>
        </w:r>
        <w:r>
          <w:rPr>
            <w:noProof/>
            <w:webHidden/>
          </w:rPr>
          <w:fldChar w:fldCharType="end"/>
        </w:r>
      </w:hyperlink>
    </w:p>
    <w:p w14:paraId="40FB219B" w14:textId="486B5E3C"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07" w:history="1">
        <w:r w:rsidRPr="00EF2D65">
          <w:rPr>
            <w:rStyle w:val="Hipercze"/>
            <w:rFonts w:cstheme="minorHAnsi"/>
            <w:noProof/>
          </w:rPr>
          <w:t>E.</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ZASADY BILANSOWANIA HANDLOWEGO W OBSZARZE RYNKU DETALICZNEGO</w:t>
        </w:r>
        <w:r>
          <w:rPr>
            <w:noProof/>
            <w:webHidden/>
          </w:rPr>
          <w:tab/>
        </w:r>
        <w:r>
          <w:rPr>
            <w:noProof/>
            <w:webHidden/>
          </w:rPr>
          <w:fldChar w:fldCharType="begin"/>
        </w:r>
        <w:r>
          <w:rPr>
            <w:noProof/>
            <w:webHidden/>
          </w:rPr>
          <w:instrText xml:space="preserve"> PAGEREF _Toc239333407 \h </w:instrText>
        </w:r>
        <w:r>
          <w:rPr>
            <w:noProof/>
            <w:webHidden/>
          </w:rPr>
        </w:r>
        <w:r>
          <w:rPr>
            <w:noProof/>
            <w:webHidden/>
          </w:rPr>
          <w:fldChar w:fldCharType="separate"/>
        </w:r>
        <w:r>
          <w:rPr>
            <w:noProof/>
            <w:webHidden/>
          </w:rPr>
          <w:t>169</w:t>
        </w:r>
        <w:r>
          <w:rPr>
            <w:noProof/>
            <w:webHidden/>
          </w:rPr>
          <w:fldChar w:fldCharType="end"/>
        </w:r>
      </w:hyperlink>
    </w:p>
    <w:p w14:paraId="7D451677" w14:textId="7520EBD2"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08" w:history="1">
        <w:r w:rsidRPr="00EF2D65">
          <w:rPr>
            <w:rStyle w:val="Hipercze"/>
            <w:rFonts w:cstheme="minorHAnsi"/>
            <w:noProof/>
          </w:rPr>
          <w:t>E.1.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Procedura ustanawiania i zmiany POB</w:t>
        </w:r>
        <w:r w:rsidRPr="00EF2D65">
          <w:rPr>
            <w:rStyle w:val="Hipercze"/>
            <w:rFonts w:cstheme="minorHAnsi"/>
            <w:noProof/>
            <w:vertAlign w:val="subscript"/>
          </w:rPr>
          <w:t>Z</w:t>
        </w:r>
        <w:r w:rsidRPr="00EF2D65">
          <w:rPr>
            <w:rStyle w:val="Hipercze"/>
            <w:rFonts w:cstheme="minorHAnsi"/>
            <w:noProof/>
          </w:rPr>
          <w:t xml:space="preserve"> przebiega zgodnie z zapisami IRiESD oraz WDB.</w:t>
        </w:r>
        <w:r>
          <w:rPr>
            <w:noProof/>
            <w:webHidden/>
          </w:rPr>
          <w:tab/>
        </w:r>
        <w:r>
          <w:rPr>
            <w:noProof/>
            <w:webHidden/>
          </w:rPr>
          <w:fldChar w:fldCharType="begin"/>
        </w:r>
        <w:r>
          <w:rPr>
            <w:noProof/>
            <w:webHidden/>
          </w:rPr>
          <w:instrText xml:space="preserve"> PAGEREF _Toc239333408 \h </w:instrText>
        </w:r>
        <w:r>
          <w:rPr>
            <w:noProof/>
            <w:webHidden/>
          </w:rPr>
        </w:r>
        <w:r>
          <w:rPr>
            <w:noProof/>
            <w:webHidden/>
          </w:rPr>
          <w:fldChar w:fldCharType="separate"/>
        </w:r>
        <w:r>
          <w:rPr>
            <w:noProof/>
            <w:webHidden/>
          </w:rPr>
          <w:t>169</w:t>
        </w:r>
        <w:r>
          <w:rPr>
            <w:noProof/>
            <w:webHidden/>
          </w:rPr>
          <w:fldChar w:fldCharType="end"/>
        </w:r>
      </w:hyperlink>
    </w:p>
    <w:p w14:paraId="5E7BC74B" w14:textId="2B9483E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09" w:history="1">
        <w:r w:rsidRPr="00EF2D65">
          <w:rPr>
            <w:rStyle w:val="Hipercze"/>
            <w:rFonts w:cstheme="minorHAnsi"/>
            <w:noProof/>
          </w:rPr>
          <w:t>E.2.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Proces ustanawiania i zmiany POB</w:t>
        </w:r>
        <w:r w:rsidRPr="00EF2D65">
          <w:rPr>
            <w:rStyle w:val="Hipercze"/>
            <w:rFonts w:cstheme="minorHAnsi"/>
            <w:noProof/>
            <w:vertAlign w:val="subscript"/>
          </w:rPr>
          <w:t>Z</w:t>
        </w:r>
        <w:r w:rsidRPr="00EF2D65">
          <w:rPr>
            <w:rStyle w:val="Hipercze"/>
            <w:rFonts w:cstheme="minorHAnsi"/>
            <w:noProof/>
          </w:rPr>
          <w:t xml:space="preserve"> przez sprzedawcę,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jest realizowany według następującej procedury:</w:t>
        </w:r>
        <w:r>
          <w:rPr>
            <w:noProof/>
            <w:webHidden/>
          </w:rPr>
          <w:tab/>
        </w:r>
        <w:r>
          <w:rPr>
            <w:noProof/>
            <w:webHidden/>
          </w:rPr>
          <w:fldChar w:fldCharType="begin"/>
        </w:r>
        <w:r>
          <w:rPr>
            <w:noProof/>
            <w:webHidden/>
          </w:rPr>
          <w:instrText xml:space="preserve"> PAGEREF _Toc239333409 \h </w:instrText>
        </w:r>
        <w:r>
          <w:rPr>
            <w:noProof/>
            <w:webHidden/>
          </w:rPr>
        </w:r>
        <w:r>
          <w:rPr>
            <w:noProof/>
            <w:webHidden/>
          </w:rPr>
          <w:fldChar w:fldCharType="separate"/>
        </w:r>
        <w:r>
          <w:rPr>
            <w:noProof/>
            <w:webHidden/>
          </w:rPr>
          <w:t>169</w:t>
        </w:r>
        <w:r>
          <w:rPr>
            <w:noProof/>
            <w:webHidden/>
          </w:rPr>
          <w:fldChar w:fldCharType="end"/>
        </w:r>
      </w:hyperlink>
    </w:p>
    <w:p w14:paraId="4D997005" w14:textId="4ED20363"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0" w:history="1">
        <w:r w:rsidRPr="00EF2D65">
          <w:rPr>
            <w:rStyle w:val="Hipercze"/>
            <w:rFonts w:cstheme="minorHAnsi"/>
            <w:noProof/>
          </w:rPr>
          <w:t>E.3.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Ustanowienie lub zmiana POB</w:t>
        </w:r>
        <w:r w:rsidRPr="00EF2D65">
          <w:rPr>
            <w:rStyle w:val="Hipercze"/>
            <w:rFonts w:cstheme="minorHAnsi"/>
            <w:noProof/>
            <w:vertAlign w:val="subscript"/>
          </w:rPr>
          <w:t>Z</w:t>
        </w:r>
        <w:r w:rsidRPr="00EF2D65">
          <w:rPr>
            <w:rStyle w:val="Hipercze"/>
            <w:rFonts w:cstheme="minorHAnsi"/>
            <w:noProof/>
          </w:rPr>
          <w:t xml:space="preserve"> następuje nie wcześniej niż po 5 dniach roboczych od daty pozytywnej weryfikacji powiadomienia określonego w pkt E.2., z zastrzeżeniem pkt E.5.</w:t>
        </w:r>
        <w:r>
          <w:rPr>
            <w:noProof/>
            <w:webHidden/>
          </w:rPr>
          <w:tab/>
        </w:r>
        <w:r>
          <w:rPr>
            <w:noProof/>
            <w:webHidden/>
          </w:rPr>
          <w:fldChar w:fldCharType="begin"/>
        </w:r>
        <w:r>
          <w:rPr>
            <w:noProof/>
            <w:webHidden/>
          </w:rPr>
          <w:instrText xml:space="preserve"> PAGEREF _Toc239333410 \h </w:instrText>
        </w:r>
        <w:r>
          <w:rPr>
            <w:noProof/>
            <w:webHidden/>
          </w:rPr>
        </w:r>
        <w:r>
          <w:rPr>
            <w:noProof/>
            <w:webHidden/>
          </w:rPr>
          <w:fldChar w:fldCharType="separate"/>
        </w:r>
        <w:r>
          <w:rPr>
            <w:noProof/>
            <w:webHidden/>
          </w:rPr>
          <w:t>169</w:t>
        </w:r>
        <w:r>
          <w:rPr>
            <w:noProof/>
            <w:webHidden/>
          </w:rPr>
          <w:fldChar w:fldCharType="end"/>
        </w:r>
      </w:hyperlink>
    </w:p>
    <w:p w14:paraId="126B5F9D" w14:textId="3B2A6BB3"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1" w:history="1">
        <w:r w:rsidRPr="00EF2D65">
          <w:rPr>
            <w:rStyle w:val="Hipercze"/>
            <w:rFonts w:cstheme="minorHAnsi"/>
            <w:noProof/>
          </w:rPr>
          <w:t>E.4.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 dniem zmiany POB</w:t>
        </w:r>
        <w:r w:rsidRPr="00EF2D65">
          <w:rPr>
            <w:rStyle w:val="Hipercze"/>
            <w:rFonts w:cstheme="minorHAnsi"/>
            <w:noProof/>
            <w:vertAlign w:val="subscript"/>
          </w:rPr>
          <w:t>Z</w:t>
        </w:r>
        <w:r w:rsidRPr="00EF2D65">
          <w:rPr>
            <w:rStyle w:val="Hipercze"/>
            <w:rFonts w:cstheme="minorHAnsi"/>
            <w:noProof/>
          </w:rPr>
          <w:t>, ACPRO przeprowadza zmiany w konfiguracji i strukturze obiektowej i podmiotowej rynku detalicznego, które obejmują POB</w:t>
        </w:r>
        <w:r w:rsidRPr="00EF2D65">
          <w:rPr>
            <w:rStyle w:val="Hipercze"/>
            <w:rFonts w:cstheme="minorHAnsi"/>
            <w:noProof/>
            <w:vertAlign w:val="subscript"/>
          </w:rPr>
          <w:t>Z</w:t>
        </w:r>
        <w:r w:rsidRPr="00EF2D65">
          <w:rPr>
            <w:rStyle w:val="Hipercze"/>
            <w:rFonts w:cstheme="minorHAnsi"/>
            <w:noProof/>
          </w:rPr>
          <w:t xml:space="preserve"> przekazującego odpowiedzialność za bilansowanie handlowe (dotychczasowy POB</w:t>
        </w:r>
        <w:r w:rsidRPr="00EF2D65">
          <w:rPr>
            <w:rStyle w:val="Hipercze"/>
            <w:rFonts w:cstheme="minorHAnsi"/>
            <w:noProof/>
            <w:vertAlign w:val="subscript"/>
          </w:rPr>
          <w:t>Z</w:t>
        </w:r>
        <w:r w:rsidRPr="00EF2D65">
          <w:rPr>
            <w:rStyle w:val="Hipercze"/>
            <w:rFonts w:cstheme="minorHAnsi"/>
            <w:noProof/>
          </w:rPr>
          <w:t>) i POB</w:t>
        </w:r>
        <w:r w:rsidRPr="00EF2D65">
          <w:rPr>
            <w:rStyle w:val="Hipercze"/>
            <w:rFonts w:cstheme="minorHAnsi"/>
            <w:noProof/>
            <w:vertAlign w:val="subscript"/>
          </w:rPr>
          <w:t>Z</w:t>
        </w:r>
        <w:r w:rsidRPr="00EF2D65">
          <w:rPr>
            <w:rStyle w:val="Hipercze"/>
            <w:rFonts w:cstheme="minorHAnsi"/>
            <w:noProof/>
          </w:rPr>
          <w:t xml:space="preserve"> przejmującego tą odpowiedzialność (nowy POB</w:t>
        </w:r>
        <w:r w:rsidRPr="00EF2D65">
          <w:rPr>
            <w:rStyle w:val="Hipercze"/>
            <w:rFonts w:cstheme="minorHAnsi"/>
            <w:noProof/>
            <w:vertAlign w:val="subscript"/>
          </w:rPr>
          <w:t>Z</w:t>
        </w:r>
        <w:r w:rsidRPr="00EF2D65">
          <w:rPr>
            <w:rStyle w:val="Hipercze"/>
            <w:rFonts w:cstheme="minorHAnsi"/>
            <w:noProof/>
          </w:rPr>
          <w:t>), z uwzględnieniem że:</w:t>
        </w:r>
        <w:r>
          <w:rPr>
            <w:noProof/>
            <w:webHidden/>
          </w:rPr>
          <w:tab/>
        </w:r>
        <w:r>
          <w:rPr>
            <w:noProof/>
            <w:webHidden/>
          </w:rPr>
          <w:fldChar w:fldCharType="begin"/>
        </w:r>
        <w:r>
          <w:rPr>
            <w:noProof/>
            <w:webHidden/>
          </w:rPr>
          <w:instrText xml:space="preserve"> PAGEREF _Toc239333411 \h </w:instrText>
        </w:r>
        <w:r>
          <w:rPr>
            <w:noProof/>
            <w:webHidden/>
          </w:rPr>
        </w:r>
        <w:r>
          <w:rPr>
            <w:noProof/>
            <w:webHidden/>
          </w:rPr>
          <w:fldChar w:fldCharType="separate"/>
        </w:r>
        <w:r>
          <w:rPr>
            <w:noProof/>
            <w:webHidden/>
          </w:rPr>
          <w:t>170</w:t>
        </w:r>
        <w:r>
          <w:rPr>
            <w:noProof/>
            <w:webHidden/>
          </w:rPr>
          <w:fldChar w:fldCharType="end"/>
        </w:r>
      </w:hyperlink>
    </w:p>
    <w:p w14:paraId="3C3FBDD0" w14:textId="761C18F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2" w:history="1">
        <w:r w:rsidRPr="00EF2D65">
          <w:rPr>
            <w:rStyle w:val="Hipercze"/>
            <w:rFonts w:cstheme="minorHAnsi"/>
            <w:noProof/>
          </w:rPr>
          <w:t>E.5.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Jeżeli ACPRO otrzyma powiadomienie, o którym mowa w pkt E.2. przed datą nadania i uaktywnienia na RB, zgodnie z zasadami określonymi w WDB, MB nowego POB</w:t>
        </w:r>
        <w:r w:rsidRPr="00EF2D65">
          <w:rPr>
            <w:rStyle w:val="Hipercze"/>
            <w:rFonts w:cstheme="minorHAnsi"/>
            <w:noProof/>
            <w:vertAlign w:val="subscript"/>
          </w:rPr>
          <w:t>Z</w:t>
        </w:r>
        <w:r w:rsidRPr="00EF2D65">
          <w:rPr>
            <w:rStyle w:val="Hipercze"/>
            <w:rFonts w:cstheme="minorHAnsi"/>
            <w:noProof/>
          </w:rPr>
          <w:t xml:space="preserve"> w sieci dystrybucyjnej ACPRO, wówczas weryfikacja powiadomienia o zmianie POB</w:t>
        </w:r>
        <w:r w:rsidRPr="00EF2D65">
          <w:rPr>
            <w:rStyle w:val="Hipercze"/>
            <w:rFonts w:cstheme="minorHAnsi"/>
            <w:noProof/>
            <w:vertAlign w:val="subscript"/>
          </w:rPr>
          <w:t>Z</w:t>
        </w:r>
        <w:r w:rsidRPr="00EF2D65">
          <w:rPr>
            <w:rStyle w:val="Hipercze"/>
            <w:rFonts w:cstheme="minorHAnsi"/>
            <w:noProof/>
          </w:rPr>
          <w:t xml:space="preserve"> jest negatywna.</w:t>
        </w:r>
        <w:r>
          <w:rPr>
            <w:noProof/>
            <w:webHidden/>
          </w:rPr>
          <w:tab/>
        </w:r>
        <w:r>
          <w:rPr>
            <w:noProof/>
            <w:webHidden/>
          </w:rPr>
          <w:fldChar w:fldCharType="begin"/>
        </w:r>
        <w:r>
          <w:rPr>
            <w:noProof/>
            <w:webHidden/>
          </w:rPr>
          <w:instrText xml:space="preserve"> PAGEREF _Toc239333412 \h </w:instrText>
        </w:r>
        <w:r>
          <w:rPr>
            <w:noProof/>
            <w:webHidden/>
          </w:rPr>
        </w:r>
        <w:r>
          <w:rPr>
            <w:noProof/>
            <w:webHidden/>
          </w:rPr>
          <w:fldChar w:fldCharType="separate"/>
        </w:r>
        <w:r>
          <w:rPr>
            <w:noProof/>
            <w:webHidden/>
          </w:rPr>
          <w:t>170</w:t>
        </w:r>
        <w:r>
          <w:rPr>
            <w:noProof/>
            <w:webHidden/>
          </w:rPr>
          <w:fldChar w:fldCharType="end"/>
        </w:r>
      </w:hyperlink>
    </w:p>
    <w:p w14:paraId="74619BBE" w14:textId="2250A15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3" w:history="1">
        <w:r w:rsidRPr="00EF2D65">
          <w:rPr>
            <w:rStyle w:val="Hipercze"/>
            <w:rFonts w:cstheme="minorHAnsi"/>
            <w:noProof/>
          </w:rPr>
          <w:t>E.6.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 zastrzeżeniem pkt E.2. – E.4., w przypadku, gdy POB</w:t>
        </w:r>
        <w:r w:rsidRPr="00EF2D65">
          <w:rPr>
            <w:rStyle w:val="Hipercze"/>
            <w:rFonts w:cstheme="minorHAnsi"/>
            <w:noProof/>
            <w:vertAlign w:val="subscript"/>
          </w:rPr>
          <w:t>Z</w:t>
        </w:r>
        <w:r w:rsidRPr="00EF2D65">
          <w:rPr>
            <w:rStyle w:val="Hipercze"/>
            <w:rFonts w:cstheme="minorHAnsi"/>
            <w:noProof/>
          </w:rPr>
          <w:t xml:space="preserve"> wskazany przez sprzedawcę,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xml:space="preserve"> zaprzestanie niezależnie od przyczyny działalności na RB, wówczas odpowiedzialność za bilansowanie handlowe przechodzi ze skutkiem od dnia zaprzestania tej działalności przez dotychczasowego POB</w:t>
        </w:r>
        <w:r w:rsidRPr="00EF2D65">
          <w:rPr>
            <w:rStyle w:val="Hipercze"/>
            <w:rFonts w:cstheme="minorHAnsi"/>
            <w:noProof/>
            <w:vertAlign w:val="subscript"/>
          </w:rPr>
          <w:t>Z</w:t>
        </w:r>
        <w:r w:rsidRPr="00EF2D65">
          <w:rPr>
            <w:rStyle w:val="Hipercze"/>
            <w:rFonts w:cstheme="minorHAnsi"/>
            <w:noProof/>
          </w:rPr>
          <w:t xml:space="preserve"> na nowego POB</w:t>
        </w:r>
        <w:r w:rsidRPr="00EF2D65">
          <w:rPr>
            <w:rStyle w:val="Hipercze"/>
            <w:rFonts w:cstheme="minorHAnsi"/>
            <w:noProof/>
            <w:vertAlign w:val="subscript"/>
          </w:rPr>
          <w:t>Z</w:t>
        </w:r>
        <w:r w:rsidRPr="00EF2D65">
          <w:rPr>
            <w:rStyle w:val="Hipercze"/>
            <w:rFonts w:cstheme="minorHAnsi"/>
            <w:noProof/>
          </w:rPr>
          <w:t xml:space="preserve"> wskazanego przez sprzedawcę rezerwowego lub sprzedawcę z urzędu dla URD</w:t>
        </w:r>
        <w:r w:rsidRPr="00EF2D65">
          <w:rPr>
            <w:rStyle w:val="Hipercze"/>
            <w:rFonts w:cstheme="minorHAnsi"/>
            <w:noProof/>
            <w:vertAlign w:val="subscript"/>
          </w:rPr>
          <w:t>O</w:t>
        </w:r>
        <w:r w:rsidRPr="00EF2D65">
          <w:rPr>
            <w:rStyle w:val="Hipercze"/>
            <w:rFonts w:cstheme="minorHAnsi"/>
            <w:noProof/>
          </w:rPr>
          <w:t xml:space="preserve"> lub na ACPRO w przypadku utraty POB</w:t>
        </w:r>
        <w:r w:rsidRPr="00EF2D65">
          <w:rPr>
            <w:rStyle w:val="Hipercze"/>
            <w:rFonts w:cstheme="minorHAnsi"/>
            <w:noProof/>
            <w:vertAlign w:val="subscript"/>
          </w:rPr>
          <w:t>Z</w:t>
        </w:r>
        <w:r w:rsidRPr="00EF2D65">
          <w:rPr>
            <w:rStyle w:val="Hipercze"/>
            <w:rFonts w:cstheme="minorHAnsi"/>
            <w:noProof/>
          </w:rPr>
          <w:t xml:space="preserve"> przez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w:t>
        </w:r>
        <w:r>
          <w:rPr>
            <w:noProof/>
            <w:webHidden/>
          </w:rPr>
          <w:tab/>
        </w:r>
        <w:r>
          <w:rPr>
            <w:noProof/>
            <w:webHidden/>
          </w:rPr>
          <w:fldChar w:fldCharType="begin"/>
        </w:r>
        <w:r>
          <w:rPr>
            <w:noProof/>
            <w:webHidden/>
          </w:rPr>
          <w:instrText xml:space="preserve"> PAGEREF _Toc239333413 \h </w:instrText>
        </w:r>
        <w:r>
          <w:rPr>
            <w:noProof/>
            <w:webHidden/>
          </w:rPr>
        </w:r>
        <w:r>
          <w:rPr>
            <w:noProof/>
            <w:webHidden/>
          </w:rPr>
          <w:fldChar w:fldCharType="separate"/>
        </w:r>
        <w:r>
          <w:rPr>
            <w:noProof/>
            <w:webHidden/>
          </w:rPr>
          <w:t>170</w:t>
        </w:r>
        <w:r>
          <w:rPr>
            <w:noProof/>
            <w:webHidden/>
          </w:rPr>
          <w:fldChar w:fldCharType="end"/>
        </w:r>
      </w:hyperlink>
    </w:p>
    <w:p w14:paraId="5FA0B74A" w14:textId="5919920A"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4" w:history="1">
        <w:r w:rsidRPr="00EF2D65">
          <w:rPr>
            <w:rStyle w:val="Hipercze"/>
            <w:rFonts w:cstheme="minorHAnsi"/>
            <w:noProof/>
          </w:rPr>
          <w:t>E.7.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Jeżeli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xml:space="preserve"> utraci wskazany przez siebie POB</w:t>
        </w:r>
        <w:r w:rsidRPr="00EF2D65">
          <w:rPr>
            <w:rStyle w:val="Hipercze"/>
            <w:rFonts w:cstheme="minorHAnsi"/>
            <w:noProof/>
            <w:vertAlign w:val="subscript"/>
          </w:rPr>
          <w:t>Z</w:t>
        </w:r>
        <w:r w:rsidRPr="00EF2D65">
          <w:rPr>
            <w:rStyle w:val="Hipercze"/>
            <w:rFonts w:cstheme="minorHAnsi"/>
            <w:noProof/>
          </w:rPr>
          <w:t>, wówczas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w porozumieniu z ACPRO, winien zaprzestać wprowadzania energii do sieci dystrybucyjnej ACPRO, a ACPRO ma prawo do wyłączenia tego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bez ponoszenia przez ACPRO odpowiedzialności z tego tytułu. Sposób i zasady rozliczenia energii niezbilansowania w okresie poprzedzającym zaprzestanie wprowadzenia energii do sieci dystrybucyjnej, określone są w umowie dystrybucji zawartej pomiędzy ACPRO a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w:t>
        </w:r>
        <w:r>
          <w:rPr>
            <w:noProof/>
            <w:webHidden/>
          </w:rPr>
          <w:tab/>
        </w:r>
        <w:r>
          <w:rPr>
            <w:noProof/>
            <w:webHidden/>
          </w:rPr>
          <w:fldChar w:fldCharType="begin"/>
        </w:r>
        <w:r>
          <w:rPr>
            <w:noProof/>
            <w:webHidden/>
          </w:rPr>
          <w:instrText xml:space="preserve"> PAGEREF _Toc239333414 \h </w:instrText>
        </w:r>
        <w:r>
          <w:rPr>
            <w:noProof/>
            <w:webHidden/>
          </w:rPr>
        </w:r>
        <w:r>
          <w:rPr>
            <w:noProof/>
            <w:webHidden/>
          </w:rPr>
          <w:fldChar w:fldCharType="separate"/>
        </w:r>
        <w:r>
          <w:rPr>
            <w:noProof/>
            <w:webHidden/>
          </w:rPr>
          <w:t>170</w:t>
        </w:r>
        <w:r>
          <w:rPr>
            <w:noProof/>
            <w:webHidden/>
          </w:rPr>
          <w:fldChar w:fldCharType="end"/>
        </w:r>
      </w:hyperlink>
    </w:p>
    <w:p w14:paraId="33A4880C" w14:textId="53691623"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5" w:history="1">
        <w:r w:rsidRPr="00EF2D65">
          <w:rPr>
            <w:rStyle w:val="Hipercze"/>
            <w:rFonts w:cstheme="minorHAnsi"/>
            <w:noProof/>
          </w:rPr>
          <w:t>E.8.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niezwłocznie po uzyskaniu od OSP lub OSDp informacji o planowanym zaprzestaniu działalności na RB przez POB</w:t>
        </w:r>
        <w:r w:rsidRPr="00EF2D65">
          <w:rPr>
            <w:rStyle w:val="Hipercze"/>
            <w:rFonts w:cstheme="minorHAnsi"/>
            <w:noProof/>
            <w:vertAlign w:val="subscript"/>
          </w:rPr>
          <w:t>Z</w:t>
        </w:r>
        <w:r w:rsidRPr="00EF2D65">
          <w:rPr>
            <w:rStyle w:val="Hipercze"/>
            <w:rFonts w:cstheme="minorHAnsi"/>
            <w:noProof/>
          </w:rPr>
          <w:t xml:space="preserve"> powiadamia sprzedawcę,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którzy wskazali tego POB</w:t>
        </w:r>
        <w:r w:rsidRPr="00EF2D65">
          <w:rPr>
            <w:rStyle w:val="Hipercze"/>
            <w:rFonts w:cstheme="minorHAnsi"/>
            <w:noProof/>
            <w:vertAlign w:val="subscript"/>
          </w:rPr>
          <w:t>Z</w:t>
        </w:r>
        <w:r w:rsidRPr="00EF2D65">
          <w:rPr>
            <w:rStyle w:val="Hipercze"/>
            <w:rFonts w:cstheme="minorHAnsi"/>
            <w:noProof/>
          </w:rPr>
          <w:t>, o braku możliwości bilansowania handlowego przez wskazanego POB</w:t>
        </w:r>
        <w:r w:rsidRPr="00EF2D65">
          <w:rPr>
            <w:rStyle w:val="Hipercze"/>
            <w:rFonts w:cstheme="minorHAnsi"/>
            <w:noProof/>
            <w:vertAlign w:val="subscript"/>
          </w:rPr>
          <w:t>Z</w:t>
        </w:r>
        <w:r w:rsidRPr="00EF2D65">
          <w:rPr>
            <w:rStyle w:val="Hipercze"/>
            <w:rFonts w:cstheme="minorHAnsi"/>
            <w:noProof/>
          </w:rPr>
          <w:t>. W takim przypadku sprzedawca,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xml:space="preserve"> jest zobowiązany do zmiany POB</w:t>
        </w:r>
        <w:r w:rsidRPr="00EF2D65">
          <w:rPr>
            <w:rStyle w:val="Hipercze"/>
            <w:rFonts w:cstheme="minorHAnsi"/>
            <w:noProof/>
            <w:vertAlign w:val="subscript"/>
          </w:rPr>
          <w:t>Z</w:t>
        </w:r>
        <w:r w:rsidRPr="00EF2D65">
          <w:rPr>
            <w:rStyle w:val="Hipercze"/>
            <w:rFonts w:cstheme="minorHAnsi"/>
            <w:noProof/>
          </w:rPr>
          <w:t>. Zmiana ta musi nastąpić przed ww. terminem planowanego zaprzestania działalności na RB przez dotychczasowego POB</w:t>
        </w:r>
        <w:r w:rsidRPr="00EF2D65">
          <w:rPr>
            <w:rStyle w:val="Hipercze"/>
            <w:rFonts w:cstheme="minorHAnsi"/>
            <w:noProof/>
            <w:vertAlign w:val="subscript"/>
          </w:rPr>
          <w:t>Z</w:t>
        </w:r>
        <w:r w:rsidRPr="00EF2D65">
          <w:rPr>
            <w:rStyle w:val="Hipercze"/>
            <w:rFonts w:cstheme="minorHAnsi"/>
            <w:noProof/>
          </w:rPr>
          <w:t>, z zachowaniem postanowień niniejszego rozdziału.</w:t>
        </w:r>
        <w:r>
          <w:rPr>
            <w:noProof/>
            <w:webHidden/>
          </w:rPr>
          <w:tab/>
        </w:r>
        <w:r>
          <w:rPr>
            <w:noProof/>
            <w:webHidden/>
          </w:rPr>
          <w:fldChar w:fldCharType="begin"/>
        </w:r>
        <w:r>
          <w:rPr>
            <w:noProof/>
            <w:webHidden/>
          </w:rPr>
          <w:instrText xml:space="preserve"> PAGEREF _Toc239333415 \h </w:instrText>
        </w:r>
        <w:r>
          <w:rPr>
            <w:noProof/>
            <w:webHidden/>
          </w:rPr>
        </w:r>
        <w:r>
          <w:rPr>
            <w:noProof/>
            <w:webHidden/>
          </w:rPr>
          <w:fldChar w:fldCharType="separate"/>
        </w:r>
        <w:r>
          <w:rPr>
            <w:noProof/>
            <w:webHidden/>
          </w:rPr>
          <w:t>170</w:t>
        </w:r>
        <w:r>
          <w:rPr>
            <w:noProof/>
            <w:webHidden/>
          </w:rPr>
          <w:fldChar w:fldCharType="end"/>
        </w:r>
      </w:hyperlink>
    </w:p>
    <w:p w14:paraId="4A03F8FE" w14:textId="202CD2EB"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6" w:history="1">
        <w:r w:rsidRPr="00EF2D65">
          <w:rPr>
            <w:rStyle w:val="Hipercze"/>
            <w:rFonts w:cstheme="minorHAnsi"/>
            <w:noProof/>
          </w:rPr>
          <w:t>E.9.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POB</w:t>
        </w:r>
        <w:r w:rsidRPr="00EF2D65">
          <w:rPr>
            <w:rStyle w:val="Hipercze"/>
            <w:rFonts w:cstheme="minorHAnsi"/>
            <w:noProof/>
            <w:vertAlign w:val="subscript"/>
          </w:rPr>
          <w:t>Z</w:t>
        </w:r>
        <w:r w:rsidRPr="00EF2D65">
          <w:rPr>
            <w:rStyle w:val="Hipercze"/>
            <w:rFonts w:cstheme="minorHAnsi"/>
            <w:noProof/>
          </w:rPr>
          <w:t>, który prowadzi bilansowanie handlowe sprzedawcy,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xml:space="preserve"> jest zobowiązany do natychmiastowego skutecznego poinformowania ACPRO oraz wyżej wymienionego sprzedawcy,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który go wskazał, o zawieszeniu lub zaprzestaniu niezależnie od przyczyny działalności na RB.</w:t>
        </w:r>
        <w:r>
          <w:rPr>
            <w:noProof/>
            <w:webHidden/>
          </w:rPr>
          <w:tab/>
        </w:r>
        <w:r>
          <w:rPr>
            <w:noProof/>
            <w:webHidden/>
          </w:rPr>
          <w:fldChar w:fldCharType="begin"/>
        </w:r>
        <w:r>
          <w:rPr>
            <w:noProof/>
            <w:webHidden/>
          </w:rPr>
          <w:instrText xml:space="preserve"> PAGEREF _Toc239333416 \h </w:instrText>
        </w:r>
        <w:r>
          <w:rPr>
            <w:noProof/>
            <w:webHidden/>
          </w:rPr>
        </w:r>
        <w:r>
          <w:rPr>
            <w:noProof/>
            <w:webHidden/>
          </w:rPr>
          <w:fldChar w:fldCharType="separate"/>
        </w:r>
        <w:r>
          <w:rPr>
            <w:noProof/>
            <w:webHidden/>
          </w:rPr>
          <w:t>170</w:t>
        </w:r>
        <w:r>
          <w:rPr>
            <w:noProof/>
            <w:webHidden/>
          </w:rPr>
          <w:fldChar w:fldCharType="end"/>
        </w:r>
      </w:hyperlink>
    </w:p>
    <w:p w14:paraId="157410CD" w14:textId="2529B0DB"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7" w:history="1">
        <w:r w:rsidRPr="00EF2D65">
          <w:rPr>
            <w:rStyle w:val="Hipercze"/>
            <w:rFonts w:cstheme="minorHAnsi"/>
            <w:noProof/>
          </w:rPr>
          <w:t>E.10.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Powiadomienie ACPRO o zakończeniu prowadzenia przez POB</w:t>
        </w:r>
        <w:r w:rsidRPr="00EF2D65">
          <w:rPr>
            <w:rStyle w:val="Hipercze"/>
            <w:rFonts w:cstheme="minorHAnsi"/>
            <w:noProof/>
            <w:vertAlign w:val="subscript"/>
          </w:rPr>
          <w:t>Z</w:t>
        </w:r>
        <w:r w:rsidRPr="00EF2D65">
          <w:rPr>
            <w:rStyle w:val="Hipercze"/>
            <w:rFonts w:cstheme="minorHAnsi"/>
            <w:noProof/>
          </w:rPr>
          <w:t xml:space="preserve"> bilansowania handlowego sprzedawcy,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 xml:space="preserve"> albo o rozwiązaniu umowy o świadczenie usług bilansowania handlowego zawartej pomiędzy POB</w:t>
        </w:r>
        <w:r w:rsidRPr="00EF2D65">
          <w:rPr>
            <w:rStyle w:val="Hipercze"/>
            <w:rFonts w:cstheme="minorHAnsi"/>
            <w:noProof/>
            <w:vertAlign w:val="subscript"/>
          </w:rPr>
          <w:t>Z</w:t>
        </w:r>
        <w:r w:rsidRPr="00EF2D65">
          <w:rPr>
            <w:rStyle w:val="Hipercze"/>
            <w:rFonts w:cstheme="minorHAnsi"/>
            <w:noProof/>
          </w:rPr>
          <w:t xml:space="preserve"> a sprzedawcą albo pomiędzy POB</w:t>
        </w:r>
        <w:r w:rsidRPr="00EF2D65">
          <w:rPr>
            <w:rStyle w:val="Hipercze"/>
            <w:rFonts w:cstheme="minorHAnsi"/>
            <w:noProof/>
            <w:vertAlign w:val="subscript"/>
          </w:rPr>
          <w:t>Z</w:t>
        </w:r>
        <w:r w:rsidRPr="00EF2D65">
          <w:rPr>
            <w:rStyle w:val="Hipercze"/>
            <w:rFonts w:cstheme="minorHAnsi"/>
            <w:noProof/>
          </w:rPr>
          <w:t xml:space="preserve"> a URD</w:t>
        </w:r>
        <w:r w:rsidRPr="00EF2D65">
          <w:rPr>
            <w:rStyle w:val="Hipercze"/>
            <w:rFonts w:cstheme="minorHAnsi"/>
            <w:noProof/>
            <w:vertAlign w:val="subscript"/>
          </w:rPr>
          <w:t>W</w:t>
        </w:r>
        <w:r w:rsidRPr="00EF2D65">
          <w:rPr>
            <w:rStyle w:val="Hipercze"/>
            <w:rFonts w:cstheme="minorHAnsi"/>
            <w:noProof/>
          </w:rPr>
          <w:t xml:space="preserve"> albo między POB</w:t>
        </w:r>
        <w:r w:rsidRPr="00EF2D65">
          <w:rPr>
            <w:rStyle w:val="Hipercze"/>
            <w:rFonts w:cstheme="minorHAnsi"/>
            <w:noProof/>
            <w:vertAlign w:val="subscript"/>
          </w:rPr>
          <w:t>Z</w:t>
        </w:r>
        <w:r w:rsidRPr="00EF2D65">
          <w:rPr>
            <w:rStyle w:val="Hipercze"/>
            <w:rFonts w:cstheme="minorHAnsi"/>
            <w:noProof/>
          </w:rPr>
          <w:t xml:space="preserve"> a URD</w:t>
        </w:r>
        <w:r w:rsidRPr="00EF2D65">
          <w:rPr>
            <w:rStyle w:val="Hipercze"/>
            <w:rFonts w:cstheme="minorHAnsi"/>
            <w:noProof/>
            <w:vertAlign w:val="subscript"/>
          </w:rPr>
          <w:t>ME</w:t>
        </w:r>
        <w:r w:rsidRPr="00EF2D65">
          <w:rPr>
            <w:rStyle w:val="Hipercze"/>
            <w:rFonts w:cstheme="minorHAnsi"/>
            <w:noProof/>
          </w:rPr>
          <w:t xml:space="preserve"> powinno nastąpić niezwłocznie po uzyskaniu takich informacji przez ww. podmioty, jednak nie później niż 15 dni kalendarzowych przed zakończeniem przez POB</w:t>
        </w:r>
        <w:r w:rsidRPr="00EF2D65">
          <w:rPr>
            <w:rStyle w:val="Hipercze"/>
            <w:rFonts w:cstheme="minorHAnsi"/>
            <w:noProof/>
            <w:vertAlign w:val="subscript"/>
          </w:rPr>
          <w:t>Z</w:t>
        </w:r>
        <w:r w:rsidRPr="00EF2D65">
          <w:rPr>
            <w:rStyle w:val="Hipercze"/>
            <w:rFonts w:cstheme="minorHAnsi"/>
            <w:noProof/>
          </w:rPr>
          <w:t xml:space="preserve"> bilansowania handlowego sprzedawcy, URD</w:t>
        </w:r>
        <w:r w:rsidRPr="00EF2D65">
          <w:rPr>
            <w:rStyle w:val="Hipercze"/>
            <w:rFonts w:cstheme="minorHAnsi"/>
            <w:noProof/>
            <w:vertAlign w:val="subscript"/>
          </w:rPr>
          <w:t>W</w:t>
        </w:r>
        <w:r w:rsidRPr="00EF2D65">
          <w:rPr>
            <w:rStyle w:val="Hipercze"/>
            <w:rFonts w:cstheme="minorHAnsi"/>
            <w:noProof/>
          </w:rPr>
          <w:t xml:space="preserve"> lub URD</w:t>
        </w:r>
        <w:r w:rsidRPr="00EF2D65">
          <w:rPr>
            <w:rStyle w:val="Hipercze"/>
            <w:rFonts w:cstheme="minorHAnsi"/>
            <w:noProof/>
            <w:vertAlign w:val="subscript"/>
          </w:rPr>
          <w:t>ME</w:t>
        </w:r>
        <w:r w:rsidRPr="00EF2D65">
          <w:rPr>
            <w:rStyle w:val="Hipercze"/>
            <w:rFonts w:cstheme="minorHAnsi"/>
            <w:noProof/>
          </w:rPr>
          <w:t>.</w:t>
        </w:r>
        <w:r>
          <w:rPr>
            <w:noProof/>
            <w:webHidden/>
          </w:rPr>
          <w:tab/>
        </w:r>
        <w:r>
          <w:rPr>
            <w:noProof/>
            <w:webHidden/>
          </w:rPr>
          <w:fldChar w:fldCharType="begin"/>
        </w:r>
        <w:r>
          <w:rPr>
            <w:noProof/>
            <w:webHidden/>
          </w:rPr>
          <w:instrText xml:space="preserve"> PAGEREF _Toc239333417 \h </w:instrText>
        </w:r>
        <w:r>
          <w:rPr>
            <w:noProof/>
            <w:webHidden/>
          </w:rPr>
        </w:r>
        <w:r>
          <w:rPr>
            <w:noProof/>
            <w:webHidden/>
          </w:rPr>
          <w:fldChar w:fldCharType="separate"/>
        </w:r>
        <w:r>
          <w:rPr>
            <w:noProof/>
            <w:webHidden/>
          </w:rPr>
          <w:t>170</w:t>
        </w:r>
        <w:r>
          <w:rPr>
            <w:noProof/>
            <w:webHidden/>
          </w:rPr>
          <w:fldChar w:fldCharType="end"/>
        </w:r>
      </w:hyperlink>
    </w:p>
    <w:p w14:paraId="20B54ADD" w14:textId="02485D34"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18" w:history="1">
        <w:r w:rsidRPr="00EF2D65">
          <w:rPr>
            <w:rStyle w:val="Hipercze"/>
            <w:rFonts w:cstheme="minorHAnsi"/>
            <w:noProof/>
          </w:rPr>
          <w:t>F.</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PROCEDURA POWIADAMIANIA O ZAWARTYCH UMOWACH SPRZEDAŻY ORAZ UMOWACH KOMPLEKSOWYCH</w:t>
        </w:r>
        <w:r>
          <w:rPr>
            <w:noProof/>
            <w:webHidden/>
          </w:rPr>
          <w:tab/>
        </w:r>
        <w:r>
          <w:rPr>
            <w:noProof/>
            <w:webHidden/>
          </w:rPr>
          <w:fldChar w:fldCharType="begin"/>
        </w:r>
        <w:r>
          <w:rPr>
            <w:noProof/>
            <w:webHidden/>
          </w:rPr>
          <w:instrText xml:space="preserve"> PAGEREF _Toc239333418 \h </w:instrText>
        </w:r>
        <w:r>
          <w:rPr>
            <w:noProof/>
            <w:webHidden/>
          </w:rPr>
        </w:r>
        <w:r>
          <w:rPr>
            <w:noProof/>
            <w:webHidden/>
          </w:rPr>
          <w:fldChar w:fldCharType="separate"/>
        </w:r>
        <w:r>
          <w:rPr>
            <w:noProof/>
            <w:webHidden/>
          </w:rPr>
          <w:t>173</w:t>
        </w:r>
        <w:r>
          <w:rPr>
            <w:noProof/>
            <w:webHidden/>
          </w:rPr>
          <w:fldChar w:fldCharType="end"/>
        </w:r>
      </w:hyperlink>
    </w:p>
    <w:p w14:paraId="6605B136" w14:textId="153F43E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19" w:history="1">
        <w:r w:rsidRPr="00EF2D65">
          <w:rPr>
            <w:rStyle w:val="Hipercze"/>
            <w:rFonts w:cstheme="minorHAnsi"/>
            <w:noProof/>
          </w:rPr>
          <w:t>F.1.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OGÓLNE ZASADY POWIADAMIANIA</w:t>
        </w:r>
        <w:r>
          <w:rPr>
            <w:noProof/>
            <w:webHidden/>
          </w:rPr>
          <w:tab/>
        </w:r>
        <w:r>
          <w:rPr>
            <w:noProof/>
            <w:webHidden/>
          </w:rPr>
          <w:fldChar w:fldCharType="begin"/>
        </w:r>
        <w:r>
          <w:rPr>
            <w:noProof/>
            <w:webHidden/>
          </w:rPr>
          <w:instrText xml:space="preserve"> PAGEREF _Toc239333419 \h </w:instrText>
        </w:r>
        <w:r>
          <w:rPr>
            <w:noProof/>
            <w:webHidden/>
          </w:rPr>
        </w:r>
        <w:r>
          <w:rPr>
            <w:noProof/>
            <w:webHidden/>
          </w:rPr>
          <w:fldChar w:fldCharType="separate"/>
        </w:r>
        <w:r>
          <w:rPr>
            <w:noProof/>
            <w:webHidden/>
          </w:rPr>
          <w:t>173</w:t>
        </w:r>
        <w:r>
          <w:rPr>
            <w:noProof/>
            <w:webHidden/>
          </w:rPr>
          <w:fldChar w:fldCharType="end"/>
        </w:r>
      </w:hyperlink>
    </w:p>
    <w:p w14:paraId="036C55EA" w14:textId="5A5F2DF7"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20" w:history="1">
        <w:r w:rsidRPr="00EF2D65">
          <w:rPr>
            <w:rStyle w:val="Hipercze"/>
            <w:rFonts w:cstheme="minorHAnsi"/>
            <w:noProof/>
          </w:rPr>
          <w:t>F.2.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WERYFIKACJA ZGŁOSZEŃ UMÓW SPRZEDAŻY ENERGII ELEKTRYCZNEJ WERYFIKACJA POWIADOMIEŃ</w:t>
        </w:r>
        <w:r>
          <w:rPr>
            <w:noProof/>
            <w:webHidden/>
          </w:rPr>
          <w:tab/>
        </w:r>
        <w:r>
          <w:rPr>
            <w:noProof/>
            <w:webHidden/>
          </w:rPr>
          <w:fldChar w:fldCharType="begin"/>
        </w:r>
        <w:r>
          <w:rPr>
            <w:noProof/>
            <w:webHidden/>
          </w:rPr>
          <w:instrText xml:space="preserve"> PAGEREF _Toc239333420 \h </w:instrText>
        </w:r>
        <w:r>
          <w:rPr>
            <w:noProof/>
            <w:webHidden/>
          </w:rPr>
        </w:r>
        <w:r>
          <w:rPr>
            <w:noProof/>
            <w:webHidden/>
          </w:rPr>
          <w:fldChar w:fldCharType="separate"/>
        </w:r>
        <w:r>
          <w:rPr>
            <w:noProof/>
            <w:webHidden/>
          </w:rPr>
          <w:t>174</w:t>
        </w:r>
        <w:r>
          <w:rPr>
            <w:noProof/>
            <w:webHidden/>
          </w:rPr>
          <w:fldChar w:fldCharType="end"/>
        </w:r>
      </w:hyperlink>
    </w:p>
    <w:p w14:paraId="6E2897B2" w14:textId="3370BDA1"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21" w:history="1">
        <w:r w:rsidRPr="00EF2D65">
          <w:rPr>
            <w:rStyle w:val="Hipercze"/>
            <w:rFonts w:cstheme="minorHAnsi"/>
            <w:noProof/>
          </w:rPr>
          <w:t>G.</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ZASADY OPRACOWANIA, AKTUALIZACJI I UDOSTEPNIANIA STANDARDOWYCH PROFILI ZUŻYCIA</w:t>
        </w:r>
        <w:r>
          <w:rPr>
            <w:noProof/>
            <w:webHidden/>
          </w:rPr>
          <w:tab/>
        </w:r>
        <w:r>
          <w:rPr>
            <w:noProof/>
            <w:webHidden/>
          </w:rPr>
          <w:fldChar w:fldCharType="begin"/>
        </w:r>
        <w:r>
          <w:rPr>
            <w:noProof/>
            <w:webHidden/>
          </w:rPr>
          <w:instrText xml:space="preserve"> PAGEREF _Toc239333421 \h </w:instrText>
        </w:r>
        <w:r>
          <w:rPr>
            <w:noProof/>
            <w:webHidden/>
          </w:rPr>
        </w:r>
        <w:r>
          <w:rPr>
            <w:noProof/>
            <w:webHidden/>
          </w:rPr>
          <w:fldChar w:fldCharType="separate"/>
        </w:r>
        <w:r>
          <w:rPr>
            <w:noProof/>
            <w:webHidden/>
          </w:rPr>
          <w:t>175</w:t>
        </w:r>
        <w:r>
          <w:rPr>
            <w:noProof/>
            <w:webHidden/>
          </w:rPr>
          <w:fldChar w:fldCharType="end"/>
        </w:r>
      </w:hyperlink>
    </w:p>
    <w:p w14:paraId="26506F84" w14:textId="14251C8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22" w:history="1">
        <w:r w:rsidRPr="00EF2D65">
          <w:rPr>
            <w:rStyle w:val="Hipercze"/>
            <w:rFonts w:cstheme="minorHAnsi"/>
            <w:noProof/>
          </w:rPr>
          <w:t>G.1.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 xml:space="preserve">ACPRO opracowuje i aktualizuje standardowe profile zużycia (profile) z zachowaniem należytej staranności na podstawie pomierzonych zmienności obciążeń dobowych odbiorców kontrolnych objętych pomiarami zmienności obciążenia, wytypowanych przez ACPRO spośród odbiorców przyłączonych do sieci dystrybucyjnej o mocy umownej do 40 kW, o których mowa w poniższych tabelach, przy zastosowaniu technik statystyki matematycznej. Wykaz profili dostępnych dla odbiorców profilowanych </w:t>
        </w:r>
        <w:r w:rsidRPr="00EF2D65">
          <w:rPr>
            <w:rStyle w:val="Hipercze"/>
            <w:rFonts w:cstheme="minorHAnsi"/>
            <w:noProof/>
          </w:rPr>
          <w:lastRenderedPageBreak/>
          <w:t>zestawiono w tab. T.1, zaś godzinowe profile wyznaczone w jednostkach względnych zamieszczono w tab. T.2.</w:t>
        </w:r>
        <w:r>
          <w:rPr>
            <w:noProof/>
            <w:webHidden/>
          </w:rPr>
          <w:tab/>
        </w:r>
        <w:r>
          <w:rPr>
            <w:noProof/>
            <w:webHidden/>
          </w:rPr>
          <w:fldChar w:fldCharType="begin"/>
        </w:r>
        <w:r>
          <w:rPr>
            <w:noProof/>
            <w:webHidden/>
          </w:rPr>
          <w:instrText xml:space="preserve"> PAGEREF _Toc239333422 \h </w:instrText>
        </w:r>
        <w:r>
          <w:rPr>
            <w:noProof/>
            <w:webHidden/>
          </w:rPr>
        </w:r>
        <w:r>
          <w:rPr>
            <w:noProof/>
            <w:webHidden/>
          </w:rPr>
          <w:fldChar w:fldCharType="separate"/>
        </w:r>
        <w:r>
          <w:rPr>
            <w:noProof/>
            <w:webHidden/>
          </w:rPr>
          <w:t>175</w:t>
        </w:r>
        <w:r>
          <w:rPr>
            <w:noProof/>
            <w:webHidden/>
          </w:rPr>
          <w:fldChar w:fldCharType="end"/>
        </w:r>
      </w:hyperlink>
    </w:p>
    <w:p w14:paraId="76D2EB7F" w14:textId="131DEE37"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23" w:history="1">
        <w:r w:rsidRPr="00EF2D65">
          <w:rPr>
            <w:rStyle w:val="Hipercze"/>
            <w:rFonts w:cstheme="minorHAnsi"/>
            <w:noProof/>
          </w:rPr>
          <w:t>G.2.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Dla odbiorców, o których mowa w pkt. G.1, ACPRO na podstawie:</w:t>
        </w:r>
        <w:r>
          <w:rPr>
            <w:noProof/>
            <w:webHidden/>
          </w:rPr>
          <w:tab/>
        </w:r>
        <w:r>
          <w:rPr>
            <w:noProof/>
            <w:webHidden/>
          </w:rPr>
          <w:fldChar w:fldCharType="begin"/>
        </w:r>
        <w:r>
          <w:rPr>
            <w:noProof/>
            <w:webHidden/>
          </w:rPr>
          <w:instrText xml:space="preserve"> PAGEREF _Toc239333423 \h </w:instrText>
        </w:r>
        <w:r>
          <w:rPr>
            <w:noProof/>
            <w:webHidden/>
          </w:rPr>
        </w:r>
        <w:r>
          <w:rPr>
            <w:noProof/>
            <w:webHidden/>
          </w:rPr>
          <w:fldChar w:fldCharType="separate"/>
        </w:r>
        <w:r>
          <w:rPr>
            <w:noProof/>
            <w:webHidden/>
          </w:rPr>
          <w:t>175</w:t>
        </w:r>
        <w:r>
          <w:rPr>
            <w:noProof/>
            <w:webHidden/>
          </w:rPr>
          <w:fldChar w:fldCharType="end"/>
        </w:r>
      </w:hyperlink>
    </w:p>
    <w:p w14:paraId="14A17175" w14:textId="3D6D65E1"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24" w:history="1">
        <w:r w:rsidRPr="00EF2D65">
          <w:rPr>
            <w:rStyle w:val="Hipercze"/>
            <w:rFonts w:cstheme="minorHAnsi"/>
            <w:noProof/>
          </w:rPr>
          <w:t>G.3.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Przydzielony dla odbiorcy profil oraz planowana ilość poboru energii elektrycznej jest przyjmowana w Generalnej Umowie Dystrybucji zawartej przez sprzedawcę tego odbiorcy profilowego z ACPRO.</w:t>
        </w:r>
        <w:r>
          <w:rPr>
            <w:noProof/>
            <w:webHidden/>
          </w:rPr>
          <w:tab/>
        </w:r>
        <w:r>
          <w:rPr>
            <w:noProof/>
            <w:webHidden/>
          </w:rPr>
          <w:fldChar w:fldCharType="begin"/>
        </w:r>
        <w:r>
          <w:rPr>
            <w:noProof/>
            <w:webHidden/>
          </w:rPr>
          <w:instrText xml:space="preserve"> PAGEREF _Toc239333424 \h </w:instrText>
        </w:r>
        <w:r>
          <w:rPr>
            <w:noProof/>
            <w:webHidden/>
          </w:rPr>
        </w:r>
        <w:r>
          <w:rPr>
            <w:noProof/>
            <w:webHidden/>
          </w:rPr>
          <w:fldChar w:fldCharType="separate"/>
        </w:r>
        <w:r>
          <w:rPr>
            <w:noProof/>
            <w:webHidden/>
          </w:rPr>
          <w:t>175</w:t>
        </w:r>
        <w:r>
          <w:rPr>
            <w:noProof/>
            <w:webHidden/>
          </w:rPr>
          <w:fldChar w:fldCharType="end"/>
        </w:r>
      </w:hyperlink>
    </w:p>
    <w:p w14:paraId="108A54F9" w14:textId="3DFD79F5"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25" w:history="1">
        <w:r w:rsidRPr="00EF2D65">
          <w:rPr>
            <w:rStyle w:val="Hipercze"/>
            <w:rFonts w:cstheme="minorHAnsi"/>
            <w:noProof/>
          </w:rPr>
          <w:t>G.4.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zmiany parametrów dla danego PPE, o których mowa w pkt. G.2., odbiorca jest zobowiązany do powiadomienia ACPRO. W takim przypadku ACPRO dokonuje weryfikacji przydzielonego profilu dla danego PPE oraz planowanej ilość poboru energii elektrycznej i dokonuje odpowiednich zmian w Generalnej Umowie Dystrybucji, o której mowa w pkt. G.3.</w:t>
        </w:r>
        <w:r>
          <w:rPr>
            <w:noProof/>
            <w:webHidden/>
          </w:rPr>
          <w:tab/>
        </w:r>
        <w:r>
          <w:rPr>
            <w:noProof/>
            <w:webHidden/>
          </w:rPr>
          <w:fldChar w:fldCharType="begin"/>
        </w:r>
        <w:r>
          <w:rPr>
            <w:noProof/>
            <w:webHidden/>
          </w:rPr>
          <w:instrText xml:space="preserve"> PAGEREF _Toc239333425 \h </w:instrText>
        </w:r>
        <w:r>
          <w:rPr>
            <w:noProof/>
            <w:webHidden/>
          </w:rPr>
        </w:r>
        <w:r>
          <w:rPr>
            <w:noProof/>
            <w:webHidden/>
          </w:rPr>
          <w:fldChar w:fldCharType="separate"/>
        </w:r>
        <w:r>
          <w:rPr>
            <w:noProof/>
            <w:webHidden/>
          </w:rPr>
          <w:t>175</w:t>
        </w:r>
        <w:r>
          <w:rPr>
            <w:noProof/>
            <w:webHidden/>
          </w:rPr>
          <w:fldChar w:fldCharType="end"/>
        </w:r>
      </w:hyperlink>
    </w:p>
    <w:p w14:paraId="25EA822A" w14:textId="698EE7A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26" w:history="1">
        <w:r w:rsidRPr="00EF2D65">
          <w:rPr>
            <w:rStyle w:val="Hipercze"/>
            <w:rFonts w:cstheme="minorHAnsi"/>
            <w:noProof/>
          </w:rPr>
          <w:t>G.5.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gdy okres rozliczenia niezbilansowania na Rynku Bilansującym jest krótszy niż jedna godzina, ustalenie ilości energii elektrycznej dla danego okresu rozliczania niezbilansowania dokonuje się dzieląc godzinowe ilości energii elektrycznej po równo na zawierające się w tym okresie okresy rozliczania niezbilansowania</w:t>
        </w:r>
        <w:r>
          <w:rPr>
            <w:noProof/>
            <w:webHidden/>
          </w:rPr>
          <w:tab/>
        </w:r>
        <w:r>
          <w:rPr>
            <w:noProof/>
            <w:webHidden/>
          </w:rPr>
          <w:fldChar w:fldCharType="begin"/>
        </w:r>
        <w:r>
          <w:rPr>
            <w:noProof/>
            <w:webHidden/>
          </w:rPr>
          <w:instrText xml:space="preserve"> PAGEREF _Toc239333426 \h </w:instrText>
        </w:r>
        <w:r>
          <w:rPr>
            <w:noProof/>
            <w:webHidden/>
          </w:rPr>
        </w:r>
        <w:r>
          <w:rPr>
            <w:noProof/>
            <w:webHidden/>
          </w:rPr>
          <w:fldChar w:fldCharType="separate"/>
        </w:r>
        <w:r>
          <w:rPr>
            <w:noProof/>
            <w:webHidden/>
          </w:rPr>
          <w:t>175</w:t>
        </w:r>
        <w:r>
          <w:rPr>
            <w:noProof/>
            <w:webHidden/>
          </w:rPr>
          <w:fldChar w:fldCharType="end"/>
        </w:r>
      </w:hyperlink>
    </w:p>
    <w:p w14:paraId="30905775" w14:textId="7A1F3C64"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27" w:history="1">
        <w:r w:rsidRPr="00EF2D65">
          <w:rPr>
            <w:rStyle w:val="Hipercze"/>
            <w:rFonts w:cstheme="minorHAnsi"/>
            <w:noProof/>
          </w:rPr>
          <w:t>H.</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POSTĘPOWANIE REKLAMACYJNE I OBOWIĄZKI INFORMACYJNE</w:t>
        </w:r>
        <w:r>
          <w:rPr>
            <w:noProof/>
            <w:webHidden/>
          </w:rPr>
          <w:tab/>
        </w:r>
        <w:r>
          <w:rPr>
            <w:noProof/>
            <w:webHidden/>
          </w:rPr>
          <w:fldChar w:fldCharType="begin"/>
        </w:r>
        <w:r>
          <w:rPr>
            <w:noProof/>
            <w:webHidden/>
          </w:rPr>
          <w:instrText xml:space="preserve"> PAGEREF _Toc239333427 \h </w:instrText>
        </w:r>
        <w:r>
          <w:rPr>
            <w:noProof/>
            <w:webHidden/>
          </w:rPr>
        </w:r>
        <w:r>
          <w:rPr>
            <w:noProof/>
            <w:webHidden/>
          </w:rPr>
          <w:fldChar w:fldCharType="separate"/>
        </w:r>
        <w:r>
          <w:rPr>
            <w:noProof/>
            <w:webHidden/>
          </w:rPr>
          <w:t>177</w:t>
        </w:r>
        <w:r>
          <w:rPr>
            <w:noProof/>
            <w:webHidden/>
          </w:rPr>
          <w:fldChar w:fldCharType="end"/>
        </w:r>
      </w:hyperlink>
    </w:p>
    <w:p w14:paraId="2C77E0F2" w14:textId="51749BE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28" w:history="1">
        <w:r w:rsidRPr="00EF2D65">
          <w:rPr>
            <w:rStyle w:val="Hipercze"/>
            <w:rFonts w:cstheme="minorHAnsi"/>
            <w:noProof/>
          </w:rPr>
          <w:t>H.1.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Niniejszy rozdział określa procedury postępowania i rozstrzygania reklamacji w zakresie objętym niniejszą IRiESD.</w:t>
        </w:r>
        <w:r>
          <w:rPr>
            <w:noProof/>
            <w:webHidden/>
          </w:rPr>
          <w:tab/>
        </w:r>
        <w:r>
          <w:rPr>
            <w:noProof/>
            <w:webHidden/>
          </w:rPr>
          <w:fldChar w:fldCharType="begin"/>
        </w:r>
        <w:r>
          <w:rPr>
            <w:noProof/>
            <w:webHidden/>
          </w:rPr>
          <w:instrText xml:space="preserve"> PAGEREF _Toc239333428 \h </w:instrText>
        </w:r>
        <w:r>
          <w:rPr>
            <w:noProof/>
            <w:webHidden/>
          </w:rPr>
        </w:r>
        <w:r>
          <w:rPr>
            <w:noProof/>
            <w:webHidden/>
          </w:rPr>
          <w:fldChar w:fldCharType="separate"/>
        </w:r>
        <w:r>
          <w:rPr>
            <w:noProof/>
            <w:webHidden/>
          </w:rPr>
          <w:t>177</w:t>
        </w:r>
        <w:r>
          <w:rPr>
            <w:noProof/>
            <w:webHidden/>
          </w:rPr>
          <w:fldChar w:fldCharType="end"/>
        </w:r>
      </w:hyperlink>
    </w:p>
    <w:p w14:paraId="0DFD7BA9" w14:textId="5E3BEEE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29" w:history="1">
        <w:r w:rsidRPr="00EF2D65">
          <w:rPr>
            <w:rStyle w:val="Hipercze"/>
            <w:rFonts w:cstheme="minorHAnsi"/>
            <w:noProof/>
          </w:rPr>
          <w:t>H.2.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Podmioty zobowiązane do stosowania IRiESD mogą zgłaszać reklamacje w formie pisemnej (drogą pocztową, osobiście), w formie elektronicznej (pocztą elektroniczną lub poprzez stronę internetową, o ile wprowadzona została taka funkcjonalność lub poprzez dedykowany system informatyczny ACPRO, o ile ACPRO taki system wdrożył) lub ustnej (osobiście, telefonicznie).</w:t>
        </w:r>
        <w:r>
          <w:rPr>
            <w:noProof/>
            <w:webHidden/>
          </w:rPr>
          <w:tab/>
        </w:r>
        <w:r>
          <w:rPr>
            <w:noProof/>
            <w:webHidden/>
          </w:rPr>
          <w:fldChar w:fldCharType="begin"/>
        </w:r>
        <w:r>
          <w:rPr>
            <w:noProof/>
            <w:webHidden/>
          </w:rPr>
          <w:instrText xml:space="preserve"> PAGEREF _Toc239333429 \h </w:instrText>
        </w:r>
        <w:r>
          <w:rPr>
            <w:noProof/>
            <w:webHidden/>
          </w:rPr>
        </w:r>
        <w:r>
          <w:rPr>
            <w:noProof/>
            <w:webHidden/>
          </w:rPr>
          <w:fldChar w:fldCharType="separate"/>
        </w:r>
        <w:r>
          <w:rPr>
            <w:noProof/>
            <w:webHidden/>
          </w:rPr>
          <w:t>177</w:t>
        </w:r>
        <w:r>
          <w:rPr>
            <w:noProof/>
            <w:webHidden/>
          </w:rPr>
          <w:fldChar w:fldCharType="end"/>
        </w:r>
      </w:hyperlink>
    </w:p>
    <w:p w14:paraId="507DAA68" w14:textId="7E30CC4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0" w:history="1">
        <w:r w:rsidRPr="00EF2D65">
          <w:rPr>
            <w:rStyle w:val="Hipercze"/>
            <w:rFonts w:cstheme="minorHAnsi"/>
            <w:noProof/>
          </w:rPr>
          <w:t>H.3.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URD posiadający zawartą ze sprzedawcą umowę kompleksową, składa wnioski i reklamacje o których mowa w niniejszym rozdziale, wyłącznie do tego sprzedawcy, z zastrzeżeniem pkt H.4. oraz pkt 9). ppkt 8).</w:t>
        </w:r>
        <w:r>
          <w:rPr>
            <w:noProof/>
            <w:webHidden/>
          </w:rPr>
          <w:tab/>
        </w:r>
        <w:r>
          <w:rPr>
            <w:noProof/>
            <w:webHidden/>
          </w:rPr>
          <w:fldChar w:fldCharType="begin"/>
        </w:r>
        <w:r>
          <w:rPr>
            <w:noProof/>
            <w:webHidden/>
          </w:rPr>
          <w:instrText xml:space="preserve"> PAGEREF _Toc239333430 \h </w:instrText>
        </w:r>
        <w:r>
          <w:rPr>
            <w:noProof/>
            <w:webHidden/>
          </w:rPr>
        </w:r>
        <w:r>
          <w:rPr>
            <w:noProof/>
            <w:webHidden/>
          </w:rPr>
          <w:fldChar w:fldCharType="separate"/>
        </w:r>
        <w:r>
          <w:rPr>
            <w:noProof/>
            <w:webHidden/>
          </w:rPr>
          <w:t>177</w:t>
        </w:r>
        <w:r>
          <w:rPr>
            <w:noProof/>
            <w:webHidden/>
          </w:rPr>
          <w:fldChar w:fldCharType="end"/>
        </w:r>
      </w:hyperlink>
    </w:p>
    <w:p w14:paraId="7FFF3178" w14:textId="673A948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1" w:history="1">
        <w:r w:rsidRPr="00EF2D65">
          <w:rPr>
            <w:rStyle w:val="Hipercze"/>
            <w:rFonts w:cstheme="minorHAnsi"/>
            <w:noProof/>
          </w:rPr>
          <w:t>H.4.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samodzielnie (bez udziału sprzedawcy) realizować będzie następujące obowiązki w zakresie postępowania reklamacyjnego oraz realizacji obowiązków informacyjnych wynikających z przepisów, o których mowa w pkt A.1.1:</w:t>
        </w:r>
        <w:r>
          <w:rPr>
            <w:noProof/>
            <w:webHidden/>
          </w:rPr>
          <w:tab/>
        </w:r>
        <w:r>
          <w:rPr>
            <w:noProof/>
            <w:webHidden/>
          </w:rPr>
          <w:fldChar w:fldCharType="begin"/>
        </w:r>
        <w:r>
          <w:rPr>
            <w:noProof/>
            <w:webHidden/>
          </w:rPr>
          <w:instrText xml:space="preserve"> PAGEREF _Toc239333431 \h </w:instrText>
        </w:r>
        <w:r>
          <w:rPr>
            <w:noProof/>
            <w:webHidden/>
          </w:rPr>
        </w:r>
        <w:r>
          <w:rPr>
            <w:noProof/>
            <w:webHidden/>
          </w:rPr>
          <w:fldChar w:fldCharType="separate"/>
        </w:r>
        <w:r>
          <w:rPr>
            <w:noProof/>
            <w:webHidden/>
          </w:rPr>
          <w:t>177</w:t>
        </w:r>
        <w:r>
          <w:rPr>
            <w:noProof/>
            <w:webHidden/>
          </w:rPr>
          <w:fldChar w:fldCharType="end"/>
        </w:r>
      </w:hyperlink>
    </w:p>
    <w:p w14:paraId="7C19B2B0" w14:textId="12F23B61"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2" w:history="1">
        <w:r w:rsidRPr="00EF2D65">
          <w:rPr>
            <w:rStyle w:val="Hipercze"/>
            <w:rFonts w:cstheme="minorHAnsi"/>
            <w:noProof/>
          </w:rPr>
          <w:t>H.5.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Postępowanie w sprawie reklamacji złożonych sprzedawcy przez URD posiadającego zawartą umowę kompleksową, w sprawach innych niż opisane w pkt. H.4, realizowane jest w następujący sposób:</w:t>
        </w:r>
        <w:r>
          <w:rPr>
            <w:noProof/>
            <w:webHidden/>
          </w:rPr>
          <w:tab/>
        </w:r>
        <w:r>
          <w:rPr>
            <w:noProof/>
            <w:webHidden/>
          </w:rPr>
          <w:fldChar w:fldCharType="begin"/>
        </w:r>
        <w:r>
          <w:rPr>
            <w:noProof/>
            <w:webHidden/>
          </w:rPr>
          <w:instrText xml:space="preserve"> PAGEREF _Toc239333432 \h </w:instrText>
        </w:r>
        <w:r>
          <w:rPr>
            <w:noProof/>
            <w:webHidden/>
          </w:rPr>
        </w:r>
        <w:r>
          <w:rPr>
            <w:noProof/>
            <w:webHidden/>
          </w:rPr>
          <w:fldChar w:fldCharType="separate"/>
        </w:r>
        <w:r>
          <w:rPr>
            <w:noProof/>
            <w:webHidden/>
          </w:rPr>
          <w:t>178</w:t>
        </w:r>
        <w:r>
          <w:rPr>
            <w:noProof/>
            <w:webHidden/>
          </w:rPr>
          <w:fldChar w:fldCharType="end"/>
        </w:r>
      </w:hyperlink>
    </w:p>
    <w:p w14:paraId="00E911F0" w14:textId="38D7071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3" w:history="1">
        <w:r w:rsidRPr="00EF2D65">
          <w:rPr>
            <w:rStyle w:val="Hipercze"/>
            <w:rFonts w:cstheme="minorHAnsi"/>
            <w:noProof/>
          </w:rPr>
          <w:t>H.6.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Reklamacje powinny być przesyłane do ACPRO, na adres pocztowy:</w:t>
        </w:r>
        <w:r>
          <w:rPr>
            <w:noProof/>
            <w:webHidden/>
          </w:rPr>
          <w:tab/>
        </w:r>
        <w:r>
          <w:rPr>
            <w:noProof/>
            <w:webHidden/>
          </w:rPr>
          <w:fldChar w:fldCharType="begin"/>
        </w:r>
        <w:r>
          <w:rPr>
            <w:noProof/>
            <w:webHidden/>
          </w:rPr>
          <w:instrText xml:space="preserve"> PAGEREF _Toc239333433 \h </w:instrText>
        </w:r>
        <w:r>
          <w:rPr>
            <w:noProof/>
            <w:webHidden/>
          </w:rPr>
        </w:r>
        <w:r>
          <w:rPr>
            <w:noProof/>
            <w:webHidden/>
          </w:rPr>
          <w:fldChar w:fldCharType="separate"/>
        </w:r>
        <w:r>
          <w:rPr>
            <w:noProof/>
            <w:webHidden/>
          </w:rPr>
          <w:t>180</w:t>
        </w:r>
        <w:r>
          <w:rPr>
            <w:noProof/>
            <w:webHidden/>
          </w:rPr>
          <w:fldChar w:fldCharType="end"/>
        </w:r>
      </w:hyperlink>
    </w:p>
    <w:p w14:paraId="0861CB61" w14:textId="13874E6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4" w:history="1">
        <w:r w:rsidRPr="00EF2D65">
          <w:rPr>
            <w:rStyle w:val="Hipercze"/>
            <w:rFonts w:cstheme="minorHAnsi"/>
            <w:noProof/>
          </w:rPr>
          <w:t>H.7.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Zgłoszenie przez podmiot reklamacji do ACPRO powinno zawierać w szczególności:</w:t>
        </w:r>
        <w:r>
          <w:rPr>
            <w:noProof/>
            <w:webHidden/>
          </w:rPr>
          <w:tab/>
        </w:r>
        <w:r>
          <w:rPr>
            <w:noProof/>
            <w:webHidden/>
          </w:rPr>
          <w:fldChar w:fldCharType="begin"/>
        </w:r>
        <w:r>
          <w:rPr>
            <w:noProof/>
            <w:webHidden/>
          </w:rPr>
          <w:instrText xml:space="preserve"> PAGEREF _Toc239333434 \h </w:instrText>
        </w:r>
        <w:r>
          <w:rPr>
            <w:noProof/>
            <w:webHidden/>
          </w:rPr>
        </w:r>
        <w:r>
          <w:rPr>
            <w:noProof/>
            <w:webHidden/>
          </w:rPr>
          <w:fldChar w:fldCharType="separate"/>
        </w:r>
        <w:r>
          <w:rPr>
            <w:noProof/>
            <w:webHidden/>
          </w:rPr>
          <w:t>180</w:t>
        </w:r>
        <w:r>
          <w:rPr>
            <w:noProof/>
            <w:webHidden/>
          </w:rPr>
          <w:fldChar w:fldCharType="end"/>
        </w:r>
      </w:hyperlink>
    </w:p>
    <w:p w14:paraId="2AC3FBA4" w14:textId="3EAD81D4"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5" w:history="1">
        <w:r w:rsidRPr="00EF2D65">
          <w:rPr>
            <w:rStyle w:val="Hipercze"/>
            <w:rFonts w:cstheme="minorHAnsi"/>
            <w:noProof/>
          </w:rPr>
          <w:t>H.8.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rozstrzyga zgłoszoną reklamację w terminie nie dłuższym niż:</w:t>
        </w:r>
        <w:r>
          <w:rPr>
            <w:noProof/>
            <w:webHidden/>
          </w:rPr>
          <w:tab/>
        </w:r>
        <w:r>
          <w:rPr>
            <w:noProof/>
            <w:webHidden/>
          </w:rPr>
          <w:fldChar w:fldCharType="begin"/>
        </w:r>
        <w:r>
          <w:rPr>
            <w:noProof/>
            <w:webHidden/>
          </w:rPr>
          <w:instrText xml:space="preserve"> PAGEREF _Toc239333435 \h </w:instrText>
        </w:r>
        <w:r>
          <w:rPr>
            <w:noProof/>
            <w:webHidden/>
          </w:rPr>
        </w:r>
        <w:r>
          <w:rPr>
            <w:noProof/>
            <w:webHidden/>
          </w:rPr>
          <w:fldChar w:fldCharType="separate"/>
        </w:r>
        <w:r>
          <w:rPr>
            <w:noProof/>
            <w:webHidden/>
          </w:rPr>
          <w:t>181</w:t>
        </w:r>
        <w:r>
          <w:rPr>
            <w:noProof/>
            <w:webHidden/>
          </w:rPr>
          <w:fldChar w:fldCharType="end"/>
        </w:r>
      </w:hyperlink>
    </w:p>
    <w:p w14:paraId="3B9998C9" w14:textId="2936FC3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6" w:history="1">
        <w:r w:rsidRPr="00EF2D65">
          <w:rPr>
            <w:rStyle w:val="Hipercze"/>
            <w:rFonts w:cstheme="minorHAnsi"/>
            <w:noProof/>
          </w:rPr>
          <w:t>H.9.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Rozstrzygnięcie reklamacji wraz z uzasadnieniem jest przesyłane:</w:t>
        </w:r>
        <w:r>
          <w:rPr>
            <w:noProof/>
            <w:webHidden/>
          </w:rPr>
          <w:tab/>
        </w:r>
        <w:r>
          <w:rPr>
            <w:noProof/>
            <w:webHidden/>
          </w:rPr>
          <w:fldChar w:fldCharType="begin"/>
        </w:r>
        <w:r>
          <w:rPr>
            <w:noProof/>
            <w:webHidden/>
          </w:rPr>
          <w:instrText xml:space="preserve"> PAGEREF _Toc239333436 \h </w:instrText>
        </w:r>
        <w:r>
          <w:rPr>
            <w:noProof/>
            <w:webHidden/>
          </w:rPr>
        </w:r>
        <w:r>
          <w:rPr>
            <w:noProof/>
            <w:webHidden/>
          </w:rPr>
          <w:fldChar w:fldCharType="separate"/>
        </w:r>
        <w:r>
          <w:rPr>
            <w:noProof/>
            <w:webHidden/>
          </w:rPr>
          <w:t>181</w:t>
        </w:r>
        <w:r>
          <w:rPr>
            <w:noProof/>
            <w:webHidden/>
          </w:rPr>
          <w:fldChar w:fldCharType="end"/>
        </w:r>
      </w:hyperlink>
    </w:p>
    <w:p w14:paraId="0E871CD2" w14:textId="37E3015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7" w:history="1">
        <w:r w:rsidRPr="00EF2D65">
          <w:rPr>
            <w:rStyle w:val="Hipercze"/>
            <w:rFonts w:cstheme="minorHAnsi"/>
            <w:noProof/>
          </w:rPr>
          <w:t>H.10.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Jeżeli rozstrzygnięcie reklamacji przez ACPRO zgodnie z pkt. H.9, w całości lub w części nie jest satysfakcjonujące dla podmiotu zgłaszającego, to podmiot ten ma prawo w terminie 14 dni kalendarzowych od dnia otrzymania rozstrzygnięcia, wystąpić pisemnie do ACPRO z wnioskiem o ponowne rozstrzygnięcie reklamacji, zawierającym:</w:t>
        </w:r>
        <w:r>
          <w:rPr>
            <w:noProof/>
            <w:webHidden/>
          </w:rPr>
          <w:tab/>
        </w:r>
        <w:r>
          <w:rPr>
            <w:noProof/>
            <w:webHidden/>
          </w:rPr>
          <w:fldChar w:fldCharType="begin"/>
        </w:r>
        <w:r>
          <w:rPr>
            <w:noProof/>
            <w:webHidden/>
          </w:rPr>
          <w:instrText xml:space="preserve"> PAGEREF _Toc239333437 \h </w:instrText>
        </w:r>
        <w:r>
          <w:rPr>
            <w:noProof/>
            <w:webHidden/>
          </w:rPr>
        </w:r>
        <w:r>
          <w:rPr>
            <w:noProof/>
            <w:webHidden/>
          </w:rPr>
          <w:fldChar w:fldCharType="separate"/>
        </w:r>
        <w:r>
          <w:rPr>
            <w:noProof/>
            <w:webHidden/>
          </w:rPr>
          <w:t>181</w:t>
        </w:r>
        <w:r>
          <w:rPr>
            <w:noProof/>
            <w:webHidden/>
          </w:rPr>
          <w:fldChar w:fldCharType="end"/>
        </w:r>
      </w:hyperlink>
    </w:p>
    <w:p w14:paraId="70694C26" w14:textId="0ED7E0D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8" w:history="1">
        <w:r w:rsidRPr="00EF2D65">
          <w:rPr>
            <w:rStyle w:val="Hipercze"/>
            <w:rFonts w:cstheme="minorHAnsi"/>
            <w:noProof/>
          </w:rPr>
          <w:t>H.11.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rozstrzyga wniosek o ponowne rozpatrzenie reklamacji w terminie:</w:t>
        </w:r>
        <w:r>
          <w:rPr>
            <w:noProof/>
            <w:webHidden/>
          </w:rPr>
          <w:tab/>
        </w:r>
        <w:r>
          <w:rPr>
            <w:noProof/>
            <w:webHidden/>
          </w:rPr>
          <w:fldChar w:fldCharType="begin"/>
        </w:r>
        <w:r>
          <w:rPr>
            <w:noProof/>
            <w:webHidden/>
          </w:rPr>
          <w:instrText xml:space="preserve"> PAGEREF _Toc239333438 \h </w:instrText>
        </w:r>
        <w:r>
          <w:rPr>
            <w:noProof/>
            <w:webHidden/>
          </w:rPr>
        </w:r>
        <w:r>
          <w:rPr>
            <w:noProof/>
            <w:webHidden/>
          </w:rPr>
          <w:fldChar w:fldCharType="separate"/>
        </w:r>
        <w:r>
          <w:rPr>
            <w:noProof/>
            <w:webHidden/>
          </w:rPr>
          <w:t>181</w:t>
        </w:r>
        <w:r>
          <w:rPr>
            <w:noProof/>
            <w:webHidden/>
          </w:rPr>
          <w:fldChar w:fldCharType="end"/>
        </w:r>
      </w:hyperlink>
    </w:p>
    <w:p w14:paraId="129B3FEC" w14:textId="5B7DC04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39" w:history="1">
        <w:r w:rsidRPr="00EF2D65">
          <w:rPr>
            <w:rStyle w:val="Hipercze"/>
            <w:rFonts w:cstheme="minorHAnsi"/>
            <w:noProof/>
          </w:rPr>
          <w:t>H.12.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rozpatruje przedmiotowy wniosek po przeprowadzeniu negocjacji z upoważnionymi przedstawicielami podmiotu zgłaszającego reklamację i może ją uwzględnić w całości lub w części lub podtrzymać swoje wcześniejsze stanowisko. ACPRO przesyła rozstrzygnięcie wniosku w formie pisemnej. Zasady korekty danych pomiarowych dla MDD oraz MB sprzedawców i podmiotów odpowiedzialnych za bilansowanie, określone są w pkt. C.1.</w:t>
        </w:r>
        <w:r>
          <w:rPr>
            <w:noProof/>
            <w:webHidden/>
          </w:rPr>
          <w:tab/>
        </w:r>
        <w:r>
          <w:rPr>
            <w:noProof/>
            <w:webHidden/>
          </w:rPr>
          <w:fldChar w:fldCharType="begin"/>
        </w:r>
        <w:r>
          <w:rPr>
            <w:noProof/>
            <w:webHidden/>
          </w:rPr>
          <w:instrText xml:space="preserve"> PAGEREF _Toc239333439 \h </w:instrText>
        </w:r>
        <w:r>
          <w:rPr>
            <w:noProof/>
            <w:webHidden/>
          </w:rPr>
        </w:r>
        <w:r>
          <w:rPr>
            <w:noProof/>
            <w:webHidden/>
          </w:rPr>
          <w:fldChar w:fldCharType="separate"/>
        </w:r>
        <w:r>
          <w:rPr>
            <w:noProof/>
            <w:webHidden/>
          </w:rPr>
          <w:t>182</w:t>
        </w:r>
        <w:r>
          <w:rPr>
            <w:noProof/>
            <w:webHidden/>
          </w:rPr>
          <w:fldChar w:fldCharType="end"/>
        </w:r>
      </w:hyperlink>
    </w:p>
    <w:p w14:paraId="68F00CC9" w14:textId="7A759F6D"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40" w:history="1">
        <w:r w:rsidRPr="00EF2D65">
          <w:rPr>
            <w:rStyle w:val="Hipercze"/>
            <w:rFonts w:cstheme="minorHAnsi"/>
            <w:noProof/>
          </w:rPr>
          <w:t>I.</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ZARZĄDZANIE OGRANICZENIAMI SYSTEMOWYMI</w:t>
        </w:r>
        <w:r>
          <w:rPr>
            <w:noProof/>
            <w:webHidden/>
          </w:rPr>
          <w:tab/>
        </w:r>
        <w:r>
          <w:rPr>
            <w:noProof/>
            <w:webHidden/>
          </w:rPr>
          <w:fldChar w:fldCharType="begin"/>
        </w:r>
        <w:r>
          <w:rPr>
            <w:noProof/>
            <w:webHidden/>
          </w:rPr>
          <w:instrText xml:space="preserve"> PAGEREF _Toc239333440 \h </w:instrText>
        </w:r>
        <w:r>
          <w:rPr>
            <w:noProof/>
            <w:webHidden/>
          </w:rPr>
        </w:r>
        <w:r>
          <w:rPr>
            <w:noProof/>
            <w:webHidden/>
          </w:rPr>
          <w:fldChar w:fldCharType="separate"/>
        </w:r>
        <w:r>
          <w:rPr>
            <w:noProof/>
            <w:webHidden/>
          </w:rPr>
          <w:t>183</w:t>
        </w:r>
        <w:r>
          <w:rPr>
            <w:noProof/>
            <w:webHidden/>
          </w:rPr>
          <w:fldChar w:fldCharType="end"/>
        </w:r>
      </w:hyperlink>
    </w:p>
    <w:p w14:paraId="5C2762DE" w14:textId="6C6AE1F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1" w:history="1">
        <w:r w:rsidRPr="00EF2D65">
          <w:rPr>
            <w:rStyle w:val="Hipercze"/>
            <w:rFonts w:cstheme="minorHAnsi"/>
            <w:noProof/>
          </w:rPr>
          <w:t>I.1.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identyfikuje ograniczenia systemowe ze względu na spełnienie wymagań niezawodności dostaw energii elektrycznej.</w:t>
        </w:r>
        <w:r>
          <w:rPr>
            <w:noProof/>
            <w:webHidden/>
          </w:rPr>
          <w:tab/>
        </w:r>
        <w:r>
          <w:rPr>
            <w:noProof/>
            <w:webHidden/>
          </w:rPr>
          <w:fldChar w:fldCharType="begin"/>
        </w:r>
        <w:r>
          <w:rPr>
            <w:noProof/>
            <w:webHidden/>
          </w:rPr>
          <w:instrText xml:space="preserve"> PAGEREF _Toc239333441 \h </w:instrText>
        </w:r>
        <w:r>
          <w:rPr>
            <w:noProof/>
            <w:webHidden/>
          </w:rPr>
        </w:r>
        <w:r>
          <w:rPr>
            <w:noProof/>
            <w:webHidden/>
          </w:rPr>
          <w:fldChar w:fldCharType="separate"/>
        </w:r>
        <w:r>
          <w:rPr>
            <w:noProof/>
            <w:webHidden/>
          </w:rPr>
          <w:t>183</w:t>
        </w:r>
        <w:r>
          <w:rPr>
            <w:noProof/>
            <w:webHidden/>
          </w:rPr>
          <w:fldChar w:fldCharType="end"/>
        </w:r>
      </w:hyperlink>
    </w:p>
    <w:p w14:paraId="6E08D568" w14:textId="27EA8E40"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2" w:history="1">
        <w:r w:rsidRPr="00EF2D65">
          <w:rPr>
            <w:rStyle w:val="Hipercze"/>
            <w:rFonts w:cstheme="minorHAnsi"/>
            <w:noProof/>
          </w:rPr>
          <w:t>I.2.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Ograniczenia systemowe dzielimy na:</w:t>
        </w:r>
        <w:r>
          <w:rPr>
            <w:noProof/>
            <w:webHidden/>
          </w:rPr>
          <w:tab/>
        </w:r>
        <w:r>
          <w:rPr>
            <w:noProof/>
            <w:webHidden/>
          </w:rPr>
          <w:fldChar w:fldCharType="begin"/>
        </w:r>
        <w:r>
          <w:rPr>
            <w:noProof/>
            <w:webHidden/>
          </w:rPr>
          <w:instrText xml:space="preserve"> PAGEREF _Toc239333442 \h </w:instrText>
        </w:r>
        <w:r>
          <w:rPr>
            <w:noProof/>
            <w:webHidden/>
          </w:rPr>
        </w:r>
        <w:r>
          <w:rPr>
            <w:noProof/>
            <w:webHidden/>
          </w:rPr>
          <w:fldChar w:fldCharType="separate"/>
        </w:r>
        <w:r>
          <w:rPr>
            <w:noProof/>
            <w:webHidden/>
          </w:rPr>
          <w:t>183</w:t>
        </w:r>
        <w:r>
          <w:rPr>
            <w:noProof/>
            <w:webHidden/>
          </w:rPr>
          <w:fldChar w:fldCharType="end"/>
        </w:r>
      </w:hyperlink>
    </w:p>
    <w:p w14:paraId="63EFF329" w14:textId="3A41F76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3" w:history="1">
        <w:r w:rsidRPr="00EF2D65">
          <w:rPr>
            <w:rStyle w:val="Hipercze"/>
            <w:rFonts w:cstheme="minorHAnsi"/>
            <w:noProof/>
          </w:rPr>
          <w:t>I.3.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Ograniczenia elektrowniane obejmują restrykcje w pracy elektrowni spowodowane przez:</w:t>
        </w:r>
        <w:r>
          <w:rPr>
            <w:noProof/>
            <w:webHidden/>
          </w:rPr>
          <w:tab/>
        </w:r>
        <w:r>
          <w:rPr>
            <w:noProof/>
            <w:webHidden/>
          </w:rPr>
          <w:fldChar w:fldCharType="begin"/>
        </w:r>
        <w:r>
          <w:rPr>
            <w:noProof/>
            <w:webHidden/>
          </w:rPr>
          <w:instrText xml:space="preserve"> PAGEREF _Toc239333443 \h </w:instrText>
        </w:r>
        <w:r>
          <w:rPr>
            <w:noProof/>
            <w:webHidden/>
          </w:rPr>
        </w:r>
        <w:r>
          <w:rPr>
            <w:noProof/>
            <w:webHidden/>
          </w:rPr>
          <w:fldChar w:fldCharType="separate"/>
        </w:r>
        <w:r>
          <w:rPr>
            <w:noProof/>
            <w:webHidden/>
          </w:rPr>
          <w:t>183</w:t>
        </w:r>
        <w:r>
          <w:rPr>
            <w:noProof/>
            <w:webHidden/>
          </w:rPr>
          <w:fldChar w:fldCharType="end"/>
        </w:r>
      </w:hyperlink>
    </w:p>
    <w:p w14:paraId="075059D1" w14:textId="0F2ED9B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4" w:history="1">
        <w:r w:rsidRPr="00EF2D65">
          <w:rPr>
            <w:rStyle w:val="Hipercze"/>
            <w:rFonts w:cstheme="minorHAnsi"/>
            <w:noProof/>
          </w:rPr>
          <w:t>I.4.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identyfikuje ograniczenia sieciowe jako:</w:t>
        </w:r>
        <w:r>
          <w:rPr>
            <w:noProof/>
            <w:webHidden/>
          </w:rPr>
          <w:tab/>
        </w:r>
        <w:r>
          <w:rPr>
            <w:noProof/>
            <w:webHidden/>
          </w:rPr>
          <w:fldChar w:fldCharType="begin"/>
        </w:r>
        <w:r>
          <w:rPr>
            <w:noProof/>
            <w:webHidden/>
          </w:rPr>
          <w:instrText xml:space="preserve"> PAGEREF _Toc239333444 \h </w:instrText>
        </w:r>
        <w:r>
          <w:rPr>
            <w:noProof/>
            <w:webHidden/>
          </w:rPr>
        </w:r>
        <w:r>
          <w:rPr>
            <w:noProof/>
            <w:webHidden/>
          </w:rPr>
          <w:fldChar w:fldCharType="separate"/>
        </w:r>
        <w:r>
          <w:rPr>
            <w:noProof/>
            <w:webHidden/>
          </w:rPr>
          <w:t>183</w:t>
        </w:r>
        <w:r>
          <w:rPr>
            <w:noProof/>
            <w:webHidden/>
          </w:rPr>
          <w:fldChar w:fldCharType="end"/>
        </w:r>
      </w:hyperlink>
    </w:p>
    <w:p w14:paraId="30926C50" w14:textId="016EBC9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5" w:history="1">
        <w:r w:rsidRPr="00EF2D65">
          <w:rPr>
            <w:rStyle w:val="Hipercze"/>
            <w:rFonts w:cstheme="minorHAnsi"/>
            <w:noProof/>
          </w:rPr>
          <w:t>I.5.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Identyfikacja ograniczeń systemowych jest wykonywana przez ACPRO na podstawie analiz sieciowych uwzględniających:</w:t>
        </w:r>
        <w:r>
          <w:rPr>
            <w:noProof/>
            <w:webHidden/>
          </w:rPr>
          <w:tab/>
        </w:r>
        <w:r>
          <w:rPr>
            <w:noProof/>
            <w:webHidden/>
          </w:rPr>
          <w:fldChar w:fldCharType="begin"/>
        </w:r>
        <w:r>
          <w:rPr>
            <w:noProof/>
            <w:webHidden/>
          </w:rPr>
          <w:instrText xml:space="preserve"> PAGEREF _Toc239333445 \h </w:instrText>
        </w:r>
        <w:r>
          <w:rPr>
            <w:noProof/>
            <w:webHidden/>
          </w:rPr>
        </w:r>
        <w:r>
          <w:rPr>
            <w:noProof/>
            <w:webHidden/>
          </w:rPr>
          <w:fldChar w:fldCharType="separate"/>
        </w:r>
        <w:r>
          <w:rPr>
            <w:noProof/>
            <w:webHidden/>
          </w:rPr>
          <w:t>183</w:t>
        </w:r>
        <w:r>
          <w:rPr>
            <w:noProof/>
            <w:webHidden/>
          </w:rPr>
          <w:fldChar w:fldCharType="end"/>
        </w:r>
      </w:hyperlink>
    </w:p>
    <w:p w14:paraId="7C51F42D" w14:textId="53EC3633"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6" w:history="1">
        <w:r w:rsidRPr="00EF2D65">
          <w:rPr>
            <w:rStyle w:val="Hipercze"/>
            <w:rFonts w:cstheme="minorHAnsi"/>
            <w:noProof/>
          </w:rPr>
          <w:t>I.6.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Analizy sieciowe dla potrzeb identyfikacji ograniczeń systemowych w planach koordynacyjnych są realizowane przez ACPRO z wykorzystaniem dostępnych programów analitycznych i na bazie najbardziej aktualnych modeli matematycznych KSE.</w:t>
        </w:r>
        <w:r>
          <w:rPr>
            <w:noProof/>
            <w:webHidden/>
          </w:rPr>
          <w:tab/>
        </w:r>
        <w:r>
          <w:rPr>
            <w:noProof/>
            <w:webHidden/>
          </w:rPr>
          <w:fldChar w:fldCharType="begin"/>
        </w:r>
        <w:r>
          <w:rPr>
            <w:noProof/>
            <w:webHidden/>
          </w:rPr>
          <w:instrText xml:space="preserve"> PAGEREF _Toc239333446 \h </w:instrText>
        </w:r>
        <w:r>
          <w:rPr>
            <w:noProof/>
            <w:webHidden/>
          </w:rPr>
        </w:r>
        <w:r>
          <w:rPr>
            <w:noProof/>
            <w:webHidden/>
          </w:rPr>
          <w:fldChar w:fldCharType="separate"/>
        </w:r>
        <w:r>
          <w:rPr>
            <w:noProof/>
            <w:webHidden/>
          </w:rPr>
          <w:t>183</w:t>
        </w:r>
        <w:r>
          <w:rPr>
            <w:noProof/>
            <w:webHidden/>
          </w:rPr>
          <w:fldChar w:fldCharType="end"/>
        </w:r>
      </w:hyperlink>
    </w:p>
    <w:p w14:paraId="6F116E9C" w14:textId="0D6E711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7" w:history="1">
        <w:r w:rsidRPr="00EF2D65">
          <w:rPr>
            <w:rStyle w:val="Hipercze"/>
            <w:rFonts w:cstheme="minorHAnsi"/>
            <w:noProof/>
          </w:rPr>
          <w:t>I.7.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Ograniczenia systemowe są identyfikowane w cyklach pokrywających się z planami koordynacyjnymi oraz udostępniane w ramach planów koordynacyjnych.</w:t>
        </w:r>
        <w:r>
          <w:rPr>
            <w:noProof/>
            <w:webHidden/>
          </w:rPr>
          <w:tab/>
        </w:r>
        <w:r>
          <w:rPr>
            <w:noProof/>
            <w:webHidden/>
          </w:rPr>
          <w:fldChar w:fldCharType="begin"/>
        </w:r>
        <w:r>
          <w:rPr>
            <w:noProof/>
            <w:webHidden/>
          </w:rPr>
          <w:instrText xml:space="preserve"> PAGEREF _Toc239333447 \h </w:instrText>
        </w:r>
        <w:r>
          <w:rPr>
            <w:noProof/>
            <w:webHidden/>
          </w:rPr>
        </w:r>
        <w:r>
          <w:rPr>
            <w:noProof/>
            <w:webHidden/>
          </w:rPr>
          <w:fldChar w:fldCharType="separate"/>
        </w:r>
        <w:r>
          <w:rPr>
            <w:noProof/>
            <w:webHidden/>
          </w:rPr>
          <w:t>183</w:t>
        </w:r>
        <w:r>
          <w:rPr>
            <w:noProof/>
            <w:webHidden/>
          </w:rPr>
          <w:fldChar w:fldCharType="end"/>
        </w:r>
      </w:hyperlink>
    </w:p>
    <w:p w14:paraId="0ACD5814" w14:textId="626E519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8" w:history="1">
        <w:r w:rsidRPr="00EF2D65">
          <w:rPr>
            <w:rStyle w:val="Hipercze"/>
            <w:rFonts w:cstheme="minorHAnsi"/>
            <w:noProof/>
          </w:rPr>
          <w:t>I.8.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ACPRO przy planowaniu pracy sieci uwzględnia ograniczenia występujące w pracy sieci przesyłowej, dystrybucyjnej sąsiednich OSD oraz zgłoszone przez wytwórców ograniczenia dotyczące jednostek wytwórczych przyłączonych do jego sieci, mając na celu minimalizację skutków tych ograniczeń.</w:t>
        </w:r>
        <w:r>
          <w:rPr>
            <w:noProof/>
            <w:webHidden/>
          </w:rPr>
          <w:tab/>
        </w:r>
        <w:r>
          <w:rPr>
            <w:noProof/>
            <w:webHidden/>
          </w:rPr>
          <w:fldChar w:fldCharType="begin"/>
        </w:r>
        <w:r>
          <w:rPr>
            <w:noProof/>
            <w:webHidden/>
          </w:rPr>
          <w:instrText xml:space="preserve"> PAGEREF _Toc239333448 \h </w:instrText>
        </w:r>
        <w:r>
          <w:rPr>
            <w:noProof/>
            <w:webHidden/>
          </w:rPr>
        </w:r>
        <w:r>
          <w:rPr>
            <w:noProof/>
            <w:webHidden/>
          </w:rPr>
          <w:fldChar w:fldCharType="separate"/>
        </w:r>
        <w:r>
          <w:rPr>
            <w:noProof/>
            <w:webHidden/>
          </w:rPr>
          <w:t>183</w:t>
        </w:r>
        <w:r>
          <w:rPr>
            <w:noProof/>
            <w:webHidden/>
          </w:rPr>
          <w:fldChar w:fldCharType="end"/>
        </w:r>
      </w:hyperlink>
    </w:p>
    <w:p w14:paraId="02B89F0E" w14:textId="7055E1CD"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49" w:history="1">
        <w:r w:rsidRPr="00EF2D65">
          <w:rPr>
            <w:rStyle w:val="Hipercze"/>
            <w:rFonts w:cstheme="minorHAnsi"/>
            <w:noProof/>
          </w:rPr>
          <w:t>I.9.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wystąpienia ograniczeń systemowych ACPRO prowadzi ruch sieci dystrybucyjnej mając na uwadze zapewnienie bezpieczeństwa pracy KSE, dotrzymanie wymaganych parametrów technicznych energii elektrycznej oraz minimalizację skutków ograniczeń w dostawie energii elektrycznej w szczególności przez:</w:t>
        </w:r>
        <w:r>
          <w:rPr>
            <w:noProof/>
            <w:webHidden/>
          </w:rPr>
          <w:tab/>
        </w:r>
        <w:r>
          <w:rPr>
            <w:noProof/>
            <w:webHidden/>
          </w:rPr>
          <w:fldChar w:fldCharType="begin"/>
        </w:r>
        <w:r>
          <w:rPr>
            <w:noProof/>
            <w:webHidden/>
          </w:rPr>
          <w:instrText xml:space="preserve"> PAGEREF _Toc239333449 \h </w:instrText>
        </w:r>
        <w:r>
          <w:rPr>
            <w:noProof/>
            <w:webHidden/>
          </w:rPr>
        </w:r>
        <w:r>
          <w:rPr>
            <w:noProof/>
            <w:webHidden/>
          </w:rPr>
          <w:fldChar w:fldCharType="separate"/>
        </w:r>
        <w:r>
          <w:rPr>
            <w:noProof/>
            <w:webHidden/>
          </w:rPr>
          <w:t>183</w:t>
        </w:r>
        <w:r>
          <w:rPr>
            <w:noProof/>
            <w:webHidden/>
          </w:rPr>
          <w:fldChar w:fldCharType="end"/>
        </w:r>
      </w:hyperlink>
    </w:p>
    <w:p w14:paraId="7FBAA0DE" w14:textId="6D7F26A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50" w:history="1">
        <w:r w:rsidRPr="00EF2D65">
          <w:rPr>
            <w:rStyle w:val="Hipercze"/>
            <w:rFonts w:cstheme="minorHAnsi"/>
            <w:noProof/>
          </w:rPr>
          <w:t>I.10.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wystąpienia ograniczeń systemowych ACPRO podejmuje działania mające na celu ich likwidację lub zmniejszenie skutków ograniczeń występujących w sieci dystrybucyjnej samodzielnie oraz we współpracy z OSP oraz innymi ACPRO, w tym OSDp.</w:t>
        </w:r>
        <w:r>
          <w:rPr>
            <w:noProof/>
            <w:webHidden/>
          </w:rPr>
          <w:tab/>
        </w:r>
        <w:r>
          <w:rPr>
            <w:noProof/>
            <w:webHidden/>
          </w:rPr>
          <w:fldChar w:fldCharType="begin"/>
        </w:r>
        <w:r>
          <w:rPr>
            <w:noProof/>
            <w:webHidden/>
          </w:rPr>
          <w:instrText xml:space="preserve"> PAGEREF _Toc239333450 \h </w:instrText>
        </w:r>
        <w:r>
          <w:rPr>
            <w:noProof/>
            <w:webHidden/>
          </w:rPr>
        </w:r>
        <w:r>
          <w:rPr>
            <w:noProof/>
            <w:webHidden/>
          </w:rPr>
          <w:fldChar w:fldCharType="separate"/>
        </w:r>
        <w:r>
          <w:rPr>
            <w:noProof/>
            <w:webHidden/>
          </w:rPr>
          <w:t>184</w:t>
        </w:r>
        <w:r>
          <w:rPr>
            <w:noProof/>
            <w:webHidden/>
          </w:rPr>
          <w:fldChar w:fldCharType="end"/>
        </w:r>
      </w:hyperlink>
    </w:p>
    <w:p w14:paraId="35BA5B1D" w14:textId="46C97CA2"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51" w:history="1">
        <w:r w:rsidRPr="00EF2D65">
          <w:rPr>
            <w:rStyle w:val="Hipercze"/>
            <w:rFonts w:cstheme="minorHAnsi"/>
            <w:noProof/>
          </w:rPr>
          <w:t>I.11.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 przypadku przekroczenia zidentyfikowanych ograniczeń systemowych spowodowanych awariami w KSE, ACPRO podejmuje działania szczegółowo uregulowane w części ogólnej IRiESD rozdział IV Bezpieczeństwo funkcjonowania systemu elektroenergetycznego.</w:t>
        </w:r>
        <w:r>
          <w:rPr>
            <w:noProof/>
            <w:webHidden/>
          </w:rPr>
          <w:tab/>
        </w:r>
        <w:r>
          <w:rPr>
            <w:noProof/>
            <w:webHidden/>
          </w:rPr>
          <w:fldChar w:fldCharType="begin"/>
        </w:r>
        <w:r>
          <w:rPr>
            <w:noProof/>
            <w:webHidden/>
          </w:rPr>
          <w:instrText xml:space="preserve"> PAGEREF _Toc239333451 \h </w:instrText>
        </w:r>
        <w:r>
          <w:rPr>
            <w:noProof/>
            <w:webHidden/>
          </w:rPr>
        </w:r>
        <w:r>
          <w:rPr>
            <w:noProof/>
            <w:webHidden/>
          </w:rPr>
          <w:fldChar w:fldCharType="separate"/>
        </w:r>
        <w:r>
          <w:rPr>
            <w:noProof/>
            <w:webHidden/>
          </w:rPr>
          <w:t>184</w:t>
        </w:r>
        <w:r>
          <w:rPr>
            <w:noProof/>
            <w:webHidden/>
          </w:rPr>
          <w:fldChar w:fldCharType="end"/>
        </w:r>
      </w:hyperlink>
    </w:p>
    <w:p w14:paraId="494638AF" w14:textId="553BDBCA"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52" w:history="1">
        <w:r w:rsidRPr="00EF2D65">
          <w:rPr>
            <w:rStyle w:val="Hipercze"/>
            <w:rFonts w:cstheme="minorHAnsi"/>
            <w:noProof/>
          </w:rPr>
          <w:t>SŁOWNIK SKRÓTÓW I DEFINICJI</w:t>
        </w:r>
        <w:r>
          <w:rPr>
            <w:noProof/>
            <w:webHidden/>
          </w:rPr>
          <w:tab/>
        </w:r>
        <w:r>
          <w:rPr>
            <w:noProof/>
            <w:webHidden/>
          </w:rPr>
          <w:fldChar w:fldCharType="begin"/>
        </w:r>
        <w:r>
          <w:rPr>
            <w:noProof/>
            <w:webHidden/>
          </w:rPr>
          <w:instrText xml:space="preserve"> PAGEREF _Toc239333452 \h </w:instrText>
        </w:r>
        <w:r>
          <w:rPr>
            <w:noProof/>
            <w:webHidden/>
          </w:rPr>
        </w:r>
        <w:r>
          <w:rPr>
            <w:noProof/>
            <w:webHidden/>
          </w:rPr>
          <w:fldChar w:fldCharType="separate"/>
        </w:r>
        <w:r>
          <w:rPr>
            <w:noProof/>
            <w:webHidden/>
          </w:rPr>
          <w:t>185</w:t>
        </w:r>
        <w:r>
          <w:rPr>
            <w:noProof/>
            <w:webHidden/>
          </w:rPr>
          <w:fldChar w:fldCharType="end"/>
        </w:r>
      </w:hyperlink>
    </w:p>
    <w:p w14:paraId="25F9608D" w14:textId="6174F8F9"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53" w:history="1">
        <w:r w:rsidRPr="00EF2D65">
          <w:rPr>
            <w:rStyle w:val="Hipercze"/>
            <w:rFonts w:cstheme="minorHAnsi"/>
            <w:noProof/>
          </w:rPr>
          <w:t>I.</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OZNACZENIA SKRÓTÓW</w:t>
        </w:r>
        <w:r>
          <w:rPr>
            <w:noProof/>
            <w:webHidden/>
          </w:rPr>
          <w:tab/>
        </w:r>
        <w:r>
          <w:rPr>
            <w:noProof/>
            <w:webHidden/>
          </w:rPr>
          <w:fldChar w:fldCharType="begin"/>
        </w:r>
        <w:r>
          <w:rPr>
            <w:noProof/>
            <w:webHidden/>
          </w:rPr>
          <w:instrText xml:space="preserve"> PAGEREF _Toc239333453 \h </w:instrText>
        </w:r>
        <w:r>
          <w:rPr>
            <w:noProof/>
            <w:webHidden/>
          </w:rPr>
        </w:r>
        <w:r>
          <w:rPr>
            <w:noProof/>
            <w:webHidden/>
          </w:rPr>
          <w:fldChar w:fldCharType="separate"/>
        </w:r>
        <w:r>
          <w:rPr>
            <w:noProof/>
            <w:webHidden/>
          </w:rPr>
          <w:t>186</w:t>
        </w:r>
        <w:r>
          <w:rPr>
            <w:noProof/>
            <w:webHidden/>
          </w:rPr>
          <w:fldChar w:fldCharType="end"/>
        </w:r>
      </w:hyperlink>
    </w:p>
    <w:p w14:paraId="6AF9C5EE" w14:textId="592E103E"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54" w:history="1">
        <w:r w:rsidRPr="00EF2D65">
          <w:rPr>
            <w:rStyle w:val="Hipercze"/>
            <w:rFonts w:cstheme="minorHAnsi"/>
            <w:noProof/>
          </w:rPr>
          <w:t>II.</w:t>
        </w:r>
        <w:r>
          <w:rPr>
            <w:rFonts w:asciiTheme="minorHAnsi" w:eastAsiaTheme="minorEastAsia" w:hAnsiTheme="minorHAnsi" w:cstheme="minorBidi"/>
            <w:b w:val="0"/>
            <w:bCs w:val="0"/>
            <w:noProof/>
            <w:color w:val="auto"/>
            <w:kern w:val="2"/>
            <w:sz w:val="24"/>
            <w:szCs w:val="24"/>
            <w14:ligatures w14:val="standardContextual"/>
          </w:rPr>
          <w:tab/>
        </w:r>
        <w:r w:rsidRPr="00EF2D65">
          <w:rPr>
            <w:rStyle w:val="Hipercze"/>
            <w:rFonts w:cstheme="minorHAnsi"/>
            <w:noProof/>
          </w:rPr>
          <w:t>POJĘCIA I DEFINICJE</w:t>
        </w:r>
        <w:r>
          <w:rPr>
            <w:noProof/>
            <w:webHidden/>
          </w:rPr>
          <w:tab/>
        </w:r>
        <w:r>
          <w:rPr>
            <w:noProof/>
            <w:webHidden/>
          </w:rPr>
          <w:fldChar w:fldCharType="begin"/>
        </w:r>
        <w:r>
          <w:rPr>
            <w:noProof/>
            <w:webHidden/>
          </w:rPr>
          <w:instrText xml:space="preserve"> PAGEREF _Toc239333454 \h </w:instrText>
        </w:r>
        <w:r>
          <w:rPr>
            <w:noProof/>
            <w:webHidden/>
          </w:rPr>
        </w:r>
        <w:r>
          <w:rPr>
            <w:noProof/>
            <w:webHidden/>
          </w:rPr>
          <w:fldChar w:fldCharType="separate"/>
        </w:r>
        <w:r>
          <w:rPr>
            <w:noProof/>
            <w:webHidden/>
          </w:rPr>
          <w:t>192</w:t>
        </w:r>
        <w:r>
          <w:rPr>
            <w:noProof/>
            <w:webHidden/>
          </w:rPr>
          <w:fldChar w:fldCharType="end"/>
        </w:r>
      </w:hyperlink>
    </w:p>
    <w:p w14:paraId="0B2B2AF5" w14:textId="33A917C0"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55" w:history="1">
        <w:r w:rsidRPr="00EF2D65">
          <w:rPr>
            <w:rStyle w:val="Hipercze"/>
            <w:rFonts w:cstheme="minorHAnsi"/>
            <w:noProof/>
          </w:rPr>
          <w:t>SZCZEGÓŁOWE WYMAGANIA TECHNICZNE DLA JEDNOSTEK WYTWÓRCZYCH ORAZ MAGAZYNÓW ENERGII ELEKTRYCZNEJ PRZYŁĄCZANYCH JAK I PRZYŁĄCZONYCH DO SIECI DYSTRYBUCYJNEJ ACPRO</w:t>
        </w:r>
        <w:r>
          <w:rPr>
            <w:noProof/>
            <w:webHidden/>
          </w:rPr>
          <w:tab/>
        </w:r>
        <w:r>
          <w:rPr>
            <w:noProof/>
            <w:webHidden/>
          </w:rPr>
          <w:fldChar w:fldCharType="begin"/>
        </w:r>
        <w:r>
          <w:rPr>
            <w:noProof/>
            <w:webHidden/>
          </w:rPr>
          <w:instrText xml:space="preserve"> PAGEREF _Toc239333455 \h </w:instrText>
        </w:r>
        <w:r>
          <w:rPr>
            <w:noProof/>
            <w:webHidden/>
          </w:rPr>
        </w:r>
        <w:r>
          <w:rPr>
            <w:noProof/>
            <w:webHidden/>
          </w:rPr>
          <w:fldChar w:fldCharType="separate"/>
        </w:r>
        <w:r>
          <w:rPr>
            <w:noProof/>
            <w:webHidden/>
          </w:rPr>
          <w:t>218</w:t>
        </w:r>
        <w:r>
          <w:rPr>
            <w:noProof/>
            <w:webHidden/>
          </w:rPr>
          <w:fldChar w:fldCharType="end"/>
        </w:r>
      </w:hyperlink>
    </w:p>
    <w:p w14:paraId="121BB746" w14:textId="334FDEE9"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56" w:history="1">
        <w:r w:rsidRPr="00EF2D65">
          <w:rPr>
            <w:rStyle w:val="Hipercze"/>
            <w:rFonts w:cstheme="minorHAnsi"/>
            <w:noProof/>
          </w:rPr>
          <w:t>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POSTANOWIENIA OGÓLNE</w:t>
        </w:r>
        <w:r>
          <w:rPr>
            <w:noProof/>
            <w:webHidden/>
          </w:rPr>
          <w:tab/>
        </w:r>
        <w:r>
          <w:rPr>
            <w:noProof/>
            <w:webHidden/>
          </w:rPr>
          <w:fldChar w:fldCharType="begin"/>
        </w:r>
        <w:r>
          <w:rPr>
            <w:noProof/>
            <w:webHidden/>
          </w:rPr>
          <w:instrText xml:space="preserve"> PAGEREF _Toc239333456 \h </w:instrText>
        </w:r>
        <w:r>
          <w:rPr>
            <w:noProof/>
            <w:webHidden/>
          </w:rPr>
        </w:r>
        <w:r>
          <w:rPr>
            <w:noProof/>
            <w:webHidden/>
          </w:rPr>
          <w:fldChar w:fldCharType="separate"/>
        </w:r>
        <w:r>
          <w:rPr>
            <w:noProof/>
            <w:webHidden/>
          </w:rPr>
          <w:t>219</w:t>
        </w:r>
        <w:r>
          <w:rPr>
            <w:noProof/>
            <w:webHidden/>
          </w:rPr>
          <w:fldChar w:fldCharType="end"/>
        </w:r>
      </w:hyperlink>
    </w:p>
    <w:p w14:paraId="4C52A9BB" w14:textId="74A2EEEC"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57" w:history="1">
        <w:r w:rsidRPr="00EF2D65">
          <w:rPr>
            <w:rStyle w:val="Hipercze"/>
            <w:rFonts w:cstheme="minorHAnsi"/>
            <w:noProof/>
          </w:rPr>
          <w:t>2.</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URZĄDZENIA ŁĄCZENIOWE</w:t>
        </w:r>
        <w:r>
          <w:rPr>
            <w:noProof/>
            <w:webHidden/>
          </w:rPr>
          <w:tab/>
        </w:r>
        <w:r>
          <w:rPr>
            <w:noProof/>
            <w:webHidden/>
          </w:rPr>
          <w:fldChar w:fldCharType="begin"/>
        </w:r>
        <w:r>
          <w:rPr>
            <w:noProof/>
            <w:webHidden/>
          </w:rPr>
          <w:instrText xml:space="preserve"> PAGEREF _Toc239333457 \h </w:instrText>
        </w:r>
        <w:r>
          <w:rPr>
            <w:noProof/>
            <w:webHidden/>
          </w:rPr>
        </w:r>
        <w:r>
          <w:rPr>
            <w:noProof/>
            <w:webHidden/>
          </w:rPr>
          <w:fldChar w:fldCharType="separate"/>
        </w:r>
        <w:r>
          <w:rPr>
            <w:noProof/>
            <w:webHidden/>
          </w:rPr>
          <w:t>220</w:t>
        </w:r>
        <w:r>
          <w:rPr>
            <w:noProof/>
            <w:webHidden/>
          </w:rPr>
          <w:fldChar w:fldCharType="end"/>
        </w:r>
      </w:hyperlink>
    </w:p>
    <w:p w14:paraId="1A4658B5" w14:textId="1A08265E"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58" w:history="1">
        <w:r w:rsidRPr="00EF2D65">
          <w:rPr>
            <w:rStyle w:val="Hipercze"/>
            <w:rFonts w:cstheme="minorHAnsi"/>
            <w:noProof/>
          </w:rPr>
          <w:t>3.</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ZABEZPIECZENIA</w:t>
        </w:r>
        <w:r>
          <w:rPr>
            <w:noProof/>
            <w:webHidden/>
          </w:rPr>
          <w:tab/>
        </w:r>
        <w:r>
          <w:rPr>
            <w:noProof/>
            <w:webHidden/>
          </w:rPr>
          <w:fldChar w:fldCharType="begin"/>
        </w:r>
        <w:r>
          <w:rPr>
            <w:noProof/>
            <w:webHidden/>
          </w:rPr>
          <w:instrText xml:space="preserve"> PAGEREF _Toc239333458 \h </w:instrText>
        </w:r>
        <w:r>
          <w:rPr>
            <w:noProof/>
            <w:webHidden/>
          </w:rPr>
        </w:r>
        <w:r>
          <w:rPr>
            <w:noProof/>
            <w:webHidden/>
          </w:rPr>
          <w:fldChar w:fldCharType="separate"/>
        </w:r>
        <w:r>
          <w:rPr>
            <w:noProof/>
            <w:webHidden/>
          </w:rPr>
          <w:t>220</w:t>
        </w:r>
        <w:r>
          <w:rPr>
            <w:noProof/>
            <w:webHidden/>
          </w:rPr>
          <w:fldChar w:fldCharType="end"/>
        </w:r>
      </w:hyperlink>
    </w:p>
    <w:p w14:paraId="17C5CF34" w14:textId="3D6E782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59" w:history="1">
        <w:r w:rsidRPr="00EF2D65">
          <w:rPr>
            <w:rStyle w:val="Hipercze"/>
            <w:rFonts w:cstheme="minorHAnsi"/>
            <w:noProof/>
          </w:rPr>
          <w:t>4.</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KOMPENSACJA MOCY BIERNEJ</w:t>
        </w:r>
        <w:r>
          <w:rPr>
            <w:noProof/>
            <w:webHidden/>
          </w:rPr>
          <w:tab/>
        </w:r>
        <w:r>
          <w:rPr>
            <w:noProof/>
            <w:webHidden/>
          </w:rPr>
          <w:fldChar w:fldCharType="begin"/>
        </w:r>
        <w:r>
          <w:rPr>
            <w:noProof/>
            <w:webHidden/>
          </w:rPr>
          <w:instrText xml:space="preserve"> PAGEREF _Toc239333459 \h </w:instrText>
        </w:r>
        <w:r>
          <w:rPr>
            <w:noProof/>
            <w:webHidden/>
          </w:rPr>
        </w:r>
        <w:r>
          <w:rPr>
            <w:noProof/>
            <w:webHidden/>
          </w:rPr>
          <w:fldChar w:fldCharType="separate"/>
        </w:r>
        <w:r>
          <w:rPr>
            <w:noProof/>
            <w:webHidden/>
          </w:rPr>
          <w:t>221</w:t>
        </w:r>
        <w:r>
          <w:rPr>
            <w:noProof/>
            <w:webHidden/>
          </w:rPr>
          <w:fldChar w:fldCharType="end"/>
        </w:r>
      </w:hyperlink>
    </w:p>
    <w:p w14:paraId="1AAAC141" w14:textId="36B898A3"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60" w:history="1">
        <w:r w:rsidRPr="00EF2D65">
          <w:rPr>
            <w:rStyle w:val="Hipercze"/>
            <w:rFonts w:cstheme="minorHAnsi"/>
            <w:noProof/>
          </w:rPr>
          <w:t>5.</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ZAŁĄCZANIE JEDNOSTEK WYTWÓRCZYCH</w:t>
        </w:r>
        <w:r>
          <w:rPr>
            <w:noProof/>
            <w:webHidden/>
          </w:rPr>
          <w:tab/>
        </w:r>
        <w:r>
          <w:rPr>
            <w:noProof/>
            <w:webHidden/>
          </w:rPr>
          <w:fldChar w:fldCharType="begin"/>
        </w:r>
        <w:r>
          <w:rPr>
            <w:noProof/>
            <w:webHidden/>
          </w:rPr>
          <w:instrText xml:space="preserve"> PAGEREF _Toc239333460 \h </w:instrText>
        </w:r>
        <w:r>
          <w:rPr>
            <w:noProof/>
            <w:webHidden/>
          </w:rPr>
        </w:r>
        <w:r>
          <w:rPr>
            <w:noProof/>
            <w:webHidden/>
          </w:rPr>
          <w:fldChar w:fldCharType="separate"/>
        </w:r>
        <w:r>
          <w:rPr>
            <w:noProof/>
            <w:webHidden/>
          </w:rPr>
          <w:t>222</w:t>
        </w:r>
        <w:r>
          <w:rPr>
            <w:noProof/>
            <w:webHidden/>
          </w:rPr>
          <w:fldChar w:fldCharType="end"/>
        </w:r>
      </w:hyperlink>
    </w:p>
    <w:p w14:paraId="23C49968" w14:textId="28C95C8F"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61" w:history="1">
        <w:r w:rsidRPr="00EF2D65">
          <w:rPr>
            <w:rStyle w:val="Hipercze"/>
            <w:rFonts w:cstheme="minorHAnsi"/>
            <w:noProof/>
          </w:rPr>
          <w:t>6.</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CZĘSTOTLIWOŚĆ I NAPIĘCIE</w:t>
        </w:r>
        <w:r>
          <w:rPr>
            <w:noProof/>
            <w:webHidden/>
          </w:rPr>
          <w:tab/>
        </w:r>
        <w:r>
          <w:rPr>
            <w:noProof/>
            <w:webHidden/>
          </w:rPr>
          <w:fldChar w:fldCharType="begin"/>
        </w:r>
        <w:r>
          <w:rPr>
            <w:noProof/>
            <w:webHidden/>
          </w:rPr>
          <w:instrText xml:space="preserve"> PAGEREF _Toc239333461 \h </w:instrText>
        </w:r>
        <w:r>
          <w:rPr>
            <w:noProof/>
            <w:webHidden/>
          </w:rPr>
        </w:r>
        <w:r>
          <w:rPr>
            <w:noProof/>
            <w:webHidden/>
          </w:rPr>
          <w:fldChar w:fldCharType="separate"/>
        </w:r>
        <w:r>
          <w:rPr>
            <w:noProof/>
            <w:webHidden/>
          </w:rPr>
          <w:t>223</w:t>
        </w:r>
        <w:r>
          <w:rPr>
            <w:noProof/>
            <w:webHidden/>
          </w:rPr>
          <w:fldChar w:fldCharType="end"/>
        </w:r>
      </w:hyperlink>
    </w:p>
    <w:p w14:paraId="483DE680" w14:textId="5E7651D7"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62" w:history="1">
        <w:r w:rsidRPr="00EF2D65">
          <w:rPr>
            <w:rStyle w:val="Hipercze"/>
            <w:rFonts w:cstheme="minorHAnsi"/>
            <w:noProof/>
          </w:rPr>
          <w:t>7.</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KRYTERIA OCENY MOŻLIWOŚCI PRZYŁĄCZENIA JEDNOSTEK WYTWÓRCZYCH DO SIECI SN i nN</w:t>
        </w:r>
        <w:r>
          <w:rPr>
            <w:noProof/>
            <w:webHidden/>
          </w:rPr>
          <w:tab/>
        </w:r>
        <w:r>
          <w:rPr>
            <w:noProof/>
            <w:webHidden/>
          </w:rPr>
          <w:fldChar w:fldCharType="begin"/>
        </w:r>
        <w:r>
          <w:rPr>
            <w:noProof/>
            <w:webHidden/>
          </w:rPr>
          <w:instrText xml:space="preserve"> PAGEREF _Toc239333462 \h </w:instrText>
        </w:r>
        <w:r>
          <w:rPr>
            <w:noProof/>
            <w:webHidden/>
          </w:rPr>
        </w:r>
        <w:r>
          <w:rPr>
            <w:noProof/>
            <w:webHidden/>
          </w:rPr>
          <w:fldChar w:fldCharType="separate"/>
        </w:r>
        <w:r>
          <w:rPr>
            <w:noProof/>
            <w:webHidden/>
          </w:rPr>
          <w:t>224</w:t>
        </w:r>
        <w:r>
          <w:rPr>
            <w:noProof/>
            <w:webHidden/>
          </w:rPr>
          <w:fldChar w:fldCharType="end"/>
        </w:r>
      </w:hyperlink>
    </w:p>
    <w:p w14:paraId="09C08D6D" w14:textId="21389F86"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63" w:history="1">
        <w:r w:rsidRPr="00EF2D65">
          <w:rPr>
            <w:rStyle w:val="Hipercze"/>
            <w:rFonts w:cstheme="minorHAnsi"/>
            <w:noProof/>
          </w:rPr>
          <w:t>8.</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DODATKOWE WYMAGANIA DLA FARM WIATROWYCH PRZYŁĄCZANYCH DO SIECI DYSTRYBUCYJNYCH</w:t>
        </w:r>
        <w:r>
          <w:rPr>
            <w:noProof/>
            <w:webHidden/>
          </w:rPr>
          <w:tab/>
        </w:r>
        <w:r>
          <w:rPr>
            <w:noProof/>
            <w:webHidden/>
          </w:rPr>
          <w:fldChar w:fldCharType="begin"/>
        </w:r>
        <w:r>
          <w:rPr>
            <w:noProof/>
            <w:webHidden/>
          </w:rPr>
          <w:instrText xml:space="preserve"> PAGEREF _Toc239333463 \h </w:instrText>
        </w:r>
        <w:r>
          <w:rPr>
            <w:noProof/>
            <w:webHidden/>
          </w:rPr>
        </w:r>
        <w:r>
          <w:rPr>
            <w:noProof/>
            <w:webHidden/>
          </w:rPr>
          <w:fldChar w:fldCharType="separate"/>
        </w:r>
        <w:r>
          <w:rPr>
            <w:noProof/>
            <w:webHidden/>
          </w:rPr>
          <w:t>224</w:t>
        </w:r>
        <w:r>
          <w:rPr>
            <w:noProof/>
            <w:webHidden/>
          </w:rPr>
          <w:fldChar w:fldCharType="end"/>
        </w:r>
      </w:hyperlink>
    </w:p>
    <w:p w14:paraId="3AFE48AB" w14:textId="5B6BA232"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64" w:history="1">
        <w:r w:rsidRPr="00EF2D65">
          <w:rPr>
            <w:rStyle w:val="Hipercze"/>
            <w:rFonts w:cstheme="minorHAnsi"/>
            <w:noProof/>
          </w:rPr>
          <w:t>9.</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DODATKOWE WYMAGANIA DLA MIKROINSTALACJI</w:t>
        </w:r>
        <w:r>
          <w:rPr>
            <w:noProof/>
            <w:webHidden/>
          </w:rPr>
          <w:tab/>
        </w:r>
        <w:r>
          <w:rPr>
            <w:noProof/>
            <w:webHidden/>
          </w:rPr>
          <w:fldChar w:fldCharType="begin"/>
        </w:r>
        <w:r>
          <w:rPr>
            <w:noProof/>
            <w:webHidden/>
          </w:rPr>
          <w:instrText xml:space="preserve"> PAGEREF _Toc239333464 \h </w:instrText>
        </w:r>
        <w:r>
          <w:rPr>
            <w:noProof/>
            <w:webHidden/>
          </w:rPr>
        </w:r>
        <w:r>
          <w:rPr>
            <w:noProof/>
            <w:webHidden/>
          </w:rPr>
          <w:fldChar w:fldCharType="separate"/>
        </w:r>
        <w:r>
          <w:rPr>
            <w:noProof/>
            <w:webHidden/>
          </w:rPr>
          <w:t>233</w:t>
        </w:r>
        <w:r>
          <w:rPr>
            <w:noProof/>
            <w:webHidden/>
          </w:rPr>
          <w:fldChar w:fldCharType="end"/>
        </w:r>
      </w:hyperlink>
    </w:p>
    <w:p w14:paraId="48369931" w14:textId="161839F2"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65" w:history="1">
        <w:r w:rsidRPr="00EF2D65">
          <w:rPr>
            <w:rStyle w:val="Hipercze"/>
            <w:rFonts w:cstheme="minorHAnsi"/>
            <w:noProof/>
          </w:rPr>
          <w:t>10.</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WYMAGANIA TECHNICZNE DLA MAGAZYNÓW ENERGII ELEKTRYCZNEJ PRZYŁĄCZANYCH LUB PRZYŁĄCZONYCH DO SIECI DYSTRYBUCYJNEJ ACPRO</w:t>
        </w:r>
        <w:r>
          <w:rPr>
            <w:noProof/>
            <w:webHidden/>
          </w:rPr>
          <w:tab/>
        </w:r>
        <w:r>
          <w:rPr>
            <w:noProof/>
            <w:webHidden/>
          </w:rPr>
          <w:fldChar w:fldCharType="begin"/>
        </w:r>
        <w:r>
          <w:rPr>
            <w:noProof/>
            <w:webHidden/>
          </w:rPr>
          <w:instrText xml:space="preserve"> PAGEREF _Toc239333465 \h </w:instrText>
        </w:r>
        <w:r>
          <w:rPr>
            <w:noProof/>
            <w:webHidden/>
          </w:rPr>
        </w:r>
        <w:r>
          <w:rPr>
            <w:noProof/>
            <w:webHidden/>
          </w:rPr>
          <w:fldChar w:fldCharType="separate"/>
        </w:r>
        <w:r>
          <w:rPr>
            <w:noProof/>
            <w:webHidden/>
          </w:rPr>
          <w:t>240</w:t>
        </w:r>
        <w:r>
          <w:rPr>
            <w:noProof/>
            <w:webHidden/>
          </w:rPr>
          <w:fldChar w:fldCharType="end"/>
        </w:r>
      </w:hyperlink>
    </w:p>
    <w:p w14:paraId="719FDB2B" w14:textId="069D1C7B" w:rsidR="006A408D" w:rsidRDefault="006A408D">
      <w:pPr>
        <w:pStyle w:val="Spistreci2"/>
        <w:tabs>
          <w:tab w:val="right" w:pos="8778"/>
        </w:tabs>
        <w:rPr>
          <w:rFonts w:asciiTheme="minorHAnsi" w:eastAsiaTheme="minorEastAsia" w:hAnsiTheme="minorHAnsi" w:cstheme="minorBidi"/>
          <w:iCs w:val="0"/>
          <w:noProof/>
          <w:color w:val="auto"/>
          <w:kern w:val="2"/>
          <w:sz w:val="24"/>
          <w:szCs w:val="24"/>
          <w14:ligatures w14:val="standardContextual"/>
        </w:rPr>
      </w:pPr>
      <w:hyperlink w:anchor="_Toc239333466" w:history="1">
        <w:r w:rsidRPr="00EF2D65">
          <w:rPr>
            <w:rStyle w:val="Hipercze"/>
            <w:rFonts w:cstheme="minorHAnsi"/>
            <w:noProof/>
          </w:rPr>
          <w:t>11.</w:t>
        </w:r>
        <w:r>
          <w:rPr>
            <w:rFonts w:asciiTheme="minorHAnsi" w:eastAsiaTheme="minorEastAsia" w:hAnsiTheme="minorHAnsi" w:cstheme="minorBidi"/>
            <w:iCs w:val="0"/>
            <w:noProof/>
            <w:color w:val="auto"/>
            <w:kern w:val="2"/>
            <w:sz w:val="24"/>
            <w:szCs w:val="24"/>
            <w14:ligatures w14:val="standardContextual"/>
          </w:rPr>
          <w:tab/>
        </w:r>
        <w:r w:rsidRPr="00EF2D65">
          <w:rPr>
            <w:rStyle w:val="Hipercze"/>
            <w:rFonts w:cstheme="minorHAnsi"/>
            <w:noProof/>
          </w:rPr>
          <w:t>DODATKOWE WYMAGANIA DLA FARM WIATROWYCH i FARM FOTOWOILTAICZNYCH</w:t>
        </w:r>
        <w:r>
          <w:rPr>
            <w:noProof/>
            <w:webHidden/>
          </w:rPr>
          <w:tab/>
        </w:r>
        <w:r>
          <w:rPr>
            <w:noProof/>
            <w:webHidden/>
          </w:rPr>
          <w:fldChar w:fldCharType="begin"/>
        </w:r>
        <w:r>
          <w:rPr>
            <w:noProof/>
            <w:webHidden/>
          </w:rPr>
          <w:instrText xml:space="preserve"> PAGEREF _Toc239333466 \h </w:instrText>
        </w:r>
        <w:r>
          <w:rPr>
            <w:noProof/>
            <w:webHidden/>
          </w:rPr>
        </w:r>
        <w:r>
          <w:rPr>
            <w:noProof/>
            <w:webHidden/>
          </w:rPr>
          <w:fldChar w:fldCharType="separate"/>
        </w:r>
        <w:r>
          <w:rPr>
            <w:noProof/>
            <w:webHidden/>
          </w:rPr>
          <w:t>241</w:t>
        </w:r>
        <w:r>
          <w:rPr>
            <w:noProof/>
            <w:webHidden/>
          </w:rPr>
          <w:fldChar w:fldCharType="end"/>
        </w:r>
      </w:hyperlink>
    </w:p>
    <w:p w14:paraId="1CA7EFD1" w14:textId="287800EE"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67" w:history="1">
        <w:r w:rsidRPr="00EF2D65">
          <w:rPr>
            <w:rStyle w:val="Hipercze"/>
            <w:rFonts w:cstheme="minorHAnsi"/>
            <w:i/>
            <w:iCs/>
            <w:noProof/>
          </w:rPr>
          <w:t>Załącznik nr 3</w:t>
        </w:r>
        <w:r>
          <w:rPr>
            <w:noProof/>
            <w:webHidden/>
          </w:rPr>
          <w:tab/>
        </w:r>
        <w:r>
          <w:rPr>
            <w:noProof/>
            <w:webHidden/>
          </w:rPr>
          <w:fldChar w:fldCharType="begin"/>
        </w:r>
        <w:r>
          <w:rPr>
            <w:noProof/>
            <w:webHidden/>
          </w:rPr>
          <w:instrText xml:space="preserve"> PAGEREF _Toc239333467 \h </w:instrText>
        </w:r>
        <w:r>
          <w:rPr>
            <w:noProof/>
            <w:webHidden/>
          </w:rPr>
        </w:r>
        <w:r>
          <w:rPr>
            <w:noProof/>
            <w:webHidden/>
          </w:rPr>
          <w:fldChar w:fldCharType="separate"/>
        </w:r>
        <w:r>
          <w:rPr>
            <w:noProof/>
            <w:webHidden/>
          </w:rPr>
          <w:t>246</w:t>
        </w:r>
        <w:r>
          <w:rPr>
            <w:noProof/>
            <w:webHidden/>
          </w:rPr>
          <w:fldChar w:fldCharType="end"/>
        </w:r>
      </w:hyperlink>
    </w:p>
    <w:p w14:paraId="71A7EDAE" w14:textId="099FFCA7" w:rsidR="006A408D" w:rsidRDefault="006A408D">
      <w:pPr>
        <w:pStyle w:val="Spistreci1"/>
        <w:rPr>
          <w:rFonts w:asciiTheme="minorHAnsi" w:eastAsiaTheme="minorEastAsia" w:hAnsiTheme="minorHAnsi" w:cstheme="minorBidi"/>
          <w:b w:val="0"/>
          <w:bCs w:val="0"/>
          <w:noProof/>
          <w:color w:val="auto"/>
          <w:kern w:val="2"/>
          <w:sz w:val="24"/>
          <w:szCs w:val="24"/>
          <w14:ligatures w14:val="standardContextual"/>
        </w:rPr>
      </w:pPr>
      <w:hyperlink w:anchor="_Toc239333468" w:history="1">
        <w:r w:rsidRPr="00EF2D65">
          <w:rPr>
            <w:rStyle w:val="Hipercze"/>
            <w:rFonts w:cstheme="minorHAnsi"/>
            <w:i/>
            <w:iCs/>
            <w:noProof/>
          </w:rPr>
          <w:t>Załącznik nr 4</w:t>
        </w:r>
        <w:r>
          <w:rPr>
            <w:noProof/>
            <w:webHidden/>
          </w:rPr>
          <w:tab/>
        </w:r>
        <w:r>
          <w:rPr>
            <w:noProof/>
            <w:webHidden/>
          </w:rPr>
          <w:fldChar w:fldCharType="begin"/>
        </w:r>
        <w:r>
          <w:rPr>
            <w:noProof/>
            <w:webHidden/>
          </w:rPr>
          <w:instrText xml:space="preserve"> PAGEREF _Toc239333468 \h </w:instrText>
        </w:r>
        <w:r>
          <w:rPr>
            <w:noProof/>
            <w:webHidden/>
          </w:rPr>
        </w:r>
        <w:r>
          <w:rPr>
            <w:noProof/>
            <w:webHidden/>
          </w:rPr>
          <w:fldChar w:fldCharType="separate"/>
        </w:r>
        <w:r>
          <w:rPr>
            <w:noProof/>
            <w:webHidden/>
          </w:rPr>
          <w:t>247</w:t>
        </w:r>
        <w:r>
          <w:rPr>
            <w:noProof/>
            <w:webHidden/>
          </w:rPr>
          <w:fldChar w:fldCharType="end"/>
        </w:r>
      </w:hyperlink>
    </w:p>
    <w:p w14:paraId="02838982" w14:textId="5256145C" w:rsidR="007363E9" w:rsidRPr="00EB2E7B" w:rsidRDefault="009F6BB0"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fldChar w:fldCharType="end"/>
      </w:r>
      <w:r w:rsidR="007363E9" w:rsidRPr="00EB2E7B">
        <w:rPr>
          <w:rFonts w:asciiTheme="minorHAnsi" w:hAnsiTheme="minorHAnsi" w:cstheme="minorHAnsi"/>
          <w:sz w:val="20"/>
          <w:szCs w:val="20"/>
        </w:rPr>
        <w:br w:type="page"/>
      </w:r>
    </w:p>
    <w:p w14:paraId="0B3EEEDF" w14:textId="77777777" w:rsidR="00473957" w:rsidRPr="00EB2E7B" w:rsidRDefault="00473957" w:rsidP="005D19E7">
      <w:pPr>
        <w:ind w:left="70" w:firstLine="0"/>
        <w:rPr>
          <w:rFonts w:asciiTheme="minorHAnsi" w:hAnsiTheme="minorHAnsi" w:cstheme="minorHAnsi"/>
          <w:sz w:val="20"/>
          <w:szCs w:val="20"/>
        </w:rPr>
      </w:pPr>
    </w:p>
    <w:p w14:paraId="085EAA69" w14:textId="77777777" w:rsidR="00473957" w:rsidRPr="00EB2E7B" w:rsidRDefault="0077111A"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ZAŁĄCZNIKI DO </w:t>
      </w:r>
      <w:proofErr w:type="spellStart"/>
      <w:r w:rsidRPr="00EB2E7B">
        <w:rPr>
          <w:rFonts w:asciiTheme="minorHAnsi" w:hAnsiTheme="minorHAnsi" w:cstheme="minorHAnsi"/>
          <w:b/>
          <w:bCs/>
          <w:sz w:val="20"/>
          <w:szCs w:val="20"/>
        </w:rPr>
        <w:t>IRiESD</w:t>
      </w:r>
      <w:proofErr w:type="spellEnd"/>
      <w:r w:rsidRPr="00EB2E7B">
        <w:rPr>
          <w:rFonts w:asciiTheme="minorHAnsi" w:hAnsiTheme="minorHAnsi" w:cstheme="minorHAnsi"/>
          <w:b/>
          <w:bCs/>
          <w:sz w:val="20"/>
          <w:szCs w:val="20"/>
        </w:rPr>
        <w:t xml:space="preserve"> </w:t>
      </w:r>
    </w:p>
    <w:p w14:paraId="78E08559" w14:textId="77777777" w:rsidR="008D7560" w:rsidRPr="00EB2E7B" w:rsidRDefault="0077111A"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ZAŁĄCZNIK NR 1</w:t>
      </w:r>
    </w:p>
    <w:p w14:paraId="58689C8E" w14:textId="77777777" w:rsidR="008D7560" w:rsidRPr="00EB2E7B" w:rsidRDefault="008D7560"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SZCZEGÓŁOWE WYMAGANIA TECHNICZNE DLA JEDNOSTEK WYTWÓRCZYCH PRZYŁĄCZANYCH JAK I PRZYŁĄCZONYCH DO SIECI DYSTRYBUCYJNEJ ACPRO</w:t>
      </w:r>
    </w:p>
    <w:p w14:paraId="149FF344" w14:textId="77777777" w:rsidR="008D7560" w:rsidRPr="00EB2E7B" w:rsidRDefault="008D7560"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ZAŁĄCZNIK NR 2</w:t>
      </w:r>
    </w:p>
    <w:p w14:paraId="57444268" w14:textId="77777777" w:rsidR="00473957" w:rsidRPr="00EB2E7B" w:rsidRDefault="008D7560"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ZAWARTOŚĆ FORMULARZA POWIADOMIENIA OSDN PRZEZ SPRZEDAWCĘ W</w:t>
      </w:r>
      <w:r w:rsidR="00507146" w:rsidRPr="00EB2E7B">
        <w:rPr>
          <w:rFonts w:asciiTheme="minorHAnsi" w:hAnsiTheme="minorHAnsi" w:cstheme="minorHAnsi"/>
          <w:b/>
          <w:bCs/>
          <w:sz w:val="20"/>
          <w:szCs w:val="20"/>
        </w:rPr>
        <w:t> </w:t>
      </w:r>
      <w:r w:rsidRPr="00EB2E7B">
        <w:rPr>
          <w:rFonts w:asciiTheme="minorHAnsi" w:hAnsiTheme="minorHAnsi" w:cstheme="minorHAnsi"/>
          <w:b/>
          <w:bCs/>
          <w:sz w:val="20"/>
          <w:szCs w:val="20"/>
        </w:rPr>
        <w:t>IMIENIU WŁASNYM I URD, O ZAWARTEJ UMOWIE SPRZEDAŻY ENERGII ELEKTRYCZNEJ LUB UMOWIE KOMPLEKSOWEJ</w:t>
      </w:r>
    </w:p>
    <w:p w14:paraId="54D1A418" w14:textId="77777777" w:rsidR="008D7560" w:rsidRPr="00EB2E7B" w:rsidRDefault="008D7560"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ZAŁĄCZNIK NR 3</w:t>
      </w:r>
    </w:p>
    <w:p w14:paraId="0991226F" w14:textId="76C65590" w:rsidR="008D7560" w:rsidRPr="00EB2E7B" w:rsidRDefault="008D7560"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LISTA KODÓW, KTÓRYMI ACPRO INFORMUJE SPRZEDAWCĘ O WYNIKU PRZEPROWADZONEJ WERYFIKACJI ZGŁOSZONYCH UMÓW SPRZEDAŻY ENERGII ELEKTRYCZNEJ LUB UMÓW KOMPLEKSOWYCH</w:t>
      </w:r>
    </w:p>
    <w:p w14:paraId="0E581C27" w14:textId="77777777" w:rsidR="00950780" w:rsidRPr="00EB2E7B" w:rsidRDefault="00950780" w:rsidP="00950780">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ZAŁĄCZNIK NR 4</w:t>
      </w:r>
    </w:p>
    <w:p w14:paraId="3D8E1212" w14:textId="653CAEF3" w:rsidR="00950780" w:rsidRPr="00EB2E7B" w:rsidRDefault="00950780" w:rsidP="00950780">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ISTOTNE POSTANOWIENIA UMOWY O ŚWIADCZENIE USŁUG DYSTRYBUCJI ZAWIERANYCH ZE SPRZEDAWCAMI</w:t>
      </w:r>
    </w:p>
    <w:p w14:paraId="03F3B5F0" w14:textId="77777777" w:rsidR="008411C5" w:rsidRPr="00EB2E7B" w:rsidRDefault="008411C5" w:rsidP="008411C5">
      <w:pPr>
        <w:spacing w:after="0"/>
        <w:ind w:left="0" w:firstLine="0"/>
        <w:jc w:val="center"/>
        <w:rPr>
          <w:rFonts w:asciiTheme="minorHAnsi" w:hAnsiTheme="minorHAnsi" w:cstheme="minorHAnsi"/>
          <w:b/>
          <w:bCs/>
          <w:sz w:val="20"/>
          <w:szCs w:val="20"/>
        </w:rPr>
      </w:pPr>
      <w:r w:rsidRPr="00EB2E7B">
        <w:rPr>
          <w:rFonts w:asciiTheme="minorHAnsi" w:hAnsiTheme="minorHAnsi" w:cstheme="minorHAnsi"/>
          <w:b/>
          <w:bCs/>
          <w:color w:val="auto"/>
          <w:sz w:val="20"/>
          <w:szCs w:val="20"/>
        </w:rPr>
        <w:t>OBSZAR STOSOWANIA INSTRUKCJI</w:t>
      </w:r>
    </w:p>
    <w:p w14:paraId="37975CC1" w14:textId="77777777" w:rsidR="008411C5" w:rsidRPr="00EB2E7B" w:rsidRDefault="008411C5" w:rsidP="008411C5">
      <w:pPr>
        <w:spacing w:before="240" w:after="240"/>
        <w:ind w:left="0" w:firstLine="0"/>
        <w:rPr>
          <w:rFonts w:asciiTheme="minorHAnsi" w:hAnsiTheme="minorHAnsi" w:cstheme="minorHAnsi"/>
          <w:sz w:val="20"/>
          <w:szCs w:val="20"/>
        </w:rPr>
      </w:pPr>
      <w:r w:rsidRPr="00EB2E7B">
        <w:rPr>
          <w:rFonts w:asciiTheme="minorHAnsi" w:hAnsiTheme="minorHAnsi" w:cstheme="minorHAnsi"/>
          <w:sz w:val="20"/>
          <w:szCs w:val="20"/>
        </w:rPr>
        <w:t xml:space="preserve">Grupa Kapitałowa ACPRO (w skrócie GK ACPRO) – grupa kapitałowa, w skład której wchodzi ACPRO Sp. </w:t>
      </w:r>
      <w:r w:rsidRPr="00EB2E7B">
        <w:rPr>
          <w:rFonts w:asciiTheme="minorHAnsi" w:hAnsiTheme="minorHAnsi" w:cstheme="minorHAnsi"/>
          <w:sz w:val="20"/>
          <w:szCs w:val="20"/>
        </w:rPr>
        <w:br/>
        <w:t xml:space="preserve">z o.o. jako spółka dominująca oraz inne spółki - podmioty zależne w rozumieniu przepisów ustawy </w:t>
      </w:r>
      <w:r w:rsidRPr="00EB2E7B">
        <w:rPr>
          <w:rFonts w:asciiTheme="minorHAnsi" w:hAnsiTheme="minorHAnsi" w:cstheme="minorHAnsi"/>
          <w:sz w:val="20"/>
          <w:szCs w:val="20"/>
        </w:rPr>
        <w:br/>
        <w:t>o rachunkowości.</w:t>
      </w:r>
    </w:p>
    <w:p w14:paraId="44CE242A" w14:textId="77777777" w:rsidR="008411C5" w:rsidRPr="00EB2E7B" w:rsidRDefault="008411C5" w:rsidP="008411C5">
      <w:pPr>
        <w:spacing w:before="240" w:after="240"/>
        <w:ind w:left="0" w:firstLine="0"/>
        <w:rPr>
          <w:rFonts w:asciiTheme="minorHAnsi" w:hAnsiTheme="minorHAnsi" w:cstheme="minorHAnsi"/>
          <w:sz w:val="20"/>
          <w:szCs w:val="20"/>
        </w:rPr>
      </w:pPr>
      <w:r w:rsidRPr="00EB2E7B">
        <w:rPr>
          <w:rFonts w:asciiTheme="minorHAnsi" w:hAnsiTheme="minorHAnsi" w:cstheme="minorHAnsi"/>
          <w:sz w:val="20"/>
          <w:szCs w:val="20"/>
        </w:rPr>
        <w:t>Sieć Dystrybucyjna – infrastruktura elektroenergetyczna, przy pomocy której Spółki GK ACPRO realizują usługę dystrybucji energii elektrycznej.</w:t>
      </w:r>
    </w:p>
    <w:p w14:paraId="334E471C" w14:textId="77777777" w:rsidR="008411C5" w:rsidRPr="00EB2E7B" w:rsidRDefault="008411C5" w:rsidP="008411C5">
      <w:pPr>
        <w:spacing w:after="0"/>
        <w:ind w:left="0" w:firstLine="0"/>
        <w:rPr>
          <w:rFonts w:asciiTheme="minorHAnsi" w:hAnsiTheme="minorHAnsi" w:cstheme="minorHAnsi"/>
          <w:sz w:val="20"/>
          <w:szCs w:val="20"/>
        </w:rPr>
      </w:pPr>
      <w:r w:rsidRPr="00EB2E7B">
        <w:rPr>
          <w:rFonts w:asciiTheme="minorHAnsi" w:hAnsiTheme="minorHAnsi" w:cstheme="minorHAnsi"/>
          <w:sz w:val="20"/>
          <w:szCs w:val="20"/>
        </w:rPr>
        <w:t>Wykaz spółek GK ACPRO pełniących funkcję ACPRO:</w:t>
      </w:r>
    </w:p>
    <w:tbl>
      <w:tblPr>
        <w:tblStyle w:val="Tabela-Siatka"/>
        <w:tblW w:w="8778" w:type="dxa"/>
        <w:tblInd w:w="421" w:type="dxa"/>
        <w:tblLayout w:type="fixed"/>
        <w:tblCellMar>
          <w:left w:w="57" w:type="dxa"/>
          <w:right w:w="57" w:type="dxa"/>
        </w:tblCellMar>
        <w:tblLook w:val="04A0" w:firstRow="1" w:lastRow="0" w:firstColumn="1" w:lastColumn="0" w:noHBand="0" w:noVBand="1"/>
      </w:tblPr>
      <w:tblGrid>
        <w:gridCol w:w="2268"/>
        <w:gridCol w:w="2268"/>
        <w:gridCol w:w="2551"/>
        <w:gridCol w:w="1691"/>
      </w:tblGrid>
      <w:tr w:rsidR="008411C5" w:rsidRPr="007B535F" w14:paraId="596623A8" w14:textId="77777777" w:rsidTr="008C0163">
        <w:tc>
          <w:tcPr>
            <w:tcW w:w="2268" w:type="dxa"/>
            <w:shd w:val="clear" w:color="auto" w:fill="BFBFBF" w:themeFill="background1" w:themeFillShade="BF"/>
            <w:vAlign w:val="center"/>
          </w:tcPr>
          <w:p w14:paraId="5D0ACD92" w14:textId="77777777" w:rsidR="008411C5" w:rsidRPr="007B535F" w:rsidRDefault="008411C5" w:rsidP="00EC5D8D">
            <w:pPr>
              <w:ind w:left="0" w:firstLine="0"/>
              <w:jc w:val="center"/>
              <w:rPr>
                <w:rFonts w:asciiTheme="minorHAnsi" w:hAnsiTheme="minorHAnsi" w:cstheme="minorHAnsi"/>
                <w:b/>
                <w:bCs/>
                <w:sz w:val="16"/>
                <w:szCs w:val="16"/>
              </w:rPr>
            </w:pPr>
            <w:r w:rsidRPr="007B535F">
              <w:rPr>
                <w:rFonts w:asciiTheme="minorHAnsi" w:hAnsiTheme="minorHAnsi" w:cstheme="minorHAnsi"/>
                <w:b/>
                <w:bCs/>
                <w:sz w:val="16"/>
                <w:szCs w:val="16"/>
              </w:rPr>
              <w:t>OSD</w:t>
            </w:r>
          </w:p>
        </w:tc>
        <w:tc>
          <w:tcPr>
            <w:tcW w:w="2268" w:type="dxa"/>
            <w:shd w:val="clear" w:color="auto" w:fill="BFBFBF" w:themeFill="background1" w:themeFillShade="BF"/>
            <w:vAlign w:val="center"/>
          </w:tcPr>
          <w:p w14:paraId="027D3010" w14:textId="77777777" w:rsidR="008411C5" w:rsidRPr="007B535F" w:rsidRDefault="008411C5" w:rsidP="00EC5D8D">
            <w:pPr>
              <w:ind w:left="0" w:firstLine="0"/>
              <w:jc w:val="center"/>
              <w:rPr>
                <w:rFonts w:asciiTheme="minorHAnsi" w:hAnsiTheme="minorHAnsi" w:cstheme="minorHAnsi"/>
                <w:b/>
                <w:bCs/>
                <w:sz w:val="16"/>
                <w:szCs w:val="16"/>
              </w:rPr>
            </w:pPr>
            <w:r w:rsidRPr="007B535F">
              <w:rPr>
                <w:rFonts w:asciiTheme="minorHAnsi" w:hAnsiTheme="minorHAnsi" w:cstheme="minorHAnsi"/>
                <w:b/>
                <w:bCs/>
                <w:sz w:val="16"/>
                <w:szCs w:val="16"/>
              </w:rPr>
              <w:t>Nr decyzji statusu OSD</w:t>
            </w:r>
          </w:p>
        </w:tc>
        <w:tc>
          <w:tcPr>
            <w:tcW w:w="2551" w:type="dxa"/>
            <w:shd w:val="clear" w:color="auto" w:fill="BFBFBF" w:themeFill="background1" w:themeFillShade="BF"/>
            <w:vAlign w:val="center"/>
          </w:tcPr>
          <w:p w14:paraId="17A97702" w14:textId="77777777" w:rsidR="008411C5" w:rsidRPr="007B535F" w:rsidRDefault="008411C5" w:rsidP="00EC5D8D">
            <w:pPr>
              <w:ind w:left="0" w:firstLine="0"/>
              <w:jc w:val="center"/>
              <w:rPr>
                <w:rFonts w:asciiTheme="minorHAnsi" w:hAnsiTheme="minorHAnsi" w:cstheme="minorHAnsi"/>
                <w:b/>
                <w:bCs/>
                <w:sz w:val="16"/>
                <w:szCs w:val="16"/>
              </w:rPr>
            </w:pPr>
            <w:r w:rsidRPr="007B535F">
              <w:rPr>
                <w:rFonts w:asciiTheme="minorHAnsi" w:hAnsiTheme="minorHAnsi" w:cstheme="minorHAnsi"/>
                <w:b/>
                <w:bCs/>
                <w:sz w:val="16"/>
                <w:szCs w:val="16"/>
              </w:rPr>
              <w:t>Nr koncesji na dystrybucję en. el.</w:t>
            </w:r>
          </w:p>
        </w:tc>
        <w:tc>
          <w:tcPr>
            <w:tcW w:w="1691" w:type="dxa"/>
            <w:shd w:val="clear" w:color="auto" w:fill="BFBFBF" w:themeFill="background1" w:themeFillShade="BF"/>
            <w:vAlign w:val="center"/>
          </w:tcPr>
          <w:p w14:paraId="5B474D1C" w14:textId="77777777" w:rsidR="008411C5" w:rsidRPr="007B535F" w:rsidRDefault="008411C5" w:rsidP="00EC5D8D">
            <w:pPr>
              <w:ind w:left="0" w:firstLine="0"/>
              <w:jc w:val="center"/>
              <w:rPr>
                <w:rFonts w:asciiTheme="minorHAnsi" w:hAnsiTheme="minorHAnsi" w:cstheme="minorHAnsi"/>
                <w:b/>
                <w:bCs/>
                <w:sz w:val="16"/>
                <w:szCs w:val="16"/>
              </w:rPr>
            </w:pPr>
            <w:proofErr w:type="spellStart"/>
            <w:r w:rsidRPr="007B535F">
              <w:rPr>
                <w:rFonts w:asciiTheme="minorHAnsi" w:hAnsiTheme="minorHAnsi" w:cstheme="minorHAnsi"/>
                <w:b/>
                <w:bCs/>
                <w:sz w:val="16"/>
                <w:szCs w:val="16"/>
              </w:rPr>
              <w:t>OSDp</w:t>
            </w:r>
            <w:proofErr w:type="spellEnd"/>
            <w:r w:rsidRPr="007B535F">
              <w:rPr>
                <w:rFonts w:asciiTheme="minorHAnsi" w:hAnsiTheme="minorHAnsi" w:cstheme="minorHAnsi"/>
                <w:b/>
                <w:bCs/>
                <w:sz w:val="16"/>
                <w:szCs w:val="16"/>
              </w:rPr>
              <w:t xml:space="preserve"> na terenie którego działa OSD</w:t>
            </w:r>
          </w:p>
        </w:tc>
      </w:tr>
      <w:tr w:rsidR="008411C5" w:rsidRPr="007B535F" w14:paraId="6D91F4B6" w14:textId="77777777" w:rsidTr="008C0163">
        <w:trPr>
          <w:trHeight w:val="454"/>
        </w:trPr>
        <w:tc>
          <w:tcPr>
            <w:tcW w:w="2268" w:type="dxa"/>
            <w:vAlign w:val="center"/>
          </w:tcPr>
          <w:p w14:paraId="3E72C0DE"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ELTRONIK ACPRO Sp. z o.o. Sp. k.</w:t>
            </w:r>
          </w:p>
        </w:tc>
        <w:tc>
          <w:tcPr>
            <w:tcW w:w="2268" w:type="dxa"/>
            <w:vAlign w:val="center"/>
          </w:tcPr>
          <w:p w14:paraId="535DE082" w14:textId="1DBB2DEE" w:rsidR="008411C5" w:rsidRPr="007B535F" w:rsidRDefault="007B535F" w:rsidP="00EC5D8D">
            <w:pPr>
              <w:spacing w:after="0" w:line="240" w:lineRule="auto"/>
              <w:ind w:left="0" w:firstLine="0"/>
              <w:jc w:val="left"/>
              <w:rPr>
                <w:rFonts w:asciiTheme="minorHAnsi" w:hAnsiTheme="minorHAnsi" w:cstheme="minorHAnsi"/>
                <w:color w:val="FF0000"/>
                <w:sz w:val="16"/>
                <w:szCs w:val="16"/>
              </w:rPr>
            </w:pPr>
            <w:r w:rsidRPr="007B535F">
              <w:rPr>
                <w:rFonts w:asciiTheme="minorHAnsi" w:hAnsiTheme="minorHAnsi" w:cstheme="minorHAnsi"/>
                <w:color w:val="auto"/>
                <w:sz w:val="16"/>
                <w:szCs w:val="16"/>
              </w:rPr>
              <w:t>DRE.WOSE.4711.26.7.2024.DSŁ</w:t>
            </w:r>
          </w:p>
        </w:tc>
        <w:tc>
          <w:tcPr>
            <w:tcW w:w="2551" w:type="dxa"/>
            <w:vAlign w:val="center"/>
          </w:tcPr>
          <w:p w14:paraId="537ACF97"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PEE/164/9377/W/1/2/99/RG</w:t>
            </w:r>
          </w:p>
        </w:tc>
        <w:tc>
          <w:tcPr>
            <w:tcW w:w="1691" w:type="dxa"/>
            <w:vAlign w:val="center"/>
          </w:tcPr>
          <w:p w14:paraId="4BDCE1EE"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Tauron Dystrybucja S.A.</w:t>
            </w:r>
          </w:p>
          <w:p w14:paraId="62E7B184" w14:textId="55EEF940"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PGE Dystrybucja S.A.</w:t>
            </w:r>
          </w:p>
        </w:tc>
      </w:tr>
      <w:tr w:rsidR="008411C5" w:rsidRPr="007B535F" w14:paraId="2CA810C0" w14:textId="77777777" w:rsidTr="008C0163">
        <w:trPr>
          <w:trHeight w:val="454"/>
        </w:trPr>
        <w:tc>
          <w:tcPr>
            <w:tcW w:w="2268" w:type="dxa"/>
            <w:vAlign w:val="center"/>
          </w:tcPr>
          <w:p w14:paraId="1365C934"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ACPRO Sp. z o.o. 1 Sp. k.</w:t>
            </w:r>
          </w:p>
        </w:tc>
        <w:tc>
          <w:tcPr>
            <w:tcW w:w="2268" w:type="dxa"/>
            <w:vAlign w:val="center"/>
          </w:tcPr>
          <w:p w14:paraId="42E496B3"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DRE.WOSE.4711.19.5.2022.MFr</w:t>
            </w:r>
          </w:p>
        </w:tc>
        <w:tc>
          <w:tcPr>
            <w:tcW w:w="2551" w:type="dxa"/>
            <w:vAlign w:val="center"/>
          </w:tcPr>
          <w:p w14:paraId="56761D74"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DEE/440/70638/W/OWR/2022/HK</w:t>
            </w:r>
          </w:p>
        </w:tc>
        <w:tc>
          <w:tcPr>
            <w:tcW w:w="1691" w:type="dxa"/>
            <w:vAlign w:val="center"/>
          </w:tcPr>
          <w:p w14:paraId="0C54CF79" w14:textId="7536AAB9"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Tauron Dystrybucja S.A.</w:t>
            </w:r>
          </w:p>
        </w:tc>
      </w:tr>
      <w:tr w:rsidR="008411C5" w:rsidRPr="007B535F" w14:paraId="69E64A61" w14:textId="77777777" w:rsidTr="008C0163">
        <w:trPr>
          <w:trHeight w:val="454"/>
        </w:trPr>
        <w:tc>
          <w:tcPr>
            <w:tcW w:w="2268" w:type="dxa"/>
            <w:vAlign w:val="center"/>
          </w:tcPr>
          <w:p w14:paraId="46976DA4"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ACPRO Sp. z o.o. 2 Sp. k.</w:t>
            </w:r>
          </w:p>
        </w:tc>
        <w:tc>
          <w:tcPr>
            <w:tcW w:w="2268" w:type="dxa"/>
            <w:vAlign w:val="center"/>
          </w:tcPr>
          <w:p w14:paraId="3A5608E4"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DRE.WOSE.4711.8.3.2023.MFr</w:t>
            </w:r>
          </w:p>
        </w:tc>
        <w:tc>
          <w:tcPr>
            <w:tcW w:w="2551" w:type="dxa"/>
            <w:vAlign w:val="center"/>
          </w:tcPr>
          <w:p w14:paraId="119FE447"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DEE/444/71023/W/OWR/2023/HK</w:t>
            </w:r>
          </w:p>
        </w:tc>
        <w:tc>
          <w:tcPr>
            <w:tcW w:w="1691" w:type="dxa"/>
            <w:vAlign w:val="center"/>
          </w:tcPr>
          <w:p w14:paraId="3E053C47" w14:textId="7AE3E1C5"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Tauron Dystrybucja S.A.</w:t>
            </w:r>
          </w:p>
        </w:tc>
      </w:tr>
      <w:tr w:rsidR="008411C5" w:rsidRPr="007B535F" w14:paraId="471D5A9C" w14:textId="77777777" w:rsidTr="008C0163">
        <w:trPr>
          <w:trHeight w:val="454"/>
        </w:trPr>
        <w:tc>
          <w:tcPr>
            <w:tcW w:w="2268" w:type="dxa"/>
            <w:vAlign w:val="center"/>
          </w:tcPr>
          <w:p w14:paraId="42C05C3B"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ACPRO Sp. z o.o. 3 Sp. k.</w:t>
            </w:r>
          </w:p>
        </w:tc>
        <w:tc>
          <w:tcPr>
            <w:tcW w:w="2268" w:type="dxa"/>
            <w:vAlign w:val="center"/>
          </w:tcPr>
          <w:p w14:paraId="689F19F9"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DRE.WOSE.4711.26.6.2023.JG</w:t>
            </w:r>
          </w:p>
        </w:tc>
        <w:tc>
          <w:tcPr>
            <w:tcW w:w="2551" w:type="dxa"/>
            <w:vAlign w:val="center"/>
          </w:tcPr>
          <w:p w14:paraId="3AB45DCB"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DEE/448/71159/W/OWR/2023/HK</w:t>
            </w:r>
          </w:p>
        </w:tc>
        <w:tc>
          <w:tcPr>
            <w:tcW w:w="1691" w:type="dxa"/>
            <w:vAlign w:val="center"/>
          </w:tcPr>
          <w:p w14:paraId="347F03A6"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PGE Dystrybucja S.A.</w:t>
            </w:r>
          </w:p>
          <w:p w14:paraId="07BBB50D" w14:textId="77777777" w:rsidR="008411C5" w:rsidRPr="007B535F" w:rsidRDefault="008411C5" w:rsidP="00EC5D8D">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Energa-Operator S.A.</w:t>
            </w:r>
          </w:p>
        </w:tc>
      </w:tr>
      <w:tr w:rsidR="002B443C" w:rsidRPr="007B535F" w14:paraId="6E93C64C" w14:textId="77777777" w:rsidTr="008C0163">
        <w:trPr>
          <w:trHeight w:val="454"/>
        </w:trPr>
        <w:tc>
          <w:tcPr>
            <w:tcW w:w="2268" w:type="dxa"/>
            <w:vAlign w:val="center"/>
          </w:tcPr>
          <w:p w14:paraId="1676AB75" w14:textId="509A21CD" w:rsidR="002B443C" w:rsidRPr="007B535F" w:rsidRDefault="002B443C" w:rsidP="002B443C">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 xml:space="preserve">ACPRO </w:t>
            </w:r>
            <w:r>
              <w:rPr>
                <w:rFonts w:asciiTheme="minorHAnsi" w:hAnsiTheme="minorHAnsi" w:cstheme="minorHAnsi"/>
                <w:sz w:val="16"/>
                <w:szCs w:val="16"/>
              </w:rPr>
              <w:t xml:space="preserve">5 </w:t>
            </w:r>
            <w:r w:rsidRPr="007B535F">
              <w:rPr>
                <w:rFonts w:asciiTheme="minorHAnsi" w:hAnsiTheme="minorHAnsi" w:cstheme="minorHAnsi"/>
                <w:sz w:val="16"/>
                <w:szCs w:val="16"/>
              </w:rPr>
              <w:t>Sp. z o.o.</w:t>
            </w:r>
          </w:p>
        </w:tc>
        <w:tc>
          <w:tcPr>
            <w:tcW w:w="2268" w:type="dxa"/>
            <w:vAlign w:val="center"/>
          </w:tcPr>
          <w:p w14:paraId="619C6B2A" w14:textId="6D633E71" w:rsidR="002B443C" w:rsidRPr="007B535F" w:rsidRDefault="002B443C" w:rsidP="002B443C">
            <w:pPr>
              <w:spacing w:after="0" w:line="240" w:lineRule="auto"/>
              <w:ind w:left="0" w:firstLine="0"/>
              <w:jc w:val="left"/>
              <w:rPr>
                <w:rFonts w:asciiTheme="minorHAnsi" w:hAnsiTheme="minorHAnsi" w:cstheme="minorHAnsi"/>
                <w:sz w:val="16"/>
                <w:szCs w:val="16"/>
              </w:rPr>
            </w:pPr>
          </w:p>
        </w:tc>
        <w:tc>
          <w:tcPr>
            <w:tcW w:w="2551" w:type="dxa"/>
            <w:vAlign w:val="center"/>
          </w:tcPr>
          <w:p w14:paraId="48C804EC" w14:textId="21864FF0" w:rsidR="002B443C" w:rsidRPr="007B535F" w:rsidRDefault="008C0163" w:rsidP="002B443C">
            <w:pPr>
              <w:spacing w:after="0" w:line="240" w:lineRule="auto"/>
              <w:ind w:left="0" w:firstLine="0"/>
              <w:jc w:val="left"/>
              <w:rPr>
                <w:rFonts w:asciiTheme="minorHAnsi" w:hAnsiTheme="minorHAnsi" w:cstheme="minorHAnsi"/>
                <w:sz w:val="16"/>
                <w:szCs w:val="16"/>
              </w:rPr>
            </w:pPr>
            <w:r w:rsidRPr="008C0163">
              <w:rPr>
                <w:rFonts w:asciiTheme="minorHAnsi" w:hAnsiTheme="minorHAnsi" w:cstheme="minorHAnsi"/>
                <w:sz w:val="16"/>
                <w:szCs w:val="16"/>
              </w:rPr>
              <w:t>DEE/713/76462/W/OWR/2026/</w:t>
            </w:r>
            <w:proofErr w:type="spellStart"/>
            <w:r w:rsidRPr="008C0163">
              <w:rPr>
                <w:rFonts w:asciiTheme="minorHAnsi" w:hAnsiTheme="minorHAnsi" w:cstheme="minorHAnsi"/>
                <w:sz w:val="16"/>
                <w:szCs w:val="16"/>
              </w:rPr>
              <w:t>BBo</w:t>
            </w:r>
            <w:proofErr w:type="spellEnd"/>
          </w:p>
        </w:tc>
        <w:tc>
          <w:tcPr>
            <w:tcW w:w="1691" w:type="dxa"/>
            <w:vAlign w:val="center"/>
          </w:tcPr>
          <w:p w14:paraId="3C71A355" w14:textId="04CE9298" w:rsidR="002B443C" w:rsidRPr="007B535F" w:rsidRDefault="002B443C" w:rsidP="002B443C">
            <w:pPr>
              <w:spacing w:after="0" w:line="240" w:lineRule="auto"/>
              <w:ind w:left="0" w:firstLine="0"/>
              <w:jc w:val="left"/>
              <w:rPr>
                <w:rFonts w:asciiTheme="minorHAnsi" w:hAnsiTheme="minorHAnsi" w:cstheme="minorHAnsi"/>
                <w:sz w:val="16"/>
                <w:szCs w:val="16"/>
              </w:rPr>
            </w:pPr>
            <w:r w:rsidRPr="007B535F">
              <w:rPr>
                <w:rFonts w:asciiTheme="minorHAnsi" w:hAnsiTheme="minorHAnsi" w:cstheme="minorHAnsi"/>
                <w:sz w:val="16"/>
                <w:szCs w:val="16"/>
              </w:rPr>
              <w:t>Enea</w:t>
            </w:r>
            <w:r>
              <w:rPr>
                <w:rFonts w:asciiTheme="minorHAnsi" w:hAnsiTheme="minorHAnsi" w:cstheme="minorHAnsi"/>
                <w:sz w:val="16"/>
                <w:szCs w:val="16"/>
              </w:rPr>
              <w:t xml:space="preserve"> </w:t>
            </w:r>
            <w:r w:rsidRPr="007B535F">
              <w:rPr>
                <w:rFonts w:asciiTheme="minorHAnsi" w:hAnsiTheme="minorHAnsi" w:cstheme="minorHAnsi"/>
                <w:sz w:val="16"/>
                <w:szCs w:val="16"/>
              </w:rPr>
              <w:t>Operator S</w:t>
            </w:r>
            <w:r>
              <w:rPr>
                <w:rFonts w:asciiTheme="minorHAnsi" w:hAnsiTheme="minorHAnsi" w:cstheme="minorHAnsi"/>
                <w:sz w:val="16"/>
                <w:szCs w:val="16"/>
              </w:rPr>
              <w:t>p</w:t>
            </w:r>
            <w:r w:rsidR="003B7AB3">
              <w:rPr>
                <w:rFonts w:asciiTheme="minorHAnsi" w:hAnsiTheme="minorHAnsi" w:cstheme="minorHAnsi"/>
                <w:sz w:val="16"/>
                <w:szCs w:val="16"/>
              </w:rPr>
              <w:t>. z o.o.</w:t>
            </w:r>
          </w:p>
        </w:tc>
      </w:tr>
    </w:tbl>
    <w:p w14:paraId="39E39FD3" w14:textId="77777777" w:rsidR="00473957" w:rsidRPr="00EB2E7B" w:rsidRDefault="00473957" w:rsidP="005D19E7">
      <w:pPr>
        <w:ind w:left="70" w:firstLine="0"/>
        <w:rPr>
          <w:rFonts w:asciiTheme="minorHAnsi" w:hAnsiTheme="minorHAnsi" w:cstheme="minorHAnsi"/>
          <w:sz w:val="20"/>
          <w:szCs w:val="20"/>
        </w:rPr>
        <w:sectPr w:rsidR="00473957" w:rsidRPr="00EB2E7B" w:rsidSect="005A3632">
          <w:headerReference w:type="even" r:id="rId12"/>
          <w:headerReference w:type="default" r:id="rId13"/>
          <w:footerReference w:type="even" r:id="rId14"/>
          <w:footerReference w:type="default" r:id="rId15"/>
          <w:headerReference w:type="first" r:id="rId16"/>
          <w:footerReference w:type="first" r:id="rId17"/>
          <w:pgSz w:w="11906" w:h="16841"/>
          <w:pgMar w:top="1531" w:right="1644" w:bottom="1871" w:left="1474" w:header="919" w:footer="799" w:gutter="0"/>
          <w:cols w:space="708"/>
          <w:titlePg/>
          <w:docGrid w:linePitch="326"/>
        </w:sectPr>
      </w:pPr>
    </w:p>
    <w:p w14:paraId="6C7727B5" w14:textId="77777777" w:rsidR="002F5C88" w:rsidRPr="00EB2E7B" w:rsidRDefault="0077111A" w:rsidP="000820B3">
      <w:pPr>
        <w:pStyle w:val="Nagwek1"/>
        <w:rPr>
          <w:rFonts w:asciiTheme="minorHAnsi" w:hAnsiTheme="minorHAnsi" w:cstheme="minorHAnsi"/>
          <w:sz w:val="20"/>
          <w:szCs w:val="20"/>
        </w:rPr>
      </w:pPr>
      <w:bookmarkStart w:id="0" w:name="_Toc180153710"/>
      <w:bookmarkStart w:id="1" w:name="_Toc239333303"/>
      <w:r w:rsidRPr="00EB2E7B">
        <w:rPr>
          <w:rFonts w:asciiTheme="minorHAnsi" w:hAnsiTheme="minorHAnsi" w:cstheme="minorHAnsi"/>
          <w:sz w:val="20"/>
          <w:szCs w:val="20"/>
        </w:rPr>
        <w:lastRenderedPageBreak/>
        <w:t>KORZYSTANIE Z SYSTEMU ELEKTROENERGETYCZNEG</w:t>
      </w:r>
      <w:r w:rsidR="002F5C88" w:rsidRPr="00EB2E7B">
        <w:rPr>
          <w:rFonts w:asciiTheme="minorHAnsi" w:hAnsiTheme="minorHAnsi" w:cstheme="minorHAnsi"/>
          <w:sz w:val="20"/>
          <w:szCs w:val="20"/>
        </w:rPr>
        <w:t>O</w:t>
      </w:r>
      <w:bookmarkEnd w:id="0"/>
      <w:bookmarkEnd w:id="1"/>
    </w:p>
    <w:p w14:paraId="323B4497" w14:textId="77777777" w:rsidR="00473957" w:rsidRPr="00EB2E7B" w:rsidRDefault="0077111A">
      <w:pPr>
        <w:pStyle w:val="Nagwek2"/>
        <w:rPr>
          <w:rFonts w:asciiTheme="minorHAnsi" w:hAnsiTheme="minorHAnsi" w:cstheme="minorHAnsi"/>
          <w:sz w:val="20"/>
          <w:szCs w:val="20"/>
        </w:rPr>
      </w:pPr>
      <w:bookmarkStart w:id="2" w:name="_Toc180153711"/>
      <w:bookmarkStart w:id="3" w:name="_Toc239333304"/>
      <w:r w:rsidRPr="00EB2E7B">
        <w:rPr>
          <w:rFonts w:asciiTheme="minorHAnsi" w:hAnsiTheme="minorHAnsi" w:cstheme="minorHAnsi"/>
          <w:sz w:val="20"/>
          <w:szCs w:val="20"/>
        </w:rPr>
        <w:t>POSTANOWIENIA OGÓLNE</w:t>
      </w:r>
      <w:bookmarkEnd w:id="2"/>
      <w:bookmarkEnd w:id="3"/>
    </w:p>
    <w:p w14:paraId="26C315D2" w14:textId="1E72C1ED" w:rsidR="00473957" w:rsidRPr="00EB2E7B" w:rsidRDefault="00AE2533" w:rsidP="002F130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jako operator systemu dystrybucyjnego wprowadza niniejszą Instrukcję Ruchu i Eksploatacji Sieci Dystrybucyjnej (zwaną dalej </w:t>
      </w:r>
      <w:proofErr w:type="spellStart"/>
      <w:r w:rsidR="0077111A" w:rsidRPr="00EB2E7B">
        <w:rPr>
          <w:rFonts w:asciiTheme="minorHAnsi" w:hAnsiTheme="minorHAnsi" w:cstheme="minorHAnsi"/>
          <w:sz w:val="20"/>
          <w:szCs w:val="20"/>
        </w:rPr>
        <w:t>IRiESD</w:t>
      </w:r>
      <w:proofErr w:type="spellEnd"/>
      <w:r w:rsidR="0077111A" w:rsidRPr="00EB2E7B">
        <w:rPr>
          <w:rFonts w:asciiTheme="minorHAnsi" w:hAnsiTheme="minorHAnsi" w:cstheme="minorHAnsi"/>
          <w:sz w:val="20"/>
          <w:szCs w:val="20"/>
        </w:rPr>
        <w:t xml:space="preserve">), na podstawie zapisów ustawy Prawo energetyczne. </w:t>
      </w:r>
    </w:p>
    <w:p w14:paraId="2528DF46" w14:textId="0A697D01" w:rsidR="00473957" w:rsidRPr="00EB2E7B" w:rsidRDefault="00A356C3" w:rsidP="002F130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ACPRO jako operator systemu dystrybucyjnego nie posiadający bezpośredniego połączenia z sieciami przesyłowymi (operator sytemu dystrybucyjnego typu OSDn) prowadzi ruch, eksploatację i planowanie rozwoju sieci, a także bilansowanie systemu dystrybucyjnego i zarządzanie ograniczeniami systemowymi w sieci, na której został wyznaczony operatorem systemu dystrybucyjnego (zwaną dalej „siecią dystrybucyjną ACPRO”), zgodnie z niniejszą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we współpracy z operatorem systemu dystrybucyjnego posiadającym połączenia z sieciami</w:t>
      </w:r>
      <w:r w:rsidR="00015ECB">
        <w:rPr>
          <w:rFonts w:asciiTheme="minorHAnsi" w:hAnsiTheme="minorHAnsi" w:cstheme="minorHAnsi"/>
          <w:sz w:val="20"/>
          <w:szCs w:val="20"/>
        </w:rPr>
        <w:t xml:space="preserve"> </w:t>
      </w:r>
      <w:r w:rsidRPr="00EB2E7B">
        <w:rPr>
          <w:rFonts w:asciiTheme="minorHAnsi" w:hAnsiTheme="minorHAnsi" w:cstheme="minorHAnsi"/>
          <w:sz w:val="20"/>
          <w:szCs w:val="20"/>
        </w:rPr>
        <w:t xml:space="preserve">przesyłowymi </w:t>
      </w:r>
      <w:r w:rsidR="00DC2F0C" w:rsidRPr="00EB2E7B">
        <w:rPr>
          <w:rFonts w:asciiTheme="minorHAnsi" w:hAnsiTheme="minorHAnsi" w:cstheme="minorHAnsi"/>
          <w:sz w:val="20"/>
          <w:szCs w:val="20"/>
        </w:rPr>
        <w:t xml:space="preserve">zwane </w:t>
      </w:r>
      <w:r w:rsidRPr="00EB2E7B">
        <w:rPr>
          <w:rFonts w:asciiTheme="minorHAnsi" w:hAnsiTheme="minorHAnsi" w:cstheme="minorHAnsi"/>
          <w:sz w:val="20"/>
          <w:szCs w:val="20"/>
        </w:rPr>
        <w:t xml:space="preserve">dalej </w:t>
      </w:r>
      <w:proofErr w:type="spellStart"/>
      <w:r w:rsidRPr="00EB2E7B">
        <w:rPr>
          <w:rFonts w:asciiTheme="minorHAnsi" w:hAnsiTheme="minorHAnsi" w:cstheme="minorHAnsi"/>
          <w:sz w:val="20"/>
          <w:szCs w:val="20"/>
        </w:rPr>
        <w:t>OSDp</w:t>
      </w:r>
      <w:proofErr w:type="spellEnd"/>
      <w:r w:rsidR="004C3E22" w:rsidRPr="00EB2E7B">
        <w:rPr>
          <w:rFonts w:asciiTheme="minorHAnsi" w:hAnsiTheme="minorHAnsi" w:cstheme="minorHAnsi"/>
          <w:sz w:val="20"/>
          <w:szCs w:val="20"/>
        </w:rPr>
        <w:t>.</w:t>
      </w:r>
    </w:p>
    <w:p w14:paraId="2C0A4CEF" w14:textId="41D56449" w:rsidR="00473957" w:rsidRPr="00EB2E7B" w:rsidRDefault="00965F88" w:rsidP="002F130F">
      <w:pPr>
        <w:pStyle w:val="Nagwek3"/>
        <w:ind w:left="1134" w:hanging="1134"/>
        <w:rPr>
          <w:rFonts w:asciiTheme="minorHAnsi" w:hAnsiTheme="minorHAnsi" w:cstheme="minorHAnsi"/>
          <w:sz w:val="20"/>
          <w:szCs w:val="20"/>
        </w:rPr>
      </w:pPr>
      <w:bookmarkStart w:id="4" w:name="_Ref75768855"/>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spełnia w szczególności wymagania</w:t>
      </w:r>
      <w:r w:rsidR="0077111A" w:rsidRPr="00EB2E7B">
        <w:rPr>
          <w:rFonts w:asciiTheme="minorHAnsi" w:hAnsiTheme="minorHAnsi" w:cstheme="minorHAnsi"/>
          <w:sz w:val="20"/>
          <w:szCs w:val="20"/>
        </w:rPr>
        <w:t>:</w:t>
      </w:r>
      <w:bookmarkEnd w:id="4"/>
      <w:r w:rsidR="0077111A" w:rsidRPr="00EB2E7B">
        <w:rPr>
          <w:rFonts w:asciiTheme="minorHAnsi" w:hAnsiTheme="minorHAnsi" w:cstheme="minorHAnsi"/>
          <w:sz w:val="20"/>
          <w:szCs w:val="20"/>
        </w:rPr>
        <w:t xml:space="preserve"> </w:t>
      </w:r>
    </w:p>
    <w:p w14:paraId="223631C3" w14:textId="3EFEE9C9" w:rsidR="00DF3B6C" w:rsidRPr="00EB2E7B" w:rsidRDefault="00CC6847"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ustawy z dnia 10 kwietnia 1997 r. Prawo energetyczne – zwanej dalej „Ustawą” lub „ustawą Prawo energetyczne” (Dz. U. z 2024 r., poz. 266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oraz wydanymi na jej podstawie aktami wykonawczymi,</w:t>
      </w:r>
    </w:p>
    <w:p w14:paraId="141FBD84" w14:textId="69C9C89A" w:rsidR="00DF3B6C" w:rsidRPr="00EB2E7B" w:rsidRDefault="00965F88"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ustawy z dnia 20 maja 2021 r. o zmianie ustawy - Prawo energetyczne oraz niektórych innych ustaw – zwaną dalej „Ustawą OIRE” (Dz.U. z 2021 r., poz. 1093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w:t>
      </w:r>
      <w:r w:rsidR="0064611D" w:rsidRPr="00EB2E7B">
        <w:rPr>
          <w:rFonts w:asciiTheme="minorHAnsi" w:hAnsiTheme="minorHAnsi" w:cstheme="minorHAnsi"/>
          <w:sz w:val="20"/>
          <w:szCs w:val="20"/>
        </w:rPr>
        <w:t>,</w:t>
      </w:r>
    </w:p>
    <w:p w14:paraId="34E2701C" w14:textId="3357B711" w:rsidR="004257B7" w:rsidRPr="00EB2E7B" w:rsidRDefault="00CC6847" w:rsidP="00013C3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ustawy z dnia 20 lutego 2015 r. o odnawialnych źródłach energii – zwanej dalej „Ustawą OZE” (Dz. U. z 2024 r., poz. 1361</w:t>
      </w:r>
      <w:r w:rsidR="005125EA" w:rsidRPr="00EB2E7B">
        <w:rPr>
          <w:rFonts w:asciiTheme="minorHAnsi" w:hAnsiTheme="minorHAnsi" w:cstheme="minorHAnsi"/>
          <w:sz w:val="20"/>
          <w:szCs w:val="20"/>
        </w:rPr>
        <w:t xml:space="preserve"> z </w:t>
      </w:r>
      <w:proofErr w:type="spellStart"/>
      <w:r w:rsidR="005125EA" w:rsidRPr="00EB2E7B">
        <w:rPr>
          <w:rFonts w:asciiTheme="minorHAnsi" w:hAnsiTheme="minorHAnsi" w:cstheme="minorHAnsi"/>
          <w:sz w:val="20"/>
          <w:szCs w:val="20"/>
        </w:rPr>
        <w:t>późn</w:t>
      </w:r>
      <w:proofErr w:type="spellEnd"/>
      <w:r w:rsidR="005125EA" w:rsidRPr="00EB2E7B">
        <w:rPr>
          <w:rFonts w:asciiTheme="minorHAnsi" w:hAnsiTheme="minorHAnsi" w:cstheme="minorHAnsi"/>
          <w:sz w:val="20"/>
          <w:szCs w:val="20"/>
        </w:rPr>
        <w:t>. zmianami</w:t>
      </w:r>
      <w:r w:rsidRPr="00EB2E7B">
        <w:rPr>
          <w:rFonts w:asciiTheme="minorHAnsi" w:hAnsiTheme="minorHAnsi" w:cstheme="minorHAnsi"/>
          <w:sz w:val="20"/>
          <w:szCs w:val="20"/>
        </w:rPr>
        <w:t>),</w:t>
      </w:r>
    </w:p>
    <w:p w14:paraId="0664045A" w14:textId="77489B45" w:rsidR="00DF3B6C" w:rsidRPr="00EB2E7B" w:rsidRDefault="00CC6847"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ustawy z dnia 7 lipca 1994 r. Prawo budowlane (Dz. U. z 2024 r., poz. 725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w:t>
      </w:r>
      <w:r w:rsidR="0064611D" w:rsidRPr="00EB2E7B">
        <w:rPr>
          <w:rFonts w:asciiTheme="minorHAnsi" w:hAnsiTheme="minorHAnsi" w:cstheme="minorHAnsi"/>
          <w:sz w:val="20"/>
          <w:szCs w:val="20"/>
        </w:rPr>
        <w:t>,</w:t>
      </w:r>
    </w:p>
    <w:p w14:paraId="4607AD89" w14:textId="2B0F0CE6" w:rsidR="00DF3B6C" w:rsidRPr="00EB2E7B" w:rsidRDefault="00CC6847"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ustawy z dnia 26 czerwca 1974 r. </w:t>
      </w:r>
      <w:r w:rsidR="001A2809"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Kodeks </w:t>
      </w:r>
      <w:r w:rsidR="001A2809" w:rsidRPr="00EB2E7B">
        <w:rPr>
          <w:rFonts w:asciiTheme="minorHAnsi" w:hAnsiTheme="minorHAnsi" w:cstheme="minorHAnsi"/>
          <w:sz w:val="20"/>
          <w:szCs w:val="20"/>
        </w:rPr>
        <w:t>p</w:t>
      </w:r>
      <w:r w:rsidRPr="00EB2E7B">
        <w:rPr>
          <w:rFonts w:asciiTheme="minorHAnsi" w:hAnsiTheme="minorHAnsi" w:cstheme="minorHAnsi"/>
          <w:sz w:val="20"/>
          <w:szCs w:val="20"/>
        </w:rPr>
        <w:t xml:space="preserve">racy (Dz. U. z 2023 r., poz. 1465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w:t>
      </w:r>
    </w:p>
    <w:p w14:paraId="2F994D7E" w14:textId="3C28194B" w:rsidR="00DF3B6C" w:rsidRPr="00EB2E7B" w:rsidRDefault="00CC6847"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ustawy z dnia 8 grudnia 2017 r. o rynku mocy, zwanej dalej „ustawą o rynku mocy” (Dz. U. z 2023 r., poz. 2131</w:t>
      </w:r>
      <w:r w:rsidR="00520295" w:rsidRPr="00EB2E7B">
        <w:rPr>
          <w:rFonts w:asciiTheme="minorHAnsi" w:hAnsiTheme="minorHAnsi" w:cstheme="minorHAnsi"/>
          <w:sz w:val="20"/>
          <w:szCs w:val="20"/>
        </w:rPr>
        <w:t xml:space="preserve"> z </w:t>
      </w:r>
      <w:proofErr w:type="spellStart"/>
      <w:r w:rsidR="00520295" w:rsidRPr="00EB2E7B">
        <w:rPr>
          <w:rFonts w:asciiTheme="minorHAnsi" w:hAnsiTheme="minorHAnsi" w:cstheme="minorHAnsi"/>
          <w:sz w:val="20"/>
          <w:szCs w:val="20"/>
        </w:rPr>
        <w:t>późn</w:t>
      </w:r>
      <w:proofErr w:type="spellEnd"/>
      <w:r w:rsidR="00520295" w:rsidRPr="00EB2E7B">
        <w:rPr>
          <w:rFonts w:asciiTheme="minorHAnsi" w:hAnsiTheme="minorHAnsi" w:cstheme="minorHAnsi"/>
          <w:sz w:val="20"/>
          <w:szCs w:val="20"/>
        </w:rPr>
        <w:t>. zm</w:t>
      </w:r>
      <w:r w:rsidR="003F772F" w:rsidRPr="00EB2E7B">
        <w:rPr>
          <w:rFonts w:asciiTheme="minorHAnsi" w:hAnsiTheme="minorHAnsi" w:cstheme="minorHAnsi"/>
          <w:sz w:val="20"/>
          <w:szCs w:val="20"/>
        </w:rPr>
        <w:t>ianami</w:t>
      </w:r>
      <w:r w:rsidRPr="00EB2E7B">
        <w:rPr>
          <w:rFonts w:asciiTheme="minorHAnsi" w:hAnsiTheme="minorHAnsi" w:cstheme="minorHAnsi"/>
          <w:sz w:val="20"/>
          <w:szCs w:val="20"/>
        </w:rPr>
        <w:t>),</w:t>
      </w:r>
    </w:p>
    <w:p w14:paraId="291CF9CF" w14:textId="2223FDB4" w:rsidR="00DF3B6C" w:rsidRPr="00EB2E7B" w:rsidRDefault="00CC6847"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ustawy z dnia 11 stycznia 2018 r. o elektromobilności i paliwach alternatywnych, zwanej dalej „ustawą o elektromobilności” (Dz. U. z 2024 r., poz. 1289</w:t>
      </w:r>
      <w:r w:rsidR="003F772F" w:rsidRPr="00EB2E7B">
        <w:rPr>
          <w:rFonts w:asciiTheme="minorHAnsi" w:hAnsiTheme="minorHAnsi" w:cstheme="minorHAnsi"/>
          <w:sz w:val="20"/>
          <w:szCs w:val="20"/>
        </w:rPr>
        <w:t xml:space="preserve"> z </w:t>
      </w:r>
      <w:proofErr w:type="spellStart"/>
      <w:r w:rsidR="003F772F" w:rsidRPr="00EB2E7B">
        <w:rPr>
          <w:rFonts w:asciiTheme="minorHAnsi" w:hAnsiTheme="minorHAnsi" w:cstheme="minorHAnsi"/>
          <w:sz w:val="20"/>
          <w:szCs w:val="20"/>
        </w:rPr>
        <w:t>późn</w:t>
      </w:r>
      <w:proofErr w:type="spellEnd"/>
      <w:r w:rsidR="003F772F" w:rsidRPr="00EB2E7B">
        <w:rPr>
          <w:rFonts w:asciiTheme="minorHAnsi" w:hAnsiTheme="minorHAnsi" w:cstheme="minorHAnsi"/>
          <w:sz w:val="20"/>
          <w:szCs w:val="20"/>
        </w:rPr>
        <w:t>. zmianami</w:t>
      </w:r>
      <w:r w:rsidRPr="00EB2E7B">
        <w:rPr>
          <w:rFonts w:asciiTheme="minorHAnsi" w:hAnsiTheme="minorHAnsi" w:cstheme="minorHAnsi"/>
          <w:sz w:val="20"/>
          <w:szCs w:val="20"/>
        </w:rPr>
        <w:t>),</w:t>
      </w:r>
      <w:r w:rsidR="00DF3B6C" w:rsidRPr="00EB2E7B">
        <w:rPr>
          <w:rFonts w:asciiTheme="minorHAnsi" w:hAnsiTheme="minorHAnsi" w:cstheme="minorHAnsi"/>
          <w:sz w:val="20"/>
          <w:szCs w:val="20"/>
        </w:rPr>
        <w:t xml:space="preserve"> </w:t>
      </w:r>
    </w:p>
    <w:p w14:paraId="57A833BE" w14:textId="77777777" w:rsidR="00DF3B6C" w:rsidRPr="00EB2E7B" w:rsidRDefault="00DF3B6C"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zawarte w: </w:t>
      </w:r>
    </w:p>
    <w:p w14:paraId="6AD5ED0B" w14:textId="56068E29" w:rsidR="00DF3B6C" w:rsidRPr="00EB2E7B" w:rsidRDefault="00965F88" w:rsidP="00AD297E">
      <w:pPr>
        <w:pStyle w:val="apo"/>
        <w:numPr>
          <w:ilvl w:val="0"/>
          <w:numId w:val="366"/>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rozporządzeniu Komisji (UE) 2017/2195 z dnia 23 listopada 2017 r. ustanawiającym wytyczne dotyczące bilansowania (Dz. Urz. UE L 312/6 z 28.11.2017 r.,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 EB GL</w:t>
      </w:r>
      <w:r w:rsidR="00DF3B6C" w:rsidRPr="00EB2E7B">
        <w:rPr>
          <w:rFonts w:asciiTheme="minorHAnsi" w:hAnsiTheme="minorHAnsi" w:cstheme="minorHAnsi"/>
          <w:sz w:val="20"/>
          <w:szCs w:val="20"/>
        </w:rPr>
        <w:t xml:space="preserve">,  </w:t>
      </w:r>
    </w:p>
    <w:p w14:paraId="2BF3A3DA" w14:textId="39DF952A" w:rsidR="00DF3B6C" w:rsidRPr="00EB2E7B" w:rsidRDefault="00965F88" w:rsidP="00AD297E">
      <w:pPr>
        <w:pStyle w:val="apo"/>
        <w:numPr>
          <w:ilvl w:val="0"/>
          <w:numId w:val="366"/>
        </w:numPr>
        <w:ind w:left="2268" w:hanging="567"/>
        <w:rPr>
          <w:rFonts w:asciiTheme="minorHAnsi" w:hAnsiTheme="minorHAnsi" w:cstheme="minorHAnsi"/>
          <w:sz w:val="20"/>
          <w:szCs w:val="20"/>
        </w:rPr>
      </w:pPr>
      <w:r w:rsidRPr="00EB2E7B">
        <w:rPr>
          <w:rFonts w:asciiTheme="minorHAnsi" w:hAnsiTheme="minorHAnsi" w:cstheme="minorHAnsi"/>
          <w:sz w:val="20"/>
          <w:szCs w:val="20"/>
        </w:rPr>
        <w:t>rozporządzeniu Komisji (UE) 2016/631 z dnia 14 kwietnia 2016 r. ustanawiającym kodeks sieci dotyczący wymogów w zakresie przyłączenia jednostek wytwórczych do sieci (Dz. Urz. UE L 112/1 z</w:t>
      </w:r>
      <w:r w:rsidR="00AD297E" w:rsidRPr="00EB2E7B">
        <w:rPr>
          <w:rFonts w:asciiTheme="minorHAnsi" w:hAnsiTheme="minorHAnsi" w:cstheme="minorHAnsi"/>
          <w:sz w:val="20"/>
          <w:szCs w:val="20"/>
        </w:rPr>
        <w:t> </w:t>
      </w:r>
      <w:r w:rsidRPr="00EB2E7B">
        <w:rPr>
          <w:rFonts w:asciiTheme="minorHAnsi" w:hAnsiTheme="minorHAnsi" w:cstheme="minorHAnsi"/>
          <w:sz w:val="20"/>
          <w:szCs w:val="20"/>
        </w:rPr>
        <w:t xml:space="preserve">27.4.2016 r.,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xml:space="preserve">. zmianami) - NC </w:t>
      </w:r>
      <w:proofErr w:type="spellStart"/>
      <w:r w:rsidRPr="00EB2E7B">
        <w:rPr>
          <w:rFonts w:asciiTheme="minorHAnsi" w:hAnsiTheme="minorHAnsi" w:cstheme="minorHAnsi"/>
          <w:sz w:val="20"/>
          <w:szCs w:val="20"/>
        </w:rPr>
        <w:t>RfG</w:t>
      </w:r>
      <w:proofErr w:type="spellEnd"/>
      <w:r w:rsidR="00DF3B6C" w:rsidRPr="00EB2E7B">
        <w:rPr>
          <w:rFonts w:asciiTheme="minorHAnsi" w:hAnsiTheme="minorHAnsi" w:cstheme="minorHAnsi"/>
          <w:sz w:val="20"/>
          <w:szCs w:val="20"/>
        </w:rPr>
        <w:t xml:space="preserve">,  </w:t>
      </w:r>
    </w:p>
    <w:p w14:paraId="3CE1A88E" w14:textId="0F7DD4E0" w:rsidR="00DF3B6C" w:rsidRPr="00EB2E7B" w:rsidRDefault="00965F88" w:rsidP="00AD297E">
      <w:pPr>
        <w:pStyle w:val="apo"/>
        <w:numPr>
          <w:ilvl w:val="0"/>
          <w:numId w:val="366"/>
        </w:numPr>
        <w:ind w:left="2268" w:hanging="567"/>
        <w:rPr>
          <w:rFonts w:asciiTheme="minorHAnsi" w:hAnsiTheme="minorHAnsi" w:cstheme="minorHAnsi"/>
          <w:sz w:val="20"/>
          <w:szCs w:val="20"/>
        </w:rPr>
      </w:pPr>
      <w:r w:rsidRPr="00EB2E7B">
        <w:rPr>
          <w:rFonts w:asciiTheme="minorHAnsi" w:hAnsiTheme="minorHAnsi" w:cstheme="minorHAnsi"/>
          <w:sz w:val="20"/>
          <w:szCs w:val="20"/>
        </w:rPr>
        <w:t>rozporządzeniu Komisji (UE) 2016/1388 z dnia 17 sierpnia 2016 r. ustanawiającym kodeks sieci dotyczący przyłączenia odbioru (Dz. Urz. UE L 223/10 z 18.8.2016 r.</w:t>
      </w:r>
      <w:r w:rsidR="005125EA" w:rsidRPr="00EB2E7B">
        <w:rPr>
          <w:rFonts w:asciiTheme="minorHAnsi" w:hAnsiTheme="minorHAnsi" w:cstheme="minorHAnsi"/>
          <w:sz w:val="20"/>
          <w:szCs w:val="20"/>
        </w:rPr>
        <w:t xml:space="preserve">, z </w:t>
      </w:r>
      <w:proofErr w:type="spellStart"/>
      <w:r w:rsidR="005125EA" w:rsidRPr="00EB2E7B">
        <w:rPr>
          <w:rFonts w:asciiTheme="minorHAnsi" w:hAnsiTheme="minorHAnsi" w:cstheme="minorHAnsi"/>
          <w:sz w:val="20"/>
          <w:szCs w:val="20"/>
        </w:rPr>
        <w:t>późn</w:t>
      </w:r>
      <w:proofErr w:type="spellEnd"/>
      <w:r w:rsidR="005125EA" w:rsidRPr="00EB2E7B">
        <w:rPr>
          <w:rFonts w:asciiTheme="minorHAnsi" w:hAnsiTheme="minorHAnsi" w:cstheme="minorHAnsi"/>
          <w:sz w:val="20"/>
          <w:szCs w:val="20"/>
        </w:rPr>
        <w:t>. zmianami</w:t>
      </w:r>
      <w:r w:rsidRPr="00EB2E7B">
        <w:rPr>
          <w:rFonts w:asciiTheme="minorHAnsi" w:hAnsiTheme="minorHAnsi" w:cstheme="minorHAnsi"/>
          <w:sz w:val="20"/>
          <w:szCs w:val="20"/>
        </w:rPr>
        <w:t>) - NC DC</w:t>
      </w:r>
      <w:r w:rsidR="00DF3B6C" w:rsidRPr="00EB2E7B">
        <w:rPr>
          <w:rFonts w:asciiTheme="minorHAnsi" w:hAnsiTheme="minorHAnsi" w:cstheme="minorHAnsi"/>
          <w:sz w:val="20"/>
          <w:szCs w:val="20"/>
        </w:rPr>
        <w:t xml:space="preserve">,  </w:t>
      </w:r>
    </w:p>
    <w:p w14:paraId="380C1891" w14:textId="71B762AB" w:rsidR="00DF3B6C" w:rsidRPr="00EB2E7B" w:rsidRDefault="00965F88" w:rsidP="00AD297E">
      <w:pPr>
        <w:pStyle w:val="apo"/>
        <w:numPr>
          <w:ilvl w:val="0"/>
          <w:numId w:val="366"/>
        </w:numPr>
        <w:ind w:left="2268" w:hanging="567"/>
        <w:rPr>
          <w:rFonts w:asciiTheme="minorHAnsi" w:hAnsiTheme="minorHAnsi" w:cstheme="minorHAnsi"/>
          <w:sz w:val="20"/>
          <w:szCs w:val="20"/>
        </w:rPr>
      </w:pPr>
      <w:r w:rsidRPr="00EB2E7B">
        <w:rPr>
          <w:rFonts w:asciiTheme="minorHAnsi" w:hAnsiTheme="minorHAnsi" w:cstheme="minorHAnsi"/>
          <w:sz w:val="20"/>
          <w:szCs w:val="20"/>
        </w:rPr>
        <w:t>rozporządzeniu Komisji (UE) 2016/1447 z dnia 26 sierpnia 2016 r. ustanawiającym kodeks sieci określający wymogi dotyczące przyłączenia do sieci systemów wysokiego napięcia prądu stałego oraz modułów parku energii z podłączeniem prądu stałego (Dz. Urz. UE L 241/1 z 8.9.2016 r.</w:t>
      </w:r>
      <w:r w:rsidR="005125EA" w:rsidRPr="00EB2E7B">
        <w:rPr>
          <w:rFonts w:asciiTheme="minorHAnsi" w:hAnsiTheme="minorHAnsi" w:cstheme="minorHAnsi"/>
          <w:sz w:val="20"/>
          <w:szCs w:val="20"/>
        </w:rPr>
        <w:t xml:space="preserve">, z </w:t>
      </w:r>
      <w:proofErr w:type="spellStart"/>
      <w:r w:rsidR="005125EA" w:rsidRPr="00EB2E7B">
        <w:rPr>
          <w:rFonts w:asciiTheme="minorHAnsi" w:hAnsiTheme="minorHAnsi" w:cstheme="minorHAnsi"/>
          <w:sz w:val="20"/>
          <w:szCs w:val="20"/>
        </w:rPr>
        <w:t>późn</w:t>
      </w:r>
      <w:proofErr w:type="spellEnd"/>
      <w:r w:rsidR="005125EA" w:rsidRPr="00EB2E7B">
        <w:rPr>
          <w:rFonts w:asciiTheme="minorHAnsi" w:hAnsiTheme="minorHAnsi" w:cstheme="minorHAnsi"/>
          <w:sz w:val="20"/>
          <w:szCs w:val="20"/>
        </w:rPr>
        <w:t>. zmianami</w:t>
      </w:r>
      <w:r w:rsidRPr="00EB2E7B">
        <w:rPr>
          <w:rFonts w:asciiTheme="minorHAnsi" w:hAnsiTheme="minorHAnsi" w:cstheme="minorHAnsi"/>
          <w:sz w:val="20"/>
          <w:szCs w:val="20"/>
        </w:rPr>
        <w:t>) - NC HVDC</w:t>
      </w:r>
      <w:r w:rsidR="00DF3B6C" w:rsidRPr="00EB2E7B">
        <w:rPr>
          <w:rFonts w:asciiTheme="minorHAnsi" w:hAnsiTheme="minorHAnsi" w:cstheme="minorHAnsi"/>
          <w:sz w:val="20"/>
          <w:szCs w:val="20"/>
        </w:rPr>
        <w:t xml:space="preserve">,  </w:t>
      </w:r>
    </w:p>
    <w:p w14:paraId="4317495E" w14:textId="66A5D974" w:rsidR="00DF3B6C" w:rsidRPr="00EB2E7B" w:rsidRDefault="00965F88" w:rsidP="00AD297E">
      <w:pPr>
        <w:pStyle w:val="apo"/>
        <w:numPr>
          <w:ilvl w:val="0"/>
          <w:numId w:val="366"/>
        </w:numPr>
        <w:ind w:left="2268"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rozporządzeniu Komisji (UE) 2017/1485 z dnia 2 sierpnia 2017 r. ustanawiającym wytyczne dotyczące pracy systemu przesyłowego energii elektrycznej (Dz. Urz. UE L 220/1 z 25.8.2017 r.,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 SO GL</w:t>
      </w:r>
      <w:r w:rsidR="00DF3B6C" w:rsidRPr="00EB2E7B">
        <w:rPr>
          <w:rFonts w:asciiTheme="minorHAnsi" w:hAnsiTheme="minorHAnsi" w:cstheme="minorHAnsi"/>
          <w:sz w:val="20"/>
          <w:szCs w:val="20"/>
        </w:rPr>
        <w:t xml:space="preserve">,  </w:t>
      </w:r>
    </w:p>
    <w:p w14:paraId="6F667B0E" w14:textId="768E4D8D" w:rsidR="00BF2F3F" w:rsidRPr="00EB2E7B" w:rsidRDefault="00965F88" w:rsidP="00AD297E">
      <w:pPr>
        <w:pStyle w:val="apo"/>
        <w:numPr>
          <w:ilvl w:val="0"/>
          <w:numId w:val="366"/>
        </w:numPr>
        <w:ind w:left="2268" w:hanging="567"/>
        <w:rPr>
          <w:rFonts w:asciiTheme="minorHAnsi" w:hAnsiTheme="minorHAnsi" w:cstheme="minorHAnsi"/>
          <w:sz w:val="20"/>
          <w:szCs w:val="20"/>
        </w:rPr>
      </w:pPr>
      <w:r w:rsidRPr="00EB2E7B">
        <w:rPr>
          <w:rFonts w:asciiTheme="minorHAnsi" w:hAnsiTheme="minorHAnsi" w:cstheme="minorHAnsi"/>
          <w:sz w:val="20"/>
          <w:szCs w:val="20"/>
        </w:rPr>
        <w:t>rozporządzeniu Komisji (UE) 2017/2196 z dnia 24 listopada 2017 r. ustanawiającym kodeks sieci dotyczący stanu zagrożenia i stanu odbudowy systemów elektroenergetycznych (Dz. Urz. UE L 312/54 z</w:t>
      </w:r>
      <w:r w:rsidR="00AD297E" w:rsidRPr="00EB2E7B">
        <w:rPr>
          <w:rFonts w:asciiTheme="minorHAnsi" w:hAnsiTheme="minorHAnsi" w:cstheme="minorHAnsi"/>
          <w:sz w:val="20"/>
          <w:szCs w:val="20"/>
        </w:rPr>
        <w:t> </w:t>
      </w:r>
      <w:r w:rsidRPr="00EB2E7B">
        <w:rPr>
          <w:rFonts w:asciiTheme="minorHAnsi" w:hAnsiTheme="minorHAnsi" w:cstheme="minorHAnsi"/>
          <w:sz w:val="20"/>
          <w:szCs w:val="20"/>
        </w:rPr>
        <w:t>28.11.2017 r.,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 NC ER</w:t>
      </w:r>
      <w:r w:rsidR="00DF3B6C" w:rsidRPr="00EB2E7B">
        <w:rPr>
          <w:rFonts w:asciiTheme="minorHAnsi" w:hAnsiTheme="minorHAnsi" w:cstheme="minorHAnsi"/>
          <w:sz w:val="20"/>
          <w:szCs w:val="20"/>
        </w:rPr>
        <w:t xml:space="preserve">; </w:t>
      </w:r>
    </w:p>
    <w:p w14:paraId="498BB51B" w14:textId="77777777" w:rsidR="00DF3B6C" w:rsidRPr="00EB2E7B" w:rsidRDefault="00DF3B6C" w:rsidP="00E44785">
      <w:pPr>
        <w:pStyle w:val="apo"/>
        <w:ind w:left="1134"/>
        <w:rPr>
          <w:rFonts w:asciiTheme="minorHAnsi" w:hAnsiTheme="minorHAnsi" w:cstheme="minorHAnsi"/>
          <w:sz w:val="20"/>
          <w:szCs w:val="20"/>
        </w:rPr>
      </w:pPr>
      <w:r w:rsidRPr="00EB2E7B">
        <w:rPr>
          <w:rFonts w:asciiTheme="minorHAnsi" w:hAnsiTheme="minorHAnsi" w:cstheme="minorHAnsi"/>
          <w:sz w:val="20"/>
          <w:szCs w:val="20"/>
        </w:rPr>
        <w:t xml:space="preserve">zwanymi dalej łącznie „Kodeksami sieci”. </w:t>
      </w:r>
    </w:p>
    <w:p w14:paraId="4AA9AF66" w14:textId="426A8968" w:rsidR="0064611D" w:rsidRPr="00EB2E7B" w:rsidRDefault="00965F88" w:rsidP="00BC00F0">
      <w:pPr>
        <w:pStyle w:val="1przed"/>
        <w:ind w:left="1701" w:hanging="567"/>
        <w:rPr>
          <w:rFonts w:asciiTheme="minorHAnsi" w:hAnsiTheme="minorHAnsi" w:cstheme="minorHAnsi"/>
          <w:sz w:val="20"/>
          <w:szCs w:val="20"/>
        </w:rPr>
      </w:pPr>
      <w:bookmarkStart w:id="5" w:name="_Ref183596047"/>
      <w:r w:rsidRPr="00EB2E7B">
        <w:rPr>
          <w:rFonts w:asciiTheme="minorHAnsi" w:hAnsiTheme="minorHAnsi" w:cstheme="minorHAnsi"/>
          <w:sz w:val="20"/>
          <w:szCs w:val="20"/>
        </w:rPr>
        <w:t>koncesji na dystrybucję energii elektrycznej udzielonej przez Prezesa URE</w:t>
      </w:r>
      <w:r w:rsidR="0064611D" w:rsidRPr="00EB2E7B">
        <w:rPr>
          <w:rFonts w:asciiTheme="minorHAnsi" w:hAnsiTheme="minorHAnsi" w:cstheme="minorHAnsi"/>
          <w:sz w:val="20"/>
          <w:szCs w:val="20"/>
        </w:rPr>
        <w:t>,</w:t>
      </w:r>
      <w:bookmarkEnd w:id="5"/>
    </w:p>
    <w:p w14:paraId="0FAFB1BE" w14:textId="28CEED7F" w:rsidR="00DF3B6C" w:rsidRPr="00EB2E7B" w:rsidRDefault="00965F88"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decyzji Prezesa URE o wyznaczeniu ACPRO operatorem systemu dystrybucyjnego elektroenergetycznego,</w:t>
      </w:r>
    </w:p>
    <w:p w14:paraId="2579E493" w14:textId="7DEE2619" w:rsidR="00965F88" w:rsidRPr="00EB2E7B" w:rsidRDefault="00965F88" w:rsidP="00BC00F0">
      <w:pPr>
        <w:pStyle w:val="1przed"/>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w:t>
      </w:r>
    </w:p>
    <w:p w14:paraId="5949951A" w14:textId="63EC8312" w:rsidR="00965F88" w:rsidRPr="00EB2E7B" w:rsidRDefault="00965F88"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Taryfy ACPRO.</w:t>
      </w:r>
    </w:p>
    <w:p w14:paraId="62426CD6" w14:textId="77777777" w:rsidR="002F5C88" w:rsidRPr="00EB2E7B" w:rsidRDefault="0077111A" w:rsidP="002F130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Uwzględniając warunki określone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celu realizacji ustawowych zadań przyjmuje do stosowania instrukcje eksploatacji obiektów i</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urządzeń, instrukcje ruchowe oraz instrukcje organizacji bezpiecznej pracy, a</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także dokumenty przyjęte na podstawie Kodeksów sieci.</w:t>
      </w:r>
    </w:p>
    <w:p w14:paraId="29562B08" w14:textId="48D88D13" w:rsidR="00BF2F3F" w:rsidRPr="00EB2E7B" w:rsidRDefault="0077111A" w:rsidP="002F130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Niniejsza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określa szczegółowe warunki korzystania z sieci dystrybucyjnych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przez jej użytkowników oraz warunki i sposób prowadzenia ruchu, eksploatacji, planowania rozwoju tych sieci, a także bilansowania systemu dystrybucyjnego i zarządzania ograniczeniami systemowymi w sieci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w</w:t>
      </w:r>
      <w:r w:rsidR="00B324C0" w:rsidRPr="00EB2E7B">
        <w:rPr>
          <w:rFonts w:asciiTheme="minorHAnsi" w:hAnsiTheme="minorHAnsi" w:cstheme="minorHAnsi"/>
          <w:sz w:val="20"/>
          <w:szCs w:val="20"/>
        </w:rPr>
        <w:t> </w:t>
      </w:r>
      <w:r w:rsidRPr="00EB2E7B">
        <w:rPr>
          <w:rFonts w:asciiTheme="minorHAnsi" w:hAnsiTheme="minorHAnsi" w:cstheme="minorHAnsi"/>
          <w:sz w:val="20"/>
          <w:szCs w:val="20"/>
        </w:rPr>
        <w:t xml:space="preserve">szczególności dotyczące: </w:t>
      </w:r>
    </w:p>
    <w:p w14:paraId="69BD8AD9" w14:textId="49104632" w:rsidR="00DF3B6C" w:rsidRPr="00EB2E7B" w:rsidRDefault="00DF3B6C" w:rsidP="00BC00F0">
      <w:pPr>
        <w:pStyle w:val="1przed"/>
        <w:numPr>
          <w:ilvl w:val="0"/>
          <w:numId w:val="4"/>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przyłączania </w:t>
      </w:r>
      <w:r w:rsidR="001D1331" w:rsidRPr="00EB2E7B">
        <w:rPr>
          <w:rFonts w:asciiTheme="minorHAnsi" w:hAnsiTheme="minorHAnsi" w:cstheme="minorHAnsi"/>
          <w:sz w:val="20"/>
          <w:szCs w:val="20"/>
        </w:rPr>
        <w:t>jednostek</w:t>
      </w:r>
      <w:r w:rsidRPr="00EB2E7B">
        <w:rPr>
          <w:rFonts w:asciiTheme="minorHAnsi" w:hAnsiTheme="minorHAnsi" w:cstheme="minorHAnsi"/>
          <w:sz w:val="20"/>
          <w:szCs w:val="20"/>
        </w:rPr>
        <w:t xml:space="preserve"> wytwórczych, </w:t>
      </w:r>
      <w:r w:rsidR="00581663" w:rsidRPr="00EB2E7B">
        <w:rPr>
          <w:rFonts w:asciiTheme="minorHAnsi" w:hAnsiTheme="minorHAnsi" w:cstheme="minorHAnsi"/>
          <w:sz w:val="20"/>
          <w:szCs w:val="20"/>
        </w:rPr>
        <w:t xml:space="preserve">magazynów energii elektrycznej, </w:t>
      </w:r>
      <w:r w:rsidRPr="00EB2E7B">
        <w:rPr>
          <w:rFonts w:asciiTheme="minorHAnsi" w:hAnsiTheme="minorHAnsi" w:cstheme="minorHAnsi"/>
          <w:sz w:val="20"/>
          <w:szCs w:val="20"/>
        </w:rPr>
        <w:t xml:space="preserve">sieci dystrybucyjnych, urządzeń odbiorców końcowych, połączeń międzysystemowych oraz linii bezpośrednich, </w:t>
      </w:r>
    </w:p>
    <w:p w14:paraId="2784A8D6" w14:textId="77777777" w:rsidR="00DF3B6C" w:rsidRPr="00EB2E7B" w:rsidRDefault="00DF3B6C"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wymagań technicznych dla urządzeń, instalacji i sieci wraz z niezbędną infrastrukturą pomocniczą, </w:t>
      </w:r>
    </w:p>
    <w:p w14:paraId="274DD2D7" w14:textId="77777777" w:rsidR="00DF3B6C" w:rsidRPr="00EB2E7B" w:rsidRDefault="00DF3B6C"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kryteriów bezpieczeństwa funkcjonowania systemu elektroenergetycznego, w tym uzgadniania planów działania na wypadek zagrożenia wystąpienia awarii o znacznych rozmiarach w systemie elektroenergetycznym oraz odbudowy tego systemu po wystąpieniu awarii, </w:t>
      </w:r>
    </w:p>
    <w:p w14:paraId="6F9E4550" w14:textId="7CA1B144" w:rsidR="00686C84" w:rsidRPr="00EB2E7B" w:rsidRDefault="00074BC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współpracy między operatorami systemów elektroenergetycznych, w tym w</w:t>
      </w:r>
      <w:r w:rsidR="00993408" w:rsidRPr="00EB2E7B">
        <w:rPr>
          <w:rFonts w:asciiTheme="minorHAnsi" w:hAnsiTheme="minorHAnsi" w:cstheme="minorHAnsi"/>
          <w:sz w:val="20"/>
          <w:szCs w:val="20"/>
        </w:rPr>
        <w:t> </w:t>
      </w:r>
      <w:r w:rsidRPr="00EB2E7B">
        <w:rPr>
          <w:rFonts w:asciiTheme="minorHAnsi" w:hAnsiTheme="minorHAnsi" w:cstheme="minorHAnsi"/>
          <w:sz w:val="20"/>
          <w:szCs w:val="20"/>
        </w:rPr>
        <w:t>zakresie niezbędnego układu połączeń sieci oraz zakresu, sposobu i</w:t>
      </w:r>
      <w:r w:rsidR="00993408" w:rsidRPr="00EB2E7B">
        <w:rPr>
          <w:rFonts w:asciiTheme="minorHAnsi" w:hAnsiTheme="minorHAnsi" w:cstheme="minorHAnsi"/>
          <w:sz w:val="20"/>
          <w:szCs w:val="20"/>
        </w:rPr>
        <w:t> </w:t>
      </w:r>
      <w:r w:rsidRPr="00EB2E7B">
        <w:rPr>
          <w:rFonts w:asciiTheme="minorHAnsi" w:hAnsiTheme="minorHAnsi" w:cstheme="minorHAnsi"/>
          <w:sz w:val="20"/>
          <w:szCs w:val="20"/>
        </w:rPr>
        <w:t>harmonogramu przekazywania informacji</w:t>
      </w:r>
      <w:r w:rsidR="00686C84" w:rsidRPr="00EB2E7B">
        <w:rPr>
          <w:rFonts w:asciiTheme="minorHAnsi" w:hAnsiTheme="minorHAnsi" w:cstheme="minorHAnsi"/>
          <w:sz w:val="20"/>
          <w:szCs w:val="20"/>
        </w:rPr>
        <w:t>,</w:t>
      </w:r>
    </w:p>
    <w:p w14:paraId="25D60BA5" w14:textId="77777777" w:rsidR="00DF3B6C" w:rsidRPr="00EB2E7B" w:rsidRDefault="00DF3B6C"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przekazywania informacji pomiędzy przedsiębiorstwami energetycznymi oraz pomiędzy przedsiębiorstwami energetycznymi a odbiorcami, </w:t>
      </w:r>
    </w:p>
    <w:p w14:paraId="1F897CE7" w14:textId="77777777" w:rsidR="00DF3B6C" w:rsidRPr="00EB2E7B" w:rsidRDefault="00DF3B6C"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parametrów jakościowych energii elektrycznej i standardów jakościowych obsługi użytkowników systemu, </w:t>
      </w:r>
    </w:p>
    <w:p w14:paraId="78897A17" w14:textId="77777777" w:rsidR="00DF3B6C" w:rsidRPr="00EB2E7B" w:rsidRDefault="00DF3B6C"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wymagań w zakresie bezpieczeństwa pracy sieci elektroenergetycznej i</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warunków, jakie muszą zostać spełnione dla jego utrzymania, </w:t>
      </w:r>
    </w:p>
    <w:p w14:paraId="4D1DABD5" w14:textId="77777777" w:rsidR="00DF3B6C" w:rsidRPr="00EB2E7B" w:rsidRDefault="00DF3B6C"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wskaźników charakteryzujących jakość i niezawodność dostaw energii elektrycznej oraz bezpieczeństwa pracy sieci elektroenergetycznej, </w:t>
      </w:r>
    </w:p>
    <w:p w14:paraId="0655DE61" w14:textId="3990DEA6" w:rsidR="00DF3B6C" w:rsidRPr="00EB2E7B" w:rsidRDefault="00DF3B6C"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zasad bilansowania systemu dystrybucyjnego i zarządzania ograniczeniami systemowymi</w:t>
      </w:r>
    </w:p>
    <w:p w14:paraId="05BA465F" w14:textId="20B0E9EA" w:rsidR="006645A4" w:rsidRPr="00EB2E7B" w:rsidRDefault="006645A4"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wymagań technicznych dla magazynów energii elektrycznej,</w:t>
      </w:r>
    </w:p>
    <w:p w14:paraId="3E0A8030" w14:textId="734A019F" w:rsidR="006645A4" w:rsidRPr="00EB2E7B" w:rsidRDefault="006645A4"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procedur, sposobu postępowania i zakresu wymiany informacji niezbędnych w przypadku wprowadzenia ograniczeń w dostarczaniu i poborze energii elektrycznej i opracowania planów wprowadzania ograniczeń w dostarczaniu i poborze energii elektrycznej,</w:t>
      </w:r>
    </w:p>
    <w:p w14:paraId="792D1A8F" w14:textId="297141D9" w:rsidR="006645A4" w:rsidRPr="00EB2E7B" w:rsidRDefault="006645A4"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procedury zmiany sprzedawcy oraz zgłaszania i przyjmowania przez operatora systemu dystrybucyjnego elektroenergetycznego do realizacji umów sprzedaży i umów kompleksowych.</w:t>
      </w:r>
    </w:p>
    <w:p w14:paraId="2740D41B" w14:textId="7B6EA1ED" w:rsidR="00DF3B6C" w:rsidRPr="00EB2E7B" w:rsidRDefault="0FF9BC18"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zakresie procedur i zasad wykonywania czynności związanych z ruchem sieciowym i eksploatacją sieci, postanowienia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dotyczą stacji i rozdzielni elektroenergetycznych, linii napowietrznych i kablowych za których ruch sieciowy jest odpowiedzialny ACPRO, niezależnie od praw własności tych urządzeń.</w:t>
      </w:r>
    </w:p>
    <w:p w14:paraId="7D15D15E" w14:textId="77777777"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Postanowienia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obowiązują następujące podmioty: </w:t>
      </w:r>
    </w:p>
    <w:p w14:paraId="490E00E1" w14:textId="77777777" w:rsidR="00473957" w:rsidRPr="00EB2E7B" w:rsidRDefault="0077111A" w:rsidP="00BC00F0">
      <w:pPr>
        <w:pStyle w:val="1przed"/>
        <w:numPr>
          <w:ilvl w:val="0"/>
          <w:numId w:val="5"/>
        </w:numPr>
        <w:ind w:left="1701" w:hanging="567"/>
        <w:rPr>
          <w:rFonts w:asciiTheme="minorHAnsi" w:hAnsiTheme="minorHAnsi" w:cstheme="minorHAnsi"/>
          <w:sz w:val="20"/>
          <w:szCs w:val="20"/>
        </w:rPr>
      </w:pPr>
      <w:bookmarkStart w:id="6" w:name="_Ref75349160"/>
      <w:r w:rsidRPr="00EB2E7B">
        <w:rPr>
          <w:rFonts w:asciiTheme="minorHAnsi" w:hAnsiTheme="minorHAnsi" w:cstheme="minorHAnsi"/>
          <w:sz w:val="20"/>
          <w:szCs w:val="20"/>
        </w:rPr>
        <w:t xml:space="preserve">operatora systemu dystrybucyjnego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w:t>
      </w:r>
      <w:bookmarkEnd w:id="6"/>
    </w:p>
    <w:p w14:paraId="394489C9" w14:textId="1F5CB7A6" w:rsidR="00473957" w:rsidRPr="00EB2E7B" w:rsidRDefault="00581663"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wytwórców oraz posiadaczy magazynu energii elektrycznej przyłączonych do sieci dystrybucyjnej ACPRO,</w:t>
      </w:r>
      <w:r w:rsidR="0077111A" w:rsidRPr="00EB2E7B">
        <w:rPr>
          <w:rFonts w:asciiTheme="minorHAnsi" w:hAnsiTheme="minorHAnsi" w:cstheme="minorHAnsi"/>
          <w:sz w:val="20"/>
          <w:szCs w:val="20"/>
        </w:rPr>
        <w:t xml:space="preserve"> </w:t>
      </w:r>
    </w:p>
    <w:p w14:paraId="1566B9E4" w14:textId="77777777"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odbiorców przyłączonych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20F61973" w14:textId="33E79214" w:rsidR="00473957" w:rsidRPr="00EB2E7B" w:rsidRDefault="00621ECF"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podmioty odpowiedzialne za bilansowanie i dostawców usług bilansujących</w:t>
      </w:r>
      <w:r w:rsidR="0077111A" w:rsidRPr="00EB2E7B">
        <w:rPr>
          <w:rFonts w:asciiTheme="minorHAnsi" w:hAnsiTheme="minorHAnsi" w:cstheme="minorHAnsi"/>
          <w:sz w:val="20"/>
          <w:szCs w:val="20"/>
        </w:rPr>
        <w:t xml:space="preserve">, </w:t>
      </w:r>
    </w:p>
    <w:p w14:paraId="1C3B1E68" w14:textId="77777777"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sprzedawców, </w:t>
      </w:r>
    </w:p>
    <w:p w14:paraId="230A3627" w14:textId="77777777" w:rsidR="00473957" w:rsidRPr="00EB2E7B" w:rsidRDefault="0077111A" w:rsidP="00BC00F0">
      <w:pPr>
        <w:pStyle w:val="1przed"/>
        <w:ind w:left="1701" w:hanging="567"/>
        <w:rPr>
          <w:rFonts w:asciiTheme="minorHAnsi" w:hAnsiTheme="minorHAnsi" w:cstheme="minorHAnsi"/>
          <w:sz w:val="20"/>
          <w:szCs w:val="20"/>
        </w:rPr>
      </w:pPr>
      <w:bookmarkStart w:id="7" w:name="_Ref75349192"/>
      <w:r w:rsidRPr="00EB2E7B">
        <w:rPr>
          <w:rFonts w:asciiTheme="minorHAnsi" w:hAnsiTheme="minorHAnsi" w:cstheme="minorHAnsi"/>
          <w:sz w:val="20"/>
          <w:szCs w:val="20"/>
        </w:rPr>
        <w:t xml:space="preserve">podmioty ubiegające się o przyłączenie (przyłączane)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w:t>
      </w:r>
      <w:bookmarkEnd w:id="7"/>
      <w:r w:rsidRPr="00EB2E7B">
        <w:rPr>
          <w:rFonts w:asciiTheme="minorHAnsi" w:hAnsiTheme="minorHAnsi" w:cstheme="minorHAnsi"/>
          <w:sz w:val="20"/>
          <w:szCs w:val="20"/>
        </w:rPr>
        <w:t xml:space="preserve"> </w:t>
      </w:r>
    </w:p>
    <w:p w14:paraId="59CC3CC0" w14:textId="2C7A08DA"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operatorów handlowych i handlowo-technicznych działających w imieniu podmiotów wymienionych w powyższych podpunktach od </w:t>
      </w:r>
      <w:r w:rsidR="00586849" w:rsidRPr="00EB2E7B">
        <w:rPr>
          <w:rFonts w:asciiTheme="minorHAnsi" w:hAnsiTheme="minorHAnsi" w:cstheme="minorHAnsi"/>
          <w:sz w:val="20"/>
          <w:szCs w:val="20"/>
        </w:rPr>
        <w:fldChar w:fldCharType="begin"/>
      </w:r>
      <w:r w:rsidR="00586849" w:rsidRPr="00EB2E7B">
        <w:rPr>
          <w:rFonts w:asciiTheme="minorHAnsi" w:hAnsiTheme="minorHAnsi" w:cstheme="minorHAnsi"/>
          <w:sz w:val="20"/>
          <w:szCs w:val="20"/>
        </w:rPr>
        <w:instrText xml:space="preserve"> REF _Ref75349160 \r \h </w:instrText>
      </w:r>
      <w:r w:rsidR="008937F1" w:rsidRPr="00EB2E7B">
        <w:rPr>
          <w:rFonts w:asciiTheme="minorHAnsi" w:hAnsiTheme="minorHAnsi" w:cstheme="minorHAnsi"/>
          <w:sz w:val="20"/>
          <w:szCs w:val="20"/>
        </w:rPr>
        <w:instrText xml:space="preserve"> \* MERGEFORMAT </w:instrText>
      </w:r>
      <w:r w:rsidR="00586849" w:rsidRPr="00EB2E7B">
        <w:rPr>
          <w:rFonts w:asciiTheme="minorHAnsi" w:hAnsiTheme="minorHAnsi" w:cstheme="minorHAnsi"/>
          <w:sz w:val="20"/>
          <w:szCs w:val="20"/>
        </w:rPr>
      </w:r>
      <w:r w:rsidR="0058684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58684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 </w:t>
      </w:r>
      <w:r w:rsidR="00586849" w:rsidRPr="00EB2E7B">
        <w:rPr>
          <w:rFonts w:asciiTheme="minorHAnsi" w:hAnsiTheme="minorHAnsi" w:cstheme="minorHAnsi"/>
          <w:sz w:val="20"/>
          <w:szCs w:val="20"/>
        </w:rPr>
        <w:fldChar w:fldCharType="begin"/>
      </w:r>
      <w:r w:rsidR="00586849" w:rsidRPr="00EB2E7B">
        <w:rPr>
          <w:rFonts w:asciiTheme="minorHAnsi" w:hAnsiTheme="minorHAnsi" w:cstheme="minorHAnsi"/>
          <w:sz w:val="20"/>
          <w:szCs w:val="20"/>
        </w:rPr>
        <w:instrText xml:space="preserve"> REF _Ref75349192 \r \h </w:instrText>
      </w:r>
      <w:r w:rsidR="008937F1" w:rsidRPr="00EB2E7B">
        <w:rPr>
          <w:rFonts w:asciiTheme="minorHAnsi" w:hAnsiTheme="minorHAnsi" w:cstheme="minorHAnsi"/>
          <w:sz w:val="20"/>
          <w:szCs w:val="20"/>
        </w:rPr>
        <w:instrText xml:space="preserve"> \* MERGEFORMAT </w:instrText>
      </w:r>
      <w:r w:rsidR="00586849" w:rsidRPr="00EB2E7B">
        <w:rPr>
          <w:rFonts w:asciiTheme="minorHAnsi" w:hAnsiTheme="minorHAnsi" w:cstheme="minorHAnsi"/>
          <w:sz w:val="20"/>
          <w:szCs w:val="20"/>
        </w:rPr>
      </w:r>
      <w:r w:rsidR="0058684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6)</w:t>
      </w:r>
      <w:r w:rsidR="0058684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0B436FA4" w14:textId="77777777" w:rsidR="00473957" w:rsidRPr="00EB2E7B" w:rsidRDefault="0077111A" w:rsidP="00CD6EA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Dodatkowo poniższe podmioty obowiązują również postanowienia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w:t>
      </w:r>
    </w:p>
    <w:p w14:paraId="351E8A8B" w14:textId="77777777" w:rsidR="00473957" w:rsidRPr="00EB2E7B" w:rsidRDefault="0077111A" w:rsidP="00BC00F0">
      <w:pPr>
        <w:pStyle w:val="1przed"/>
        <w:numPr>
          <w:ilvl w:val="0"/>
          <w:numId w:val="6"/>
        </w:numPr>
        <w:ind w:left="1701" w:hanging="567"/>
        <w:rPr>
          <w:rFonts w:asciiTheme="minorHAnsi" w:hAnsiTheme="minorHAnsi" w:cstheme="minorHAnsi"/>
          <w:sz w:val="20"/>
          <w:szCs w:val="20"/>
        </w:rPr>
      </w:pPr>
      <w:bookmarkStart w:id="8" w:name="_Ref75349100"/>
      <w:r w:rsidRPr="00EB2E7B">
        <w:rPr>
          <w:rFonts w:asciiTheme="minorHAnsi" w:hAnsiTheme="minorHAnsi" w:cstheme="minorHAnsi"/>
          <w:sz w:val="20"/>
          <w:szCs w:val="20"/>
        </w:rPr>
        <w:t>operatorzy systemów dystrybucyjnych,</w:t>
      </w:r>
      <w:bookmarkEnd w:id="8"/>
      <w:r w:rsidRPr="00EB2E7B">
        <w:rPr>
          <w:rFonts w:asciiTheme="minorHAnsi" w:hAnsiTheme="minorHAnsi" w:cstheme="minorHAnsi"/>
          <w:sz w:val="20"/>
          <w:szCs w:val="20"/>
        </w:rPr>
        <w:t xml:space="preserve"> </w:t>
      </w:r>
    </w:p>
    <w:p w14:paraId="6FB5D787" w14:textId="77777777"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podmioty korzystające z usług świadczonych przez OSP, </w:t>
      </w:r>
    </w:p>
    <w:p w14:paraId="2E1A3880" w14:textId="77777777"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wytwórcy posiadający jednostki wytwórcze, za których dysponowanie mocą, zgodnie z postanowieniami ustawy Prawo energetyczne, odpowiada OSP. </w:t>
      </w:r>
    </w:p>
    <w:p w14:paraId="3EF6540D" w14:textId="77777777" w:rsidR="00E12CF8"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Zgodnie z przepisami ustawy Prawo energetyczne oraz aktów wykonawczych do niej, operator systemu dystrybucyjnego jest odpowiedzi</w:t>
      </w:r>
      <w:r w:rsidR="00E12CF8" w:rsidRPr="00EB2E7B">
        <w:rPr>
          <w:rFonts w:asciiTheme="minorHAnsi" w:hAnsiTheme="minorHAnsi" w:cstheme="minorHAnsi"/>
          <w:sz w:val="20"/>
          <w:szCs w:val="20"/>
        </w:rPr>
        <w:t>alny za:</w:t>
      </w:r>
    </w:p>
    <w:p w14:paraId="0B03507E" w14:textId="4B69A58B" w:rsidR="00473957" w:rsidRPr="00EB2E7B" w:rsidRDefault="0077111A" w:rsidP="00BC00F0">
      <w:pPr>
        <w:pStyle w:val="1przed"/>
        <w:numPr>
          <w:ilvl w:val="0"/>
          <w:numId w:val="7"/>
        </w:numPr>
        <w:ind w:left="1701" w:hanging="567"/>
        <w:rPr>
          <w:rFonts w:asciiTheme="minorHAnsi" w:hAnsiTheme="minorHAnsi" w:cstheme="minorHAnsi"/>
          <w:sz w:val="20"/>
          <w:szCs w:val="20"/>
        </w:rPr>
      </w:pPr>
      <w:r w:rsidRPr="00EB2E7B">
        <w:rPr>
          <w:rFonts w:asciiTheme="minorHAnsi" w:hAnsiTheme="minorHAnsi" w:cstheme="minorHAnsi"/>
          <w:sz w:val="20"/>
          <w:szCs w:val="20"/>
        </w:rPr>
        <w:t>prowadzenie ruchu sieciowego w sieci dystrybucyjnej w sposób efektywny, z</w:t>
      </w:r>
      <w:r w:rsidR="005524DB" w:rsidRPr="00EB2E7B">
        <w:rPr>
          <w:rFonts w:asciiTheme="minorHAnsi" w:hAnsiTheme="minorHAnsi" w:cstheme="minorHAnsi"/>
          <w:sz w:val="20"/>
          <w:szCs w:val="20"/>
        </w:rPr>
        <w:t> </w:t>
      </w:r>
      <w:r w:rsidRPr="00EB2E7B">
        <w:rPr>
          <w:rFonts w:asciiTheme="minorHAnsi" w:hAnsiTheme="minorHAnsi" w:cstheme="minorHAnsi"/>
          <w:sz w:val="20"/>
          <w:szCs w:val="20"/>
        </w:rPr>
        <w:t>zachowaniem wymaganej niezawodności dostarczania energii elektrycznej i</w:t>
      </w:r>
      <w:r w:rsidR="005524DB" w:rsidRPr="00EB2E7B">
        <w:rPr>
          <w:rFonts w:asciiTheme="minorHAnsi" w:hAnsiTheme="minorHAnsi" w:cstheme="minorHAnsi"/>
          <w:sz w:val="20"/>
          <w:szCs w:val="20"/>
        </w:rPr>
        <w:t> </w:t>
      </w:r>
      <w:r w:rsidRPr="00EB2E7B">
        <w:rPr>
          <w:rFonts w:asciiTheme="minorHAnsi" w:hAnsiTheme="minorHAnsi" w:cstheme="minorHAnsi"/>
          <w:sz w:val="20"/>
          <w:szCs w:val="20"/>
        </w:rPr>
        <w:t>jakości jej dostarczania oraz we współpracy z operatorem systemu przesyłowego</w:t>
      </w:r>
      <w:r w:rsidR="00FF15DA" w:rsidRPr="00EB2E7B">
        <w:rPr>
          <w:rFonts w:asciiTheme="minorHAnsi" w:hAnsiTheme="minorHAnsi" w:cstheme="minorHAnsi"/>
          <w:sz w:val="20"/>
          <w:szCs w:val="20"/>
        </w:rPr>
        <w:t>,</w:t>
      </w:r>
    </w:p>
    <w:p w14:paraId="1933961E" w14:textId="09D33C39" w:rsidR="00BA7F93"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eksploatację, konserwację i remonty sieci dystrybucyjnej w sposób gwarantujący niezawodność funkcjonowania systemu dystrybucyjnego, </w:t>
      </w:r>
    </w:p>
    <w:p w14:paraId="6B12B40B" w14:textId="77777777" w:rsidR="00BA7F93"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zapewnienie rozbudowy sieci dystrybucyjnej, a tam gdzie ma to zastosowanie, rozbudowy połączeń międzysystemowych w obszarze swego działania, </w:t>
      </w:r>
    </w:p>
    <w:p w14:paraId="4791FE36" w14:textId="77777777" w:rsidR="00BA7F93"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współpracę z innymi operatorami systemów elektroenergetycznych lub przedsiębiorstwami energetycznymi w celu zapewnienia spójności działania systemów elektroenergetycznych i skoordynowania ich rozwoju, a także niezawodnego oraz efektywnego funkcjonowania tych systemów, </w:t>
      </w:r>
    </w:p>
    <w:p w14:paraId="46D22CF7" w14:textId="77777777" w:rsidR="00473957" w:rsidRPr="00EB2E7B" w:rsidRDefault="00BA7F93"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w:t>
      </w:r>
      <w:r w:rsidR="0077111A" w:rsidRPr="00EB2E7B">
        <w:rPr>
          <w:rFonts w:asciiTheme="minorHAnsi" w:hAnsiTheme="minorHAnsi" w:cstheme="minorHAnsi"/>
          <w:sz w:val="20"/>
          <w:szCs w:val="20"/>
        </w:rPr>
        <w:t xml:space="preserve">ysponowanie mocą jednostek wytwórczych przyłączonych do sieci dystrybucyjnej, z wyłączeniem jednostek wytwórczych o mocy osiągalnej równej 50 MW lub wyższej, przyłączonych do koordynowanej sieci 110 </w:t>
      </w:r>
      <w:proofErr w:type="spellStart"/>
      <w:r w:rsidR="0077111A" w:rsidRPr="00EB2E7B">
        <w:rPr>
          <w:rFonts w:asciiTheme="minorHAnsi" w:hAnsiTheme="minorHAnsi" w:cstheme="minorHAnsi"/>
          <w:sz w:val="20"/>
          <w:szCs w:val="20"/>
        </w:rPr>
        <w:t>kV</w:t>
      </w:r>
      <w:proofErr w:type="spellEnd"/>
      <w:r w:rsidR="0077111A" w:rsidRPr="00EB2E7B">
        <w:rPr>
          <w:rFonts w:asciiTheme="minorHAnsi" w:hAnsiTheme="minorHAnsi" w:cstheme="minorHAnsi"/>
          <w:sz w:val="20"/>
          <w:szCs w:val="20"/>
        </w:rPr>
        <w:t xml:space="preserve">, </w:t>
      </w:r>
    </w:p>
    <w:p w14:paraId="0813E749" w14:textId="77777777"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bilansowanie systemu, z wyjątkiem równoważenia bieżącego zapotrzebowania na energię elektryczną z dostawami tej energii, oraz zarządzanie ograniczeniami systemowymi,  </w:t>
      </w:r>
    </w:p>
    <w:p w14:paraId="7E9C900A" w14:textId="5E470126" w:rsidR="00074BCA"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zarządzanie przepływami energii elektrycznej w sieci dystrybucyjnej</w:t>
      </w:r>
      <w:r w:rsidR="007C7E60" w:rsidRPr="00EB2E7B">
        <w:rPr>
          <w:rFonts w:asciiTheme="minorHAnsi" w:hAnsiTheme="minorHAnsi" w:cstheme="minorHAnsi"/>
          <w:sz w:val="20"/>
          <w:szCs w:val="20"/>
        </w:rPr>
        <w:t>,</w:t>
      </w:r>
    </w:p>
    <w:p w14:paraId="574EDC7F" w14:textId="77777777"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zakup energii elektrycznej w celu pokrywania strat powstałych w sieci dystrybucyjnej podczas dystrybucji energii elektrycznej tą siecią oraz stosowanie przejrzystych i niedyskryminacyjnych procedur rynkowych przy zakupie tej energii, </w:t>
      </w:r>
    </w:p>
    <w:p w14:paraId="076DE090" w14:textId="77777777"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dostarczanie użytkownikom sieci i operatorom innych systemów elektroenergetycznych, z którymi system jest połączony, informacji o</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warunkach świadczenia usług dystrybucji energii elektrycznej oraz zarządzaniu siecią, niezbędnych do uzyskania dostępu do sieci dystrybucyjnej i korzystania z tej sieci, </w:t>
      </w:r>
    </w:p>
    <w:p w14:paraId="1D4CA16C" w14:textId="77777777" w:rsidR="00473957" w:rsidRPr="00EB2E7B" w:rsidRDefault="0077111A"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umożliwienie realizacji umów sprzedaży energii elektrycznej zawartych przez odbiorców przyłączonych do sieci poprzez: </w:t>
      </w:r>
    </w:p>
    <w:p w14:paraId="1FD96D0D" w14:textId="77777777" w:rsidR="00473957" w:rsidRPr="00EB2E7B" w:rsidRDefault="0077111A" w:rsidP="005524DB">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budowę i eksploatację infrastruktury technicznej i informatycznej służącej pozyskiwaniu i transmisji danych pomiarowych oraz zarządzaniu nimi, zapewniającej efektywną współpracę</w:t>
      </w:r>
      <w:r w:rsidR="0091089C" w:rsidRPr="00EB2E7B">
        <w:rPr>
          <w:rFonts w:asciiTheme="minorHAnsi" w:hAnsiTheme="minorHAnsi" w:cstheme="minorHAnsi"/>
          <w:sz w:val="20"/>
          <w:szCs w:val="20"/>
        </w:rPr>
        <w:t xml:space="preserve"> </w:t>
      </w:r>
      <w:r w:rsidRPr="00EB2E7B">
        <w:rPr>
          <w:rFonts w:asciiTheme="minorHAnsi" w:hAnsiTheme="minorHAnsi" w:cstheme="minorHAnsi"/>
          <w:sz w:val="20"/>
          <w:szCs w:val="20"/>
        </w:rPr>
        <w:t>z</w:t>
      </w:r>
      <w:r w:rsidR="0091089C"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innymi operatorami i przedsiębiorstwami energetycznymi, </w:t>
      </w:r>
    </w:p>
    <w:p w14:paraId="733943C4" w14:textId="4B16CF42" w:rsidR="00473957" w:rsidRPr="00EB2E7B" w:rsidRDefault="0077111A" w:rsidP="005524DB">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pozyskiwanie, przechowywanie, </w:t>
      </w:r>
      <w:r w:rsidR="00E12CF8" w:rsidRPr="00EB2E7B">
        <w:rPr>
          <w:rFonts w:asciiTheme="minorHAnsi" w:hAnsiTheme="minorHAnsi" w:cstheme="minorHAnsi"/>
          <w:sz w:val="20"/>
          <w:szCs w:val="20"/>
        </w:rPr>
        <w:t xml:space="preserve">przetwarzanie i udostępnianie, </w:t>
      </w:r>
      <w:r w:rsidRPr="00EB2E7B">
        <w:rPr>
          <w:rFonts w:asciiTheme="minorHAnsi" w:hAnsiTheme="minorHAnsi" w:cstheme="minorHAnsi"/>
          <w:sz w:val="20"/>
          <w:szCs w:val="20"/>
        </w:rPr>
        <w:t>w</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uzgodnionej pomiędzy uczestnikami rynku energii formie, danych pomiarowych dla energii elektrycznej pobranej przez odbiorców wybranym przez nich sprzedawcom i podmiotom odpowiedzialnym za bilansowanie oraz operatorowi systemu przesyłowego, </w:t>
      </w:r>
    </w:p>
    <w:p w14:paraId="76E9B14F" w14:textId="77777777" w:rsidR="00473957" w:rsidRPr="00EB2E7B" w:rsidRDefault="0077111A" w:rsidP="005524DB">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opracowywanie, aktualizację i udostępnianie odbiorcom oraz ich sprzedawcom ich standardowych profili zużycia, a także uwzględnianie zasad ich stosowania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7E440E52" w14:textId="77777777" w:rsidR="00473957" w:rsidRPr="00EB2E7B" w:rsidRDefault="0077111A" w:rsidP="005524DB">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udostępnianie danych dotyczących planowanego i rzeczywistego zużycia energii elektrycznej wyznaczonych na podstawie standardowych profili zużycia dla uzgodnionych okresów rozliczeniowych, </w:t>
      </w:r>
    </w:p>
    <w:p w14:paraId="13E64BEA" w14:textId="77777777" w:rsidR="00473957" w:rsidRPr="00EB2E7B" w:rsidRDefault="0077111A" w:rsidP="005524DB">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wdrażanie warunków i trybu zmiany sprzedawcy energii elektrycznej oraz ich uwzględnianie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04FB07AF" w14:textId="77777777" w:rsidR="00473957" w:rsidRPr="00EB2E7B" w:rsidRDefault="0077111A" w:rsidP="005524DB">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zamieszczanie na swoich stronach internetowych oraz udostępnianie do publicznego wglądu w swoich siedzibach: </w:t>
      </w:r>
    </w:p>
    <w:p w14:paraId="2D62767A" w14:textId="77777777" w:rsidR="00473957" w:rsidRPr="00EB2E7B" w:rsidRDefault="0077111A" w:rsidP="005524DB">
      <w:pPr>
        <w:pStyle w:val="i"/>
        <w:ind w:left="2835" w:hanging="567"/>
        <w:rPr>
          <w:rFonts w:asciiTheme="minorHAnsi" w:hAnsiTheme="minorHAnsi" w:cstheme="minorHAnsi"/>
          <w:sz w:val="20"/>
          <w:szCs w:val="20"/>
        </w:rPr>
      </w:pPr>
      <w:r w:rsidRPr="00EB2E7B">
        <w:rPr>
          <w:rFonts w:asciiTheme="minorHAnsi" w:hAnsiTheme="minorHAnsi" w:cstheme="minorHAnsi"/>
          <w:sz w:val="20"/>
          <w:szCs w:val="20"/>
        </w:rPr>
        <w:t xml:space="preserve">aktualnej listy sprzedawców energii elektrycznej, z którymi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zawarł umowy o świadczenie usług dystrybucji energii elektrycznej, </w:t>
      </w:r>
    </w:p>
    <w:p w14:paraId="3567FF1C" w14:textId="6503F8FA" w:rsidR="00473957" w:rsidRPr="00EB2E7B" w:rsidRDefault="0FF9BC18" w:rsidP="005524DB">
      <w:pPr>
        <w:pStyle w:val="i"/>
        <w:ind w:left="2835" w:hanging="567"/>
        <w:rPr>
          <w:rFonts w:asciiTheme="minorHAnsi" w:hAnsiTheme="minorHAnsi" w:cstheme="minorHAnsi"/>
          <w:sz w:val="20"/>
          <w:szCs w:val="20"/>
        </w:rPr>
      </w:pPr>
      <w:r w:rsidRPr="00EB2E7B">
        <w:rPr>
          <w:rFonts w:asciiTheme="minorHAnsi" w:hAnsiTheme="minorHAnsi" w:cstheme="minorHAnsi"/>
          <w:sz w:val="20"/>
          <w:szCs w:val="20"/>
        </w:rPr>
        <w:t xml:space="preserve">informacji o sprzedawcy z urzędu energii elektrycznej działającym na obszarze działania ACPRO, </w:t>
      </w:r>
    </w:p>
    <w:p w14:paraId="71B2B860" w14:textId="77777777" w:rsidR="00473957" w:rsidRPr="00EB2E7B" w:rsidRDefault="0077111A" w:rsidP="005524DB">
      <w:pPr>
        <w:pStyle w:val="i"/>
        <w:ind w:left="2835" w:hanging="567"/>
        <w:rPr>
          <w:rFonts w:asciiTheme="minorHAnsi" w:hAnsiTheme="minorHAnsi" w:cstheme="minorHAnsi"/>
          <w:sz w:val="20"/>
          <w:szCs w:val="20"/>
        </w:rPr>
      </w:pPr>
      <w:r w:rsidRPr="00EB2E7B">
        <w:rPr>
          <w:rFonts w:asciiTheme="minorHAnsi" w:hAnsiTheme="minorHAnsi" w:cstheme="minorHAnsi"/>
          <w:sz w:val="20"/>
          <w:szCs w:val="20"/>
        </w:rPr>
        <w:lastRenderedPageBreak/>
        <w:t>wzorców umów zawieranych z użytkownikami systemu, w</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szczególności wzorców umów zawieranych z odbiorcami końcowymi oraz ze sprzedawcami energii elektrycznej, </w:t>
      </w:r>
    </w:p>
    <w:p w14:paraId="3E667257" w14:textId="77777777" w:rsidR="00E954A0" w:rsidRDefault="00047FD1">
      <w:pPr>
        <w:pStyle w:val="i"/>
        <w:ind w:left="2835" w:hanging="567"/>
        <w:rPr>
          <w:rFonts w:asciiTheme="minorHAnsi" w:hAnsiTheme="minorHAnsi" w:cstheme="minorHAnsi"/>
          <w:sz w:val="20"/>
          <w:szCs w:val="20"/>
        </w:rPr>
      </w:pPr>
      <w:r>
        <w:rPr>
          <w:rFonts w:asciiTheme="minorHAnsi" w:hAnsiTheme="minorHAnsi" w:cstheme="minorHAnsi"/>
          <w:sz w:val="20"/>
          <w:szCs w:val="20"/>
        </w:rPr>
        <w:t>od dnia przystąpienia ACPRO do CSIRE — informacji o sprzedawcy rezerwowym działającym na obszarze działania ACPRO wraz z adresem strony internetowej tego sprzedawcy, na której opublikował on informację o cenie energii elektrycznej sprzedawanej w ramach sprzedaży rezerwowej i o warunkach jej świadczenia, a także wzór umowy sprzedaży rezerwowej albo umowy kompleksowej rezerwowej,</w:t>
      </w:r>
    </w:p>
    <w:p w14:paraId="70582798" w14:textId="77777777"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współpracę z operatorem systemu przesyłowego elektroenergetycznego przy opracowywaniu planów działania na wypadek zagrożenia wystąpienia awarii o znacznych rozmiarach w systemie elektroenergetycznym oraz odbudowy tego systemu po wystąpieniu awarii, </w:t>
      </w:r>
    </w:p>
    <w:p w14:paraId="756B6714" w14:textId="77777777" w:rsidR="003C789F"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planowanie rozwoju sieci dystrybucyjnej z uwzględnieniem przedsięwzięć związanych z efektywnością energetyczną, zarządzaniem popytem na energię elektryczną lub rozwojem mocy wytwórczych przyłączanych do sieci dystrybucyjnej,</w:t>
      </w:r>
    </w:p>
    <w:p w14:paraId="50DFC2B6" w14:textId="77777777" w:rsidR="004F1B8E" w:rsidRPr="00EB2E7B" w:rsidRDefault="003C789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opracowywanie normalnego układu pracy sieci dystrybucyjnej w porozumieniu z sąsiednimi operatorami systemów dystrybucyjnych elektroenergetycznych</w:t>
      </w:r>
      <w:r w:rsidR="004F1B8E" w:rsidRPr="00EB2E7B">
        <w:rPr>
          <w:rFonts w:asciiTheme="minorHAnsi" w:hAnsiTheme="minorHAnsi" w:cstheme="minorHAnsi"/>
          <w:sz w:val="20"/>
          <w:szCs w:val="20"/>
        </w:rPr>
        <w:t>,</w:t>
      </w:r>
    </w:p>
    <w:p w14:paraId="7E23F1A3" w14:textId="0D45232E" w:rsidR="00581663" w:rsidRPr="00EB2E7B" w:rsidRDefault="00B37883"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w:t>
      </w:r>
      <w:r w:rsidR="004F1B8E" w:rsidRPr="00EB2E7B">
        <w:rPr>
          <w:rFonts w:asciiTheme="minorHAnsi" w:hAnsiTheme="minorHAnsi" w:cstheme="minorHAnsi"/>
          <w:sz w:val="20"/>
          <w:szCs w:val="20"/>
        </w:rPr>
        <w:t>trzymanie odpowiedniego poziomu bezpieczeństwa pracy sieci dystrybucyjnej elektroenergetycznej</w:t>
      </w:r>
      <w:r w:rsidR="000405E7" w:rsidRPr="00EB2E7B">
        <w:rPr>
          <w:rFonts w:asciiTheme="minorHAnsi" w:hAnsiTheme="minorHAnsi" w:cstheme="minorHAnsi"/>
          <w:sz w:val="20"/>
          <w:szCs w:val="20"/>
        </w:rPr>
        <w:t xml:space="preserve"> oraz współpracę z operatorem systemu przesyłowego elektroenergetycznego</w:t>
      </w:r>
      <w:r w:rsidR="004F1B8E"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39E99C11" w14:textId="7FB5DF73" w:rsidR="00107F5C" w:rsidRPr="00EB2E7B" w:rsidRDefault="00107F5C"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prowadzenie rejestru magazynów energii elektrycznej przyłączonych do jego sieci, stanowiących jej część lub wchodzących w skład jednostki wytwórczej lub instalacji odbiorcy końcowego przyłączonej do jego sieci.</w:t>
      </w:r>
    </w:p>
    <w:p w14:paraId="1988023D" w14:textId="6620D286" w:rsidR="00581663" w:rsidRPr="00EB2E7B" w:rsidRDefault="00581663" w:rsidP="003C4AE2">
      <w:pPr>
        <w:pStyle w:val="Nagwek3"/>
        <w:ind w:left="1134" w:hanging="1134"/>
        <w:rPr>
          <w:rFonts w:asciiTheme="minorHAnsi" w:hAnsiTheme="minorHAnsi" w:cstheme="minorHAnsi"/>
          <w:sz w:val="20"/>
          <w:szCs w:val="20"/>
        </w:rPr>
      </w:pPr>
      <w:bookmarkStart w:id="9" w:name="_Ref99044945"/>
      <w:r w:rsidRPr="00EB2E7B">
        <w:rPr>
          <w:rFonts w:asciiTheme="minorHAnsi" w:hAnsiTheme="minorHAnsi" w:cstheme="minorHAnsi"/>
          <w:sz w:val="20"/>
          <w:szCs w:val="20"/>
        </w:rPr>
        <w:t>Zgodnie z przepisami ustawy o rynku mocy oraz RRM, ACPRO jest odpowiedzialny w szczególności za:</w:t>
      </w:r>
      <w:bookmarkEnd w:id="9"/>
    </w:p>
    <w:p w14:paraId="1439542C" w14:textId="38F162A5" w:rsidR="00581663" w:rsidRPr="00EB2E7B" w:rsidRDefault="00581663" w:rsidP="00EF3C5D">
      <w:pPr>
        <w:pStyle w:val="1przed"/>
        <w:numPr>
          <w:ilvl w:val="0"/>
          <w:numId w:val="14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udział w procesie certyfikacji ogólnej we współpracy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1F621EDF" w14:textId="6473776B" w:rsidR="00581663" w:rsidRPr="00EB2E7B" w:rsidRDefault="00581663" w:rsidP="00EF3C5D">
      <w:pPr>
        <w:pStyle w:val="1przed"/>
        <w:numPr>
          <w:ilvl w:val="0"/>
          <w:numId w:val="141"/>
        </w:numPr>
        <w:ind w:left="1701" w:hanging="567"/>
        <w:rPr>
          <w:rFonts w:asciiTheme="minorHAnsi" w:hAnsiTheme="minorHAnsi" w:cstheme="minorHAnsi"/>
          <w:sz w:val="20"/>
          <w:szCs w:val="20"/>
        </w:rPr>
      </w:pPr>
      <w:r w:rsidRPr="00EB2E7B">
        <w:rPr>
          <w:rFonts w:asciiTheme="minorHAnsi" w:hAnsiTheme="minorHAnsi" w:cstheme="minorHAnsi"/>
          <w:sz w:val="20"/>
          <w:szCs w:val="20"/>
        </w:rPr>
        <w:t>przekazywanie danych pomiarowych na potrzeby przeprowadz</w:t>
      </w:r>
      <w:r w:rsidR="00C85ED2" w:rsidRPr="00EB2E7B">
        <w:rPr>
          <w:rFonts w:asciiTheme="minorHAnsi" w:hAnsiTheme="minorHAnsi" w:cstheme="minorHAnsi"/>
          <w:sz w:val="20"/>
          <w:szCs w:val="20"/>
        </w:rPr>
        <w:t>a</w:t>
      </w:r>
      <w:r w:rsidRPr="00EB2E7B">
        <w:rPr>
          <w:rFonts w:asciiTheme="minorHAnsi" w:hAnsiTheme="minorHAnsi" w:cstheme="minorHAnsi"/>
          <w:sz w:val="20"/>
          <w:szCs w:val="20"/>
        </w:rPr>
        <w:t>nia testu zdolności redukcji zapotrzebowania,</w:t>
      </w:r>
    </w:p>
    <w:p w14:paraId="7D62A21D" w14:textId="2BF0CBCC" w:rsidR="00581663" w:rsidRPr="00EB2E7B" w:rsidRDefault="00581663" w:rsidP="00EF3C5D">
      <w:pPr>
        <w:pStyle w:val="1przed"/>
        <w:numPr>
          <w:ilvl w:val="0"/>
          <w:numId w:val="14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przekazywanie danych pomiarowych na potrzeby weryfikacji wykonywania obowiązku </w:t>
      </w:r>
      <w:proofErr w:type="spellStart"/>
      <w:r w:rsidRPr="00EB2E7B">
        <w:rPr>
          <w:rFonts w:asciiTheme="minorHAnsi" w:hAnsiTheme="minorHAnsi" w:cstheme="minorHAnsi"/>
          <w:sz w:val="20"/>
          <w:szCs w:val="20"/>
        </w:rPr>
        <w:t>mocowego</w:t>
      </w:r>
      <w:proofErr w:type="spellEnd"/>
      <w:r w:rsidRPr="00EB2E7B">
        <w:rPr>
          <w:rFonts w:asciiTheme="minorHAnsi" w:hAnsiTheme="minorHAnsi" w:cstheme="minorHAnsi"/>
          <w:sz w:val="20"/>
          <w:szCs w:val="20"/>
        </w:rPr>
        <w:t xml:space="preserve"> oraz procesu rozliczeń,</w:t>
      </w:r>
    </w:p>
    <w:p w14:paraId="4FC72D32" w14:textId="5CE7BD2F" w:rsidR="00581663" w:rsidRPr="00EB2E7B" w:rsidRDefault="00581663" w:rsidP="00EF3C5D">
      <w:pPr>
        <w:pStyle w:val="1przed"/>
        <w:numPr>
          <w:ilvl w:val="0"/>
          <w:numId w:val="14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przekazywanie danych pomiarowych na potrzeby weryfikacji oświadczenia potwierdzającego dostarczanie mocy do systemu przez jednostkę rynku mocy w procesie monitorowania realizacji umów </w:t>
      </w:r>
      <w:proofErr w:type="spellStart"/>
      <w:r w:rsidRPr="00EB2E7B">
        <w:rPr>
          <w:rFonts w:asciiTheme="minorHAnsi" w:hAnsiTheme="minorHAnsi" w:cstheme="minorHAnsi"/>
          <w:sz w:val="20"/>
          <w:szCs w:val="20"/>
        </w:rPr>
        <w:t>mocowych</w:t>
      </w:r>
      <w:proofErr w:type="spellEnd"/>
      <w:r w:rsidRPr="00EB2E7B">
        <w:rPr>
          <w:rFonts w:asciiTheme="minorHAnsi" w:hAnsiTheme="minorHAnsi" w:cstheme="minorHAnsi"/>
          <w:sz w:val="20"/>
          <w:szCs w:val="20"/>
        </w:rPr>
        <w:t>,</w:t>
      </w:r>
    </w:p>
    <w:p w14:paraId="41518B97" w14:textId="2299FE0A" w:rsidR="00581663" w:rsidRPr="00EB2E7B" w:rsidRDefault="00581663" w:rsidP="00EF3C5D">
      <w:pPr>
        <w:pStyle w:val="1przed"/>
        <w:numPr>
          <w:ilvl w:val="0"/>
          <w:numId w:val="14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współpracę z OSP i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ramach zastąpienia jednostek redukcji zapotrzebowania planowanych,</w:t>
      </w:r>
    </w:p>
    <w:p w14:paraId="08B3906A" w14:textId="2F11EB5F" w:rsidR="00581663" w:rsidRPr="00EB2E7B" w:rsidRDefault="00581663" w:rsidP="00EF3C5D">
      <w:pPr>
        <w:pStyle w:val="1przed"/>
        <w:numPr>
          <w:ilvl w:val="0"/>
          <w:numId w:val="141"/>
        </w:numPr>
        <w:ind w:left="1701" w:hanging="567"/>
        <w:rPr>
          <w:rFonts w:asciiTheme="minorHAnsi" w:hAnsiTheme="minorHAnsi" w:cstheme="minorHAnsi"/>
          <w:sz w:val="20"/>
          <w:szCs w:val="20"/>
        </w:rPr>
      </w:pPr>
      <w:r w:rsidRPr="00EB2E7B">
        <w:rPr>
          <w:rFonts w:asciiTheme="minorHAnsi" w:hAnsiTheme="minorHAnsi" w:cstheme="minorHAnsi"/>
          <w:sz w:val="20"/>
          <w:szCs w:val="20"/>
        </w:rPr>
        <w:t>przekazywanie informacji o ograniczeniach sieciowych w sieci ACPRO i</w:t>
      </w:r>
      <w:r w:rsidR="00993408" w:rsidRPr="00EB2E7B">
        <w:rPr>
          <w:rFonts w:asciiTheme="minorHAnsi" w:hAnsiTheme="minorHAnsi" w:cstheme="minorHAnsi"/>
          <w:sz w:val="20"/>
          <w:szCs w:val="20"/>
        </w:rPr>
        <w:t> </w:t>
      </w:r>
      <w:r w:rsidRPr="00EB2E7B">
        <w:rPr>
          <w:rFonts w:asciiTheme="minorHAnsi" w:hAnsiTheme="minorHAnsi" w:cstheme="minorHAnsi"/>
          <w:sz w:val="20"/>
          <w:szCs w:val="20"/>
        </w:rPr>
        <w:t>wydanych w związku z nimi poleceniach ograniczających możliwość dostarczania mocy do KSE.</w:t>
      </w:r>
    </w:p>
    <w:p w14:paraId="6DE09AE3" w14:textId="368BB133" w:rsidR="006A5323" w:rsidRPr="00EB2E7B" w:rsidRDefault="00B92C50"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 ponosi odpowiedzialność za skutki zaniechania działań lub skutki swoich działań zgodnie z obowiązującym prawem.</w:t>
      </w:r>
    </w:p>
    <w:p w14:paraId="6031ED24" w14:textId="57A59E4D" w:rsidR="00B92C50" w:rsidRPr="00EB2E7B" w:rsidRDefault="00B92C50"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ACPRO nie ponosi odpowiedzialności za skutki działań lub skutki zaniechania działań innych operatorów systemów elektroenergetycznych.</w:t>
      </w:r>
    </w:p>
    <w:p w14:paraId="272407F4" w14:textId="3A761C8C" w:rsidR="00473957" w:rsidRPr="00EB2E7B" w:rsidRDefault="0077111A" w:rsidP="003C4AE2">
      <w:pPr>
        <w:pStyle w:val="Nagwek3"/>
        <w:ind w:left="1134" w:hanging="1134"/>
        <w:rPr>
          <w:rFonts w:asciiTheme="minorHAnsi" w:hAnsiTheme="minorHAnsi" w:cstheme="minorHAnsi"/>
          <w:sz w:val="20"/>
          <w:szCs w:val="20"/>
        </w:rPr>
      </w:pP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przestaje obowiązywać podmioty z datą łącznego spełnienia następujących dwóch warunków: </w:t>
      </w:r>
    </w:p>
    <w:p w14:paraId="2C51D809" w14:textId="77777777" w:rsidR="00473957" w:rsidRPr="00EB2E7B" w:rsidRDefault="0077111A" w:rsidP="00EF3C5D">
      <w:pPr>
        <w:pStyle w:val="1przed"/>
        <w:numPr>
          <w:ilvl w:val="0"/>
          <w:numId w:val="9"/>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odłączenie podmiotu od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5AD99FAE" w14:textId="77777777" w:rsidR="00E12CF8"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rozwiązanie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umowy o świadczenie usług dystrybucji lub umowy kompleksowej. </w:t>
      </w:r>
    </w:p>
    <w:p w14:paraId="69CFC690" w14:textId="77777777" w:rsidR="00473957" w:rsidRPr="00EB2E7B" w:rsidRDefault="00232DA9"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udostępnia do wglądu </w:t>
      </w:r>
      <w:proofErr w:type="spellStart"/>
      <w:r w:rsidR="0077111A" w:rsidRPr="00EB2E7B">
        <w:rPr>
          <w:rFonts w:asciiTheme="minorHAnsi" w:hAnsiTheme="minorHAnsi" w:cstheme="minorHAnsi"/>
          <w:sz w:val="20"/>
          <w:szCs w:val="20"/>
        </w:rPr>
        <w:t>IRiESD</w:t>
      </w:r>
      <w:proofErr w:type="spellEnd"/>
      <w:r w:rsidR="0077111A" w:rsidRPr="00EB2E7B">
        <w:rPr>
          <w:rFonts w:asciiTheme="minorHAnsi" w:hAnsiTheme="minorHAnsi" w:cstheme="minorHAnsi"/>
          <w:sz w:val="20"/>
          <w:szCs w:val="20"/>
        </w:rPr>
        <w:t xml:space="preserve"> w swojej siedzibie oraz zamieszcza ją na swoich stronach internetowych. </w:t>
      </w:r>
    </w:p>
    <w:p w14:paraId="63017D7E" w14:textId="019CC1C2" w:rsidR="003302A7" w:rsidRPr="00EB2E7B" w:rsidRDefault="003302A7" w:rsidP="003C4AE2">
      <w:pPr>
        <w:pStyle w:val="Nagwek3"/>
        <w:ind w:left="1134" w:hanging="1134"/>
        <w:rPr>
          <w:rFonts w:asciiTheme="minorHAnsi" w:hAnsiTheme="minorHAnsi" w:cstheme="minorHAnsi"/>
          <w:sz w:val="20"/>
          <w:szCs w:val="20"/>
        </w:rPr>
      </w:pP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jak również wszelkie zmiany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podlegają zatwierdzeniu </w:t>
      </w:r>
      <w:r w:rsidR="00EC6198" w:rsidRPr="00EB2E7B">
        <w:rPr>
          <w:rFonts w:asciiTheme="minorHAnsi" w:hAnsiTheme="minorHAnsi" w:cstheme="minorHAnsi"/>
          <w:sz w:val="20"/>
          <w:szCs w:val="20"/>
        </w:rPr>
        <w:t xml:space="preserve">przez </w:t>
      </w:r>
      <w:r w:rsidRPr="00EB2E7B">
        <w:rPr>
          <w:rFonts w:asciiTheme="minorHAnsi" w:hAnsiTheme="minorHAnsi" w:cstheme="minorHAnsi"/>
          <w:sz w:val="20"/>
          <w:szCs w:val="20"/>
        </w:rPr>
        <w:t>odpowiednie organy ACPRO.</w:t>
      </w:r>
    </w:p>
    <w:p w14:paraId="476DC3D7" w14:textId="77777777" w:rsidR="003302A7" w:rsidRPr="00EB2E7B" w:rsidRDefault="003302A7"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zależności od potrzeb, ACPRO przeprowadza aktualizację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W</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szczególności aktualizacja jest dokonywana przy zmianie wymagań wynikających z przepisów prawnych. </w:t>
      </w:r>
    </w:p>
    <w:p w14:paraId="58FEEA97" w14:textId="77777777" w:rsidR="003302A7" w:rsidRPr="00EB2E7B" w:rsidRDefault="003302A7"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Zmiana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przeprowadzana jest poprzez wydanie nowej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albo poprzez wydanie Karty aktualizacji obowiązującej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467A9ABE" w14:textId="77777777" w:rsidR="003302A7" w:rsidRPr="00EB2E7B" w:rsidRDefault="003302A7"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Każda zmiana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jest poprzedzona procesem konsultacji z użytkownikami systemu.</w:t>
      </w:r>
    </w:p>
    <w:p w14:paraId="688F3679" w14:textId="4E7521A3" w:rsidR="00473957" w:rsidRPr="00EB2E7B" w:rsidRDefault="00EC6198"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zmiany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 trybie wydania Karty aktualizacji zawiera ona specyfikację zmian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6B7EEB46" w14:textId="77C535F4" w:rsidR="00473957" w:rsidRPr="00EB2E7B" w:rsidRDefault="00EC6198"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Karty aktualizacji stanowią integralną część </w:t>
      </w:r>
      <w:proofErr w:type="spellStart"/>
      <w:r w:rsidRPr="00EB2E7B">
        <w:rPr>
          <w:rFonts w:asciiTheme="minorHAnsi" w:hAnsiTheme="minorHAnsi" w:cstheme="minorHAnsi"/>
          <w:sz w:val="20"/>
          <w:szCs w:val="20"/>
        </w:rPr>
        <w:t>IRiESD</w:t>
      </w:r>
      <w:proofErr w:type="spellEnd"/>
      <w:r w:rsidR="0077111A" w:rsidRPr="00EB2E7B">
        <w:rPr>
          <w:rFonts w:asciiTheme="minorHAnsi" w:hAnsiTheme="minorHAnsi" w:cstheme="minorHAnsi"/>
          <w:sz w:val="20"/>
          <w:szCs w:val="20"/>
        </w:rPr>
        <w:t xml:space="preserve">. </w:t>
      </w:r>
    </w:p>
    <w:p w14:paraId="19F89F23" w14:textId="27FCFB07" w:rsidR="00473957" w:rsidRPr="00EB2E7B" w:rsidRDefault="00EC6198"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ACPRO opracowuje projekt nowej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albo projekt Karty aktualizacji i publikuje go na swojej stronie internetowej. Wraz z projektem nowej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albo projektem Karty aktualizacji, ACPRO publikuje na swojej stronie internetowej komunikat informujący o rozpoczęciu procesu konsultacji zmian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miejscu i sposobie nadsyłania uwag oraz terminie przewidzianym na konsultacje. Dodatkowo ACPRO publikuje dokument wyjaśniający, zawierający informację o przedmiocie i</w:t>
      </w:r>
      <w:r w:rsidR="00F022AC" w:rsidRPr="00EB2E7B">
        <w:rPr>
          <w:rFonts w:asciiTheme="minorHAnsi" w:hAnsiTheme="minorHAnsi" w:cstheme="minorHAnsi"/>
          <w:sz w:val="20"/>
          <w:szCs w:val="20"/>
        </w:rPr>
        <w:t> </w:t>
      </w:r>
      <w:r w:rsidRPr="00EB2E7B">
        <w:rPr>
          <w:rFonts w:asciiTheme="minorHAnsi" w:hAnsiTheme="minorHAnsi" w:cstheme="minorHAnsi"/>
          <w:sz w:val="20"/>
          <w:szCs w:val="20"/>
        </w:rPr>
        <w:t>przyczynie wprowadzanych zmian, a także o planowanym terminie ich wejścia w</w:t>
      </w:r>
      <w:r w:rsidR="00F022AC" w:rsidRPr="00EB2E7B">
        <w:rPr>
          <w:rFonts w:asciiTheme="minorHAnsi" w:hAnsiTheme="minorHAnsi" w:cstheme="minorHAnsi"/>
          <w:sz w:val="20"/>
          <w:szCs w:val="20"/>
        </w:rPr>
        <w:t> </w:t>
      </w:r>
      <w:r w:rsidRPr="00EB2E7B">
        <w:rPr>
          <w:rFonts w:asciiTheme="minorHAnsi" w:hAnsiTheme="minorHAnsi" w:cstheme="minorHAnsi"/>
          <w:sz w:val="20"/>
          <w:szCs w:val="20"/>
        </w:rPr>
        <w:t>życie</w:t>
      </w:r>
    </w:p>
    <w:p w14:paraId="71FDCC31" w14:textId="2F3706D9"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Okres </w:t>
      </w:r>
      <w:r w:rsidR="00107F5C" w:rsidRPr="00EB2E7B">
        <w:rPr>
          <w:rFonts w:asciiTheme="minorHAnsi" w:hAnsiTheme="minorHAnsi" w:cstheme="minorHAnsi"/>
          <w:sz w:val="20"/>
          <w:szCs w:val="20"/>
        </w:rPr>
        <w:t xml:space="preserve">przewidziany na konsultacje nie może być krótszy niż </w:t>
      </w:r>
      <w:r w:rsidR="00242995" w:rsidRPr="00EB2E7B">
        <w:rPr>
          <w:rFonts w:asciiTheme="minorHAnsi" w:hAnsiTheme="minorHAnsi" w:cstheme="minorHAnsi"/>
          <w:sz w:val="20"/>
          <w:szCs w:val="20"/>
        </w:rPr>
        <w:t>miesiąc</w:t>
      </w:r>
      <w:r w:rsidR="00107F5C" w:rsidRPr="00EB2E7B">
        <w:rPr>
          <w:rFonts w:asciiTheme="minorHAnsi" w:hAnsiTheme="minorHAnsi" w:cstheme="minorHAnsi"/>
          <w:sz w:val="20"/>
          <w:szCs w:val="20"/>
        </w:rPr>
        <w:t xml:space="preserve"> od </w:t>
      </w:r>
      <w:r w:rsidR="003015EA" w:rsidRPr="00EB2E7B">
        <w:rPr>
          <w:rFonts w:asciiTheme="minorHAnsi" w:hAnsiTheme="minorHAnsi" w:cstheme="minorHAnsi"/>
          <w:sz w:val="20"/>
          <w:szCs w:val="20"/>
        </w:rPr>
        <w:t>daty</w:t>
      </w:r>
      <w:r w:rsidR="00107F5C" w:rsidRPr="00EB2E7B">
        <w:rPr>
          <w:rFonts w:asciiTheme="minorHAnsi" w:hAnsiTheme="minorHAnsi" w:cstheme="minorHAnsi"/>
          <w:sz w:val="20"/>
          <w:szCs w:val="20"/>
        </w:rPr>
        <w:t xml:space="preserve"> opublikowania projektu nowej </w:t>
      </w:r>
      <w:proofErr w:type="spellStart"/>
      <w:r w:rsidR="00107F5C" w:rsidRPr="00EB2E7B">
        <w:rPr>
          <w:rFonts w:asciiTheme="minorHAnsi" w:hAnsiTheme="minorHAnsi" w:cstheme="minorHAnsi"/>
          <w:sz w:val="20"/>
          <w:szCs w:val="20"/>
        </w:rPr>
        <w:t>IRiESD</w:t>
      </w:r>
      <w:proofErr w:type="spellEnd"/>
      <w:r w:rsidR="00107F5C" w:rsidRPr="00EB2E7B">
        <w:rPr>
          <w:rFonts w:asciiTheme="minorHAnsi" w:hAnsiTheme="minorHAnsi" w:cstheme="minorHAnsi"/>
          <w:sz w:val="20"/>
          <w:szCs w:val="20"/>
        </w:rPr>
        <w:t xml:space="preserve"> albo projektu Karty aktualizacji</w:t>
      </w:r>
      <w:r w:rsidRPr="00EB2E7B">
        <w:rPr>
          <w:rFonts w:asciiTheme="minorHAnsi" w:hAnsiTheme="minorHAnsi" w:cstheme="minorHAnsi"/>
          <w:sz w:val="20"/>
          <w:szCs w:val="20"/>
        </w:rPr>
        <w:t xml:space="preserve">. </w:t>
      </w:r>
    </w:p>
    <w:p w14:paraId="308F62C5" w14:textId="310C2BC2" w:rsidR="00473957" w:rsidRPr="00EB2E7B" w:rsidRDefault="00EC6198"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 zakończeniu okresu przewidzianego na konsultacje zmian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ACPRO</w:t>
      </w:r>
      <w:r w:rsidR="0077111A" w:rsidRPr="00EB2E7B">
        <w:rPr>
          <w:rFonts w:asciiTheme="minorHAnsi" w:hAnsiTheme="minorHAnsi" w:cstheme="minorHAnsi"/>
          <w:sz w:val="20"/>
          <w:szCs w:val="20"/>
        </w:rPr>
        <w:t xml:space="preserve">: </w:t>
      </w:r>
    </w:p>
    <w:p w14:paraId="07CCF9DC" w14:textId="601B394C" w:rsidR="00473957" w:rsidRPr="00EB2E7B" w:rsidRDefault="00EC6198" w:rsidP="00191864">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t>dokonuje analizy otrzymanych uwag i propozycji</w:t>
      </w:r>
      <w:r w:rsidR="0077111A" w:rsidRPr="00EB2E7B">
        <w:rPr>
          <w:rFonts w:asciiTheme="minorHAnsi" w:hAnsiTheme="minorHAnsi" w:cstheme="minorHAnsi"/>
          <w:sz w:val="20"/>
          <w:szCs w:val="20"/>
        </w:rPr>
        <w:t xml:space="preserve">, </w:t>
      </w:r>
    </w:p>
    <w:p w14:paraId="27473614" w14:textId="6D0E7B5C" w:rsidR="00321E9C" w:rsidRPr="00EB2E7B" w:rsidRDefault="00321E9C" w:rsidP="00321E9C">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t>opracowuje raport z procesu konsultacji, zawierający zestawienie otrzymanych uwag lub propozycji, informacje o sposobie ich uwzględnienia oraz w uzasadnionych przypadkach, zestawienie własnych uzupełnień lub korekt, których potrzeba wprowadzenia wynika ze zgłoszonych uwag i</w:t>
      </w:r>
      <w:r w:rsidR="00A93641" w:rsidRPr="00EB2E7B">
        <w:rPr>
          <w:rFonts w:asciiTheme="minorHAnsi" w:hAnsiTheme="minorHAnsi" w:cstheme="minorHAnsi"/>
          <w:sz w:val="20"/>
          <w:szCs w:val="20"/>
        </w:rPr>
        <w:t> </w:t>
      </w:r>
      <w:r w:rsidRPr="00EB2E7B">
        <w:rPr>
          <w:rFonts w:asciiTheme="minorHAnsi" w:hAnsiTheme="minorHAnsi" w:cstheme="minorHAnsi"/>
          <w:sz w:val="20"/>
          <w:szCs w:val="20"/>
        </w:rPr>
        <w:t>propozycji użytkowników systemu lub jeżeli mają one charakter redakcyjny bądź pisarski, lub polegają na usunięciu oczywist</w:t>
      </w:r>
      <w:r w:rsidR="00784F29" w:rsidRPr="00EB2E7B">
        <w:rPr>
          <w:rFonts w:asciiTheme="minorHAnsi" w:hAnsiTheme="minorHAnsi" w:cstheme="minorHAnsi"/>
          <w:sz w:val="20"/>
          <w:szCs w:val="20"/>
        </w:rPr>
        <w:t>ej omyłki,</w:t>
      </w:r>
    </w:p>
    <w:p w14:paraId="5FD96B23" w14:textId="26A5F905" w:rsidR="00784F29" w:rsidRPr="00EB2E7B" w:rsidRDefault="00784F29" w:rsidP="00321E9C">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opracowuje nową wersję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albo Karty aktualizacji, uwzględniającą w uzasadnionym zakresie zgłoszone uwagi i propozycje oraz ewentualne korekty ACPRO, zgodnie z informacjami przedstawionymi w raporcie z procesu konsultacji,</w:t>
      </w:r>
    </w:p>
    <w:p w14:paraId="611051C9" w14:textId="77777777" w:rsidR="00C06E98" w:rsidRPr="00EB2E7B" w:rsidRDefault="00784F29" w:rsidP="00321E9C">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zatwierdza wewnętrznie ustaloną nową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lub Kartę aktualizacji</w:t>
      </w:r>
      <w:r w:rsidR="00C06E98" w:rsidRPr="00EB2E7B">
        <w:rPr>
          <w:rFonts w:asciiTheme="minorHAnsi" w:hAnsiTheme="minorHAnsi" w:cstheme="minorHAnsi"/>
          <w:sz w:val="20"/>
          <w:szCs w:val="20"/>
        </w:rPr>
        <w:t>,</w:t>
      </w:r>
    </w:p>
    <w:p w14:paraId="7EF77982" w14:textId="5F9F7207" w:rsidR="00784F29" w:rsidRPr="00EB2E7B" w:rsidRDefault="004B6D30" w:rsidP="00321E9C">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publikuje na swojej stronie internetowej dokument wyjaśniający i raport z procesu konsultacji.</w:t>
      </w:r>
    </w:p>
    <w:p w14:paraId="3C628B77" w14:textId="4DA49C90" w:rsidR="002F5C88" w:rsidRPr="00EB2E7B" w:rsidRDefault="0077111A" w:rsidP="003C4AE2">
      <w:pPr>
        <w:pStyle w:val="Nagwek3"/>
        <w:ind w:left="1134" w:hanging="1134"/>
        <w:rPr>
          <w:rFonts w:asciiTheme="minorHAnsi" w:hAnsiTheme="minorHAnsi" w:cstheme="minorHAnsi"/>
          <w:sz w:val="20"/>
          <w:szCs w:val="20"/>
        </w:rPr>
      </w:pP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r w:rsidR="004376DE" w:rsidRPr="00EB2E7B">
        <w:rPr>
          <w:rFonts w:asciiTheme="minorHAnsi" w:hAnsiTheme="minorHAnsi" w:cstheme="minorHAnsi"/>
          <w:sz w:val="20"/>
          <w:szCs w:val="20"/>
        </w:rPr>
        <w:t>albo Kartę aktualizacji oraz Raport z procesu konsultacji, zawierający zestawienie otrzymanych uwag oraz informacje o sposobie ich uwzględnienia, ACPRO publikuje na swojej stronie internetowej.</w:t>
      </w:r>
    </w:p>
    <w:p w14:paraId="73BAC2B1" w14:textId="29AD73B2" w:rsidR="004376DE" w:rsidRPr="00EB2E7B" w:rsidRDefault="004376DE" w:rsidP="00113925">
      <w:pPr>
        <w:ind w:left="1134" w:firstLine="0"/>
        <w:rPr>
          <w:rFonts w:asciiTheme="minorHAnsi" w:hAnsiTheme="minorHAnsi" w:cstheme="minorHAnsi"/>
          <w:sz w:val="20"/>
          <w:szCs w:val="20"/>
        </w:rPr>
      </w:pPr>
      <w:bookmarkStart w:id="10" w:name="_Hlk127279331"/>
      <w:r w:rsidRPr="00EB2E7B">
        <w:rPr>
          <w:rFonts w:asciiTheme="minorHAnsi" w:hAnsiTheme="minorHAnsi" w:cstheme="minorHAnsi"/>
          <w:sz w:val="20"/>
          <w:szCs w:val="20"/>
        </w:rPr>
        <w:t xml:space="preserve">Zatwierdzoną przez wewnętrzne organy ACPRO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albo Kartę aktualizacji wraz z tekstem ujednoliconym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a także informację o dacie wejścia w życie wprowadzanych zmian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ACPRO publikuje na swojej stronie internetowej oraz udostępnia do publicznego wglądu w swojej siedzibie</w:t>
      </w:r>
      <w:bookmarkEnd w:id="10"/>
      <w:r w:rsidRPr="00EB2E7B">
        <w:rPr>
          <w:rFonts w:asciiTheme="minorHAnsi" w:hAnsiTheme="minorHAnsi" w:cstheme="minorHAnsi"/>
          <w:sz w:val="20"/>
          <w:szCs w:val="20"/>
        </w:rPr>
        <w:t>.</w:t>
      </w:r>
    </w:p>
    <w:p w14:paraId="2B8D381D" w14:textId="77777777"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Użytkownicy systemu, w tym odbiorcy, których urządzenia, instalacje lub sieci są przyłączone do sieci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lub korzystający z usług świadczonych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są obowiązani stosować się do warunków i wymagań oraz procedur postępowania i</w:t>
      </w:r>
      <w:r w:rsidR="00A305A1" w:rsidRPr="00EB2E7B">
        <w:rPr>
          <w:rFonts w:asciiTheme="minorHAnsi" w:hAnsiTheme="minorHAnsi" w:cstheme="minorHAnsi"/>
          <w:sz w:val="20"/>
          <w:szCs w:val="20"/>
        </w:rPr>
        <w:t> </w:t>
      </w:r>
      <w:r w:rsidRPr="00EB2E7B">
        <w:rPr>
          <w:rFonts w:asciiTheme="minorHAnsi" w:hAnsiTheme="minorHAnsi" w:cstheme="minorHAnsi"/>
          <w:sz w:val="20"/>
          <w:szCs w:val="20"/>
        </w:rPr>
        <w:t xml:space="preserve">wymiany informacji określonych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stanowi część umowy o świadczenie usług dystrybucji energii elektrycznej lub umowy kompleksowej. </w:t>
      </w:r>
    </w:p>
    <w:p w14:paraId="63AE68E1" w14:textId="5D46DBFD"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Odpowiedzialność </w:t>
      </w:r>
      <w:r w:rsidR="00232DA9" w:rsidRPr="00EB2E7B">
        <w:rPr>
          <w:rFonts w:asciiTheme="minorHAnsi" w:hAnsiTheme="minorHAnsi" w:cstheme="minorHAnsi"/>
          <w:sz w:val="20"/>
          <w:szCs w:val="20"/>
        </w:rPr>
        <w:t>ACPRO</w:t>
      </w:r>
      <w:r w:rsidR="003302A7"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oraz sprzedawców za niewykonanie bądź niewłaściwe wykonanie obowiązków wynikających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jest określona w umow</w:t>
      </w:r>
      <w:r w:rsidR="00353443" w:rsidRPr="00EB2E7B">
        <w:rPr>
          <w:rFonts w:asciiTheme="minorHAnsi" w:hAnsiTheme="minorHAnsi" w:cstheme="minorHAnsi"/>
          <w:sz w:val="20"/>
          <w:szCs w:val="20"/>
        </w:rPr>
        <w:t>ie</w:t>
      </w:r>
      <w:r w:rsidR="0035350F" w:rsidRPr="00EB2E7B">
        <w:rPr>
          <w:rFonts w:asciiTheme="minorHAnsi" w:hAnsiTheme="minorHAnsi" w:cstheme="minorHAnsi"/>
          <w:sz w:val="20"/>
          <w:szCs w:val="20"/>
        </w:rPr>
        <w:t xml:space="preserve"> GUD</w:t>
      </w:r>
      <w:r w:rsidRPr="00EB2E7B">
        <w:rPr>
          <w:rFonts w:asciiTheme="minorHAnsi" w:hAnsiTheme="minorHAnsi" w:cstheme="minorHAnsi"/>
          <w:sz w:val="20"/>
          <w:szCs w:val="20"/>
        </w:rPr>
        <w:t xml:space="preserve">. </w:t>
      </w:r>
    </w:p>
    <w:p w14:paraId="34FA705B" w14:textId="2B6D3042"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Zakres przedmiotowy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pokrywa się częściowo z zakresem przedmiotowym</w:t>
      </w:r>
      <w:r w:rsidR="008B1AA6" w:rsidRPr="00EB2E7B">
        <w:rPr>
          <w:rFonts w:asciiTheme="minorHAnsi" w:hAnsiTheme="minorHAnsi" w:cstheme="minorHAnsi"/>
          <w:sz w:val="20"/>
          <w:szCs w:val="20"/>
        </w:rPr>
        <w:t xml:space="preserve"> regulowanym w</w:t>
      </w:r>
      <w:r w:rsidRPr="00EB2E7B">
        <w:rPr>
          <w:rFonts w:asciiTheme="minorHAnsi" w:hAnsiTheme="minorHAnsi" w:cstheme="minorHAnsi"/>
          <w:sz w:val="20"/>
          <w:szCs w:val="20"/>
        </w:rPr>
        <w:t xml:space="preserve"> TCM, stąd: </w:t>
      </w:r>
    </w:p>
    <w:p w14:paraId="06B52D20" w14:textId="77777777" w:rsidR="00473957" w:rsidRPr="00EB2E7B" w:rsidRDefault="0077111A" w:rsidP="00EF3C5D">
      <w:pPr>
        <w:pStyle w:val="1przed"/>
        <w:numPr>
          <w:ilvl w:val="0"/>
          <w:numId w:val="12"/>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przypadku, gdy wystąpi rozbieżność pomiędzy postanowieniami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a postanowieniami TCM,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niezwłocznie podejmie działania mające na celu wyeliminowania tych rozbieżności, a do tego czasu postanowienia TCM mają pierwszeństwo nad rozbieżnymi z nimi postanowieniami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6F90E4D6" w14:textId="31AC7492"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przypadku wydania przez Prezesa URE decyzji w sprawie przyznania, podmiotowi zobowiązanemu do stosowania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odstępstwa od stosowania przepisów Kodeksów sieci, nie stosuje się wobec tego podmiotu wymagań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sprzecznych z tą decyzją. </w:t>
      </w:r>
    </w:p>
    <w:p w14:paraId="24A7D922" w14:textId="7806B1CF" w:rsidR="00473957" w:rsidRPr="00015ECB" w:rsidRDefault="007E186D" w:rsidP="00015ECB">
      <w:pPr>
        <w:pStyle w:val="Nagwek3"/>
        <w:ind w:left="1134" w:hanging="1134"/>
        <w:rPr>
          <w:rFonts w:asciiTheme="minorHAnsi" w:hAnsiTheme="minorHAnsi" w:cstheme="minorHAnsi"/>
          <w:sz w:val="20"/>
          <w:szCs w:val="20"/>
        </w:rPr>
      </w:pPr>
      <w:r>
        <w:rPr>
          <w:rFonts w:asciiTheme="minorHAnsi" w:hAnsiTheme="minorHAnsi" w:cstheme="minorHAnsi"/>
          <w:sz w:val="20"/>
          <w:szCs w:val="20"/>
        </w:rPr>
        <w:t xml:space="preserve">(obowiązuje do dnia przystąpienia ACPRO do CSIRE) Postanowienia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 zakresie w jakim dotyczą Prosumenta wirtualnego wchodzą w życie z dniem 2 lipca 2024 r.</w:t>
      </w:r>
    </w:p>
    <w:p w14:paraId="5A16AE65"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 xml:space="preserve">(obowiązuje od dnia następującego po dniu przystąpienia ACPRO do CSIRE) Postanowienia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 zakresie w jakim dotyczą Prosumenta wirtualnego odnoszą się do Prosumenta wirtualnego, którego miejsce przyłączenia instalacji odnawialnego źródła energii oraz miejsce dostarczania energii elektrycznej znajdują się na obszarze działania ACPRO oraz innych operatorów systemów dystrybucyjnych.</w:t>
      </w:r>
    </w:p>
    <w:p w14:paraId="5641BCB3" w14:textId="77777777" w:rsidR="00473957" w:rsidRPr="00EB2E7B" w:rsidRDefault="0077111A">
      <w:pPr>
        <w:pStyle w:val="Nagwek2"/>
        <w:rPr>
          <w:rFonts w:asciiTheme="minorHAnsi" w:hAnsiTheme="minorHAnsi" w:cstheme="minorHAnsi"/>
          <w:bCs/>
          <w:sz w:val="20"/>
          <w:szCs w:val="20"/>
        </w:rPr>
      </w:pPr>
      <w:bookmarkStart w:id="11" w:name="_Toc180153712"/>
      <w:bookmarkStart w:id="12" w:name="_Toc239333305"/>
      <w:r w:rsidRPr="00EB2E7B">
        <w:rPr>
          <w:rFonts w:asciiTheme="minorHAnsi" w:hAnsiTheme="minorHAnsi" w:cstheme="minorHAnsi"/>
          <w:sz w:val="20"/>
          <w:szCs w:val="20"/>
        </w:rPr>
        <w:t>CHARAKTERYSTYKA KORZYSTANIA Z SIECI DYSTRYBUCYJNEJ</w:t>
      </w:r>
      <w:bookmarkEnd w:id="11"/>
      <w:bookmarkEnd w:id="12"/>
    </w:p>
    <w:p w14:paraId="32F10694" w14:textId="5A8A3F62"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Korzystanie </w:t>
      </w:r>
      <w:r w:rsidR="001D1331" w:rsidRPr="00EB2E7B">
        <w:rPr>
          <w:rFonts w:asciiTheme="minorHAnsi" w:hAnsiTheme="minorHAnsi" w:cstheme="minorHAnsi"/>
          <w:sz w:val="20"/>
          <w:szCs w:val="20"/>
        </w:rPr>
        <w:t>z sieci dystrybucyjnej umożliwia realizację dostaw energii elektrycznej w sposób ciągły i niezawodny, przy zachowaniu parametrów jakościowych energii elektrycznej i standardów jakościowych obsługi użytkowników systemu określonych w umowie dystrybucji albo w umowie kompleksowej</w:t>
      </w:r>
      <w:r w:rsidRPr="00EB2E7B">
        <w:rPr>
          <w:rFonts w:asciiTheme="minorHAnsi" w:hAnsiTheme="minorHAnsi" w:cstheme="minorHAnsi"/>
          <w:sz w:val="20"/>
          <w:szCs w:val="20"/>
        </w:rPr>
        <w:t xml:space="preserve">. </w:t>
      </w:r>
    </w:p>
    <w:p w14:paraId="639636A7" w14:textId="77777777" w:rsidR="002F5C88" w:rsidRPr="00EB2E7B" w:rsidRDefault="002F5C88"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ACPRO na zasadzie równoprawnego traktowania oraz na zasadach i w zakresie wynikającym z obowiązujących przepisów i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świadczy usługi dystrybucji, zapewniając wszystkim użytkownikom systemu, zaspokojenie uzasadnionych potrzeb w zakresie dostarczania energii elektrycznej. </w:t>
      </w:r>
    </w:p>
    <w:p w14:paraId="0AEDCA2C" w14:textId="32FE23FD" w:rsidR="00DC4433" w:rsidRPr="00015ECB" w:rsidRDefault="002F5C88" w:rsidP="00015EC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Świadczenie usługi dystrybucji odbywa się na podstawie umowy o świadczenie usług dystrybucji energii elektrycznej albo na podstawie umowy kompleksowej na zasadach i warunkach</w:t>
      </w:r>
      <w:r w:rsidR="002A0FF9"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określonych w ustawie Prawo Energetyczne, aktach wykonawczych do tej ustawy,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oraz taryfie ACPRO zatwierdzonej przez Prezesa URE.</w:t>
      </w:r>
    </w:p>
    <w:p w14:paraId="79D6DD0A" w14:textId="77777777" w:rsidR="00473957" w:rsidRPr="00EB2E7B" w:rsidRDefault="0077111A">
      <w:pPr>
        <w:pStyle w:val="Nagwek2"/>
        <w:rPr>
          <w:rFonts w:asciiTheme="minorHAnsi" w:hAnsiTheme="minorHAnsi" w:cstheme="minorHAnsi"/>
          <w:bCs/>
          <w:sz w:val="20"/>
          <w:szCs w:val="20"/>
        </w:rPr>
      </w:pPr>
      <w:bookmarkStart w:id="13" w:name="_Toc180153713"/>
      <w:bookmarkStart w:id="14" w:name="_Toc239333306"/>
      <w:r w:rsidRPr="00EB2E7B">
        <w:rPr>
          <w:rFonts w:asciiTheme="minorHAnsi" w:hAnsiTheme="minorHAnsi" w:cstheme="minorHAnsi"/>
          <w:sz w:val="20"/>
          <w:szCs w:val="20"/>
        </w:rPr>
        <w:t xml:space="preserve">CHARAKTERYSTYKA, ZAKRES ORAZ WARUNKI FORMALNOPRAWNE USŁUG DYSTRYBUCJI ŚWIADCZONYCH PRZEZ </w:t>
      </w:r>
      <w:r w:rsidR="003567CB" w:rsidRPr="00EB2E7B">
        <w:rPr>
          <w:rFonts w:asciiTheme="minorHAnsi" w:hAnsiTheme="minorHAnsi" w:cstheme="minorHAnsi"/>
          <w:sz w:val="20"/>
          <w:szCs w:val="20"/>
        </w:rPr>
        <w:t>ACPRO</w:t>
      </w:r>
      <w:bookmarkEnd w:id="13"/>
      <w:bookmarkEnd w:id="14"/>
    </w:p>
    <w:p w14:paraId="4333368F" w14:textId="64F90933" w:rsidR="00473957" w:rsidRPr="00EB2E7B" w:rsidRDefault="001D1331" w:rsidP="003C4AE2">
      <w:pPr>
        <w:pStyle w:val="Nagwek3"/>
        <w:ind w:left="1134" w:hanging="1134"/>
        <w:rPr>
          <w:rFonts w:asciiTheme="minorHAnsi" w:hAnsiTheme="minorHAnsi" w:cstheme="minorHAnsi"/>
          <w:sz w:val="20"/>
          <w:szCs w:val="20"/>
        </w:rPr>
      </w:pPr>
      <w:bookmarkStart w:id="15" w:name="_Ref172632306"/>
      <w:r w:rsidRPr="00EB2E7B">
        <w:rPr>
          <w:rFonts w:asciiTheme="minorHAnsi" w:hAnsiTheme="minorHAnsi" w:cstheme="minorHAnsi"/>
          <w:sz w:val="20"/>
          <w:szCs w:val="20"/>
        </w:rPr>
        <w:t>ACPRO świadczy usługi dystrybucji energii elektrycznej (dalej „usługi dystrybucji”) na warunkach określonych w:</w:t>
      </w:r>
      <w:bookmarkEnd w:id="15"/>
    </w:p>
    <w:p w14:paraId="1EC0D1EF" w14:textId="13D9B0D5" w:rsidR="00473957" w:rsidRPr="00EB2E7B" w:rsidRDefault="001D1331" w:rsidP="00EF3C5D">
      <w:pPr>
        <w:pStyle w:val="1przed"/>
        <w:numPr>
          <w:ilvl w:val="0"/>
          <w:numId w:val="18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koncesji, o której mowa w pkt </w:t>
      </w:r>
      <w:r w:rsidR="004178F3" w:rsidRPr="00EB2E7B">
        <w:rPr>
          <w:rFonts w:asciiTheme="minorHAnsi" w:hAnsiTheme="minorHAnsi" w:cstheme="minorHAnsi"/>
          <w:sz w:val="20"/>
          <w:szCs w:val="20"/>
        </w:rPr>
        <w:fldChar w:fldCharType="begin"/>
      </w:r>
      <w:r w:rsidR="004178F3" w:rsidRPr="00EB2E7B">
        <w:rPr>
          <w:rFonts w:asciiTheme="minorHAnsi" w:hAnsiTheme="minorHAnsi" w:cstheme="minorHAnsi"/>
          <w:sz w:val="20"/>
          <w:szCs w:val="20"/>
        </w:rPr>
        <w:instrText xml:space="preserve"> REF _Ref75768855 \r \h </w:instrText>
      </w:r>
      <w:r w:rsidR="00F705A5" w:rsidRPr="00EB2E7B">
        <w:rPr>
          <w:rFonts w:asciiTheme="minorHAnsi" w:hAnsiTheme="minorHAnsi" w:cstheme="minorHAnsi"/>
          <w:sz w:val="20"/>
          <w:szCs w:val="20"/>
        </w:rPr>
        <w:instrText xml:space="preserve"> \* MERGEFORMAT </w:instrText>
      </w:r>
      <w:r w:rsidR="004178F3" w:rsidRPr="00EB2E7B">
        <w:rPr>
          <w:rFonts w:asciiTheme="minorHAnsi" w:hAnsiTheme="minorHAnsi" w:cstheme="minorHAnsi"/>
          <w:sz w:val="20"/>
          <w:szCs w:val="20"/>
        </w:rPr>
      </w:r>
      <w:r w:rsidR="004178F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I.1.3</w:t>
      </w:r>
      <w:r w:rsidR="004178F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3D491E" w:rsidRPr="00EB2E7B">
        <w:rPr>
          <w:rFonts w:asciiTheme="minorHAnsi" w:hAnsiTheme="minorHAnsi" w:cstheme="minorHAnsi"/>
          <w:sz w:val="20"/>
          <w:szCs w:val="20"/>
        </w:rPr>
        <w:fldChar w:fldCharType="begin"/>
      </w:r>
      <w:r w:rsidR="003D491E" w:rsidRPr="00EB2E7B">
        <w:rPr>
          <w:rFonts w:asciiTheme="minorHAnsi" w:hAnsiTheme="minorHAnsi" w:cstheme="minorHAnsi"/>
          <w:sz w:val="20"/>
          <w:szCs w:val="20"/>
        </w:rPr>
        <w:instrText xml:space="preserve"> REF _Ref183596047 \r \h </w:instrText>
      </w:r>
      <w:r w:rsidR="00992D4D" w:rsidRPr="00EB2E7B">
        <w:rPr>
          <w:rFonts w:asciiTheme="minorHAnsi" w:hAnsiTheme="minorHAnsi" w:cstheme="minorHAnsi"/>
          <w:sz w:val="20"/>
          <w:szCs w:val="20"/>
        </w:rPr>
        <w:instrText xml:space="preserve"> \* MERGEFORMAT </w:instrText>
      </w:r>
      <w:r w:rsidR="003D491E" w:rsidRPr="00EB2E7B">
        <w:rPr>
          <w:rFonts w:asciiTheme="minorHAnsi" w:hAnsiTheme="minorHAnsi" w:cstheme="minorHAnsi"/>
          <w:sz w:val="20"/>
          <w:szCs w:val="20"/>
        </w:rPr>
      </w:r>
      <w:r w:rsidR="003D491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w:t>
      </w:r>
      <w:r w:rsidR="003D491E"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t>
      </w:r>
    </w:p>
    <w:p w14:paraId="66428A53" w14:textId="4FDA87A9" w:rsidR="00473957"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Taryfie ACPRO,</w:t>
      </w:r>
    </w:p>
    <w:p w14:paraId="14917459" w14:textId="5925018B" w:rsidR="001D1331"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umowie dystrybucji albo umowie kompleksowej,</w:t>
      </w:r>
    </w:p>
    <w:p w14:paraId="63E4BC9F" w14:textId="3E65727D" w:rsidR="001D1331" w:rsidRPr="00EB2E7B" w:rsidRDefault="001D1331" w:rsidP="00EF3C5D">
      <w:pPr>
        <w:pStyle w:val="1przed"/>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13FD08C4" w14:textId="5C4B30EB" w:rsidR="001D1331"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TCM,</w:t>
      </w:r>
    </w:p>
    <w:p w14:paraId="68C03852" w14:textId="1622311D" w:rsidR="001D1331"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procedurach określonych w wykonaniu obowiązków wynikających z przepisów wydanych na podstawie art. 59 i art. 61 rozporządzenia 2019/943.</w:t>
      </w:r>
    </w:p>
    <w:p w14:paraId="01AC3B89" w14:textId="673EB50E" w:rsidR="001D1331" w:rsidRPr="00EB2E7B" w:rsidRDefault="001D1331" w:rsidP="003C4AE2">
      <w:pPr>
        <w:ind w:left="1134" w:firstLine="0"/>
        <w:rPr>
          <w:rFonts w:asciiTheme="minorHAnsi" w:hAnsiTheme="minorHAnsi" w:cstheme="minorHAnsi"/>
          <w:sz w:val="20"/>
          <w:szCs w:val="20"/>
        </w:rPr>
      </w:pPr>
      <w:r w:rsidRPr="00EB2E7B">
        <w:rPr>
          <w:rFonts w:asciiTheme="minorHAnsi" w:hAnsiTheme="minorHAnsi" w:cstheme="minorHAnsi"/>
          <w:sz w:val="20"/>
          <w:szCs w:val="20"/>
        </w:rPr>
        <w:t>Usługa dystrybucji obejmująca korzystanie z krajowego systemu elektroenergetycznego polega na utrzymywaniu:</w:t>
      </w:r>
    </w:p>
    <w:p w14:paraId="43197067" w14:textId="77777777" w:rsidR="001D1331" w:rsidRPr="00EB2E7B" w:rsidRDefault="001D1331" w:rsidP="00EF3C5D">
      <w:pPr>
        <w:pStyle w:val="1przed"/>
        <w:numPr>
          <w:ilvl w:val="0"/>
          <w:numId w:val="182"/>
        </w:numPr>
        <w:ind w:left="1701" w:hanging="567"/>
        <w:rPr>
          <w:rFonts w:asciiTheme="minorHAnsi" w:hAnsiTheme="minorHAnsi" w:cstheme="minorHAnsi"/>
          <w:sz w:val="20"/>
          <w:szCs w:val="20"/>
        </w:rPr>
      </w:pPr>
      <w:r w:rsidRPr="00EB2E7B">
        <w:rPr>
          <w:rFonts w:asciiTheme="minorHAnsi" w:hAnsiTheme="minorHAnsi" w:cstheme="minorHAnsi"/>
          <w:sz w:val="20"/>
          <w:szCs w:val="20"/>
        </w:rPr>
        <w:t>niezawodności dostarczania i odbioru energii elektrycznej w krajowym systemie elektroenergetycznym,</w:t>
      </w:r>
    </w:p>
    <w:p w14:paraId="7D4B8ACD" w14:textId="21B1EF6E" w:rsidR="001D1331" w:rsidRPr="00EB2E7B" w:rsidRDefault="001D1331" w:rsidP="00EF3C5D">
      <w:pPr>
        <w:pStyle w:val="1przed"/>
        <w:numPr>
          <w:ilvl w:val="0"/>
          <w:numId w:val="182"/>
        </w:numPr>
        <w:ind w:left="1701" w:hanging="567"/>
        <w:rPr>
          <w:rFonts w:asciiTheme="minorHAnsi" w:hAnsiTheme="minorHAnsi" w:cstheme="minorHAnsi"/>
          <w:sz w:val="20"/>
          <w:szCs w:val="20"/>
        </w:rPr>
      </w:pPr>
      <w:r w:rsidRPr="00EB2E7B">
        <w:rPr>
          <w:rFonts w:asciiTheme="minorHAnsi" w:hAnsiTheme="minorHAnsi" w:cstheme="minorHAnsi"/>
          <w:sz w:val="20"/>
          <w:szCs w:val="20"/>
        </w:rPr>
        <w:t>parametrów jakościowych energii elektrycznej.</w:t>
      </w:r>
    </w:p>
    <w:p w14:paraId="21C17D74" w14:textId="4CE87035" w:rsidR="00473957" w:rsidRPr="00EB2E7B" w:rsidRDefault="00232DA9" w:rsidP="003C4AE2">
      <w:pPr>
        <w:pStyle w:val="Nagwek3"/>
        <w:ind w:left="1134" w:hanging="1134"/>
        <w:rPr>
          <w:rFonts w:asciiTheme="minorHAnsi" w:hAnsiTheme="minorHAnsi" w:cstheme="minorHAnsi"/>
          <w:sz w:val="20"/>
          <w:szCs w:val="20"/>
        </w:rPr>
      </w:pPr>
      <w:bookmarkStart w:id="16" w:name="_Ref99037752"/>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świadcząc usługę dystrybucji:</w:t>
      </w:r>
      <w:bookmarkEnd w:id="16"/>
      <w:r w:rsidR="0077111A" w:rsidRPr="00EB2E7B">
        <w:rPr>
          <w:rFonts w:asciiTheme="minorHAnsi" w:hAnsiTheme="minorHAnsi" w:cstheme="minorHAnsi"/>
          <w:sz w:val="20"/>
          <w:szCs w:val="20"/>
        </w:rPr>
        <w:t xml:space="preserve"> </w:t>
      </w:r>
    </w:p>
    <w:p w14:paraId="16F682D1" w14:textId="3A5B4F12" w:rsidR="00473957" w:rsidRPr="00EB2E7B" w:rsidRDefault="0077111A" w:rsidP="00EF3C5D">
      <w:pPr>
        <w:pStyle w:val="1przed"/>
        <w:numPr>
          <w:ilvl w:val="0"/>
          <w:numId w:val="39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dostarcza </w:t>
      </w:r>
      <w:r w:rsidR="00C61E18" w:rsidRPr="00EB2E7B">
        <w:rPr>
          <w:rFonts w:asciiTheme="minorHAnsi" w:hAnsiTheme="minorHAnsi" w:cstheme="minorHAnsi"/>
          <w:sz w:val="20"/>
          <w:szCs w:val="20"/>
        </w:rPr>
        <w:t>energię elektryczną zgodnie z obowiązującymi parametrami jakościowymi energii elektrycznej, o których mowa w pkt</w:t>
      </w:r>
      <w:r w:rsidR="68259479"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_Ref75433168 \r \h </w:instrText>
      </w:r>
      <w:r w:rsidR="00CD1EA1"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VIII.1</w:t>
      </w:r>
      <w:r w:rsidRPr="00EB2E7B">
        <w:rPr>
          <w:rFonts w:asciiTheme="minorHAnsi" w:hAnsiTheme="minorHAnsi" w:cstheme="minorHAnsi"/>
          <w:sz w:val="20"/>
          <w:szCs w:val="20"/>
        </w:rPr>
        <w:fldChar w:fldCharType="end"/>
      </w:r>
      <w:r w:rsidR="00C61E18" w:rsidRPr="00EB2E7B">
        <w:rPr>
          <w:rFonts w:asciiTheme="minorHAnsi" w:hAnsiTheme="minorHAnsi" w:cstheme="minorHAnsi"/>
          <w:sz w:val="20"/>
          <w:szCs w:val="20"/>
        </w:rPr>
        <w:t xml:space="preserve"> i na warunkach określonych w umowie dystrybucji albo w umowie kompleksowej,</w:t>
      </w:r>
      <w:r w:rsidRPr="00EB2E7B">
        <w:rPr>
          <w:rFonts w:asciiTheme="minorHAnsi" w:hAnsiTheme="minorHAnsi" w:cstheme="minorHAnsi"/>
          <w:sz w:val="20"/>
          <w:szCs w:val="20"/>
        </w:rPr>
        <w:t xml:space="preserve"> </w:t>
      </w:r>
    </w:p>
    <w:p w14:paraId="38CB6DF9" w14:textId="3E73CE76" w:rsidR="001D1331"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instaluje układy pomiarowo-rozliczeniowe w miejscu przygotowanym przez odbiorcę, wytwórcę lub posiadacza magazynu energii elektrycznej,</w:t>
      </w:r>
    </w:p>
    <w:p w14:paraId="6F46B80E" w14:textId="624019B1" w:rsidR="001D1331"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powiadamia odbiorców oraz posiadaczy magazynów energii elektrycznej o terminach i czasie planowanych przerw w dostarczaniu energii elektrycznej w wymaganej przepisami prawa formie,</w:t>
      </w:r>
    </w:p>
    <w:p w14:paraId="070FDFAF" w14:textId="4DA24207" w:rsidR="001D1331"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niezwłocznie przystępuje do likwidacji awarii i usuwania zakłóceń w dostarczaniu energii elektrycznej,</w:t>
      </w:r>
    </w:p>
    <w:p w14:paraId="0704F3F3" w14:textId="77777777" w:rsidR="001D1331"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udostępnia lub przekazuje odbiorcy, wytwórcy, posiadaczowi magazynu energii elektrycznej, sprzedawcy lub podmiotowi odpowiedzialnemu za bilansowanie, a także innym podmiotom upoważnionym przez odbiorcę, wytwórcę lub posiadacza magazynu energii elektrycznej dane pomiarowe na zasadach określonych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lub w WDB,</w:t>
      </w:r>
    </w:p>
    <w:p w14:paraId="7B3D5529" w14:textId="77777777" w:rsidR="00E954A0" w:rsidRDefault="00047FD1">
      <w:pPr>
        <w:pStyle w:val="1przed"/>
        <w:ind w:left="1701" w:hanging="567"/>
        <w:rPr>
          <w:rFonts w:asciiTheme="minorHAnsi" w:hAnsiTheme="minorHAnsi" w:cstheme="minorHAnsi"/>
          <w:sz w:val="20"/>
          <w:szCs w:val="20"/>
        </w:rPr>
      </w:pPr>
      <w:r>
        <w:rPr>
          <w:rFonts w:asciiTheme="minorHAnsi" w:hAnsiTheme="minorHAnsi" w:cstheme="minorHAnsi"/>
          <w:sz w:val="20"/>
          <w:szCs w:val="20"/>
        </w:rPr>
        <w:t xml:space="preserve">od dnia przystąpienia ACPRO do CSIRE — udostępnia lub przekazuje dane pomiarowe odbiorcy, wytwórcy, posiadaczowi magazynu energii elektrycznej, sprzedawcy, podmiotowi odpowiedzialnemu za bilansowanie, a także innym podmiotom upoważnionym przez </w:t>
      </w:r>
      <w:r>
        <w:rPr>
          <w:rFonts w:asciiTheme="minorHAnsi" w:hAnsiTheme="minorHAnsi" w:cstheme="minorHAnsi"/>
          <w:sz w:val="20"/>
          <w:szCs w:val="20"/>
        </w:rPr>
        <w:lastRenderedPageBreak/>
        <w:t>odbiorcę, wytwórcę energii elektrycznej lub posiadacza magazynu energii elektrycznej — za pośrednictwem CSIRE,</w:t>
      </w:r>
    </w:p>
    <w:p w14:paraId="640F6DAB" w14:textId="77777777" w:rsidR="001D1331"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umożliwia użytkownikowi systemu wgląd do wskazań układu pomiarowo-rozliczeniowego oraz dokumentów stanowiących podstawę do rozliczeń za dostarczoną lub odebraną energię elektryczną, a także do wyników kontroli prawidłowości wskazań tych układów,</w:t>
      </w:r>
    </w:p>
    <w:p w14:paraId="55AEE5CD" w14:textId="1AEB375E" w:rsidR="00473957" w:rsidRPr="00EB2E7B" w:rsidRDefault="001D1331"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informuje użytkownika systemu, którego urządzenia i instalacje są przyłączone do sieci ACPRO, albo właściciela urządzeń, instalacji lub sieci, w przypadku gdy użytkownik systemu jest przyłączony do urządzeń, instalacji lub sieci, na których nie wyznaczono operatora systemu elektroenergetycznego, o konieczności spełnienia wymagań technicznych w zakresie kompatybilności elektromagnetycznej zgodnych z najlepszą praktyką i aktualnym poziomem wiedzy technicznej, wynikającym w szczególności z Polskich Norm lub norm wydawanych przez reprezentatywne krajowe lub międzynarodowe organizacje,</w:t>
      </w:r>
    </w:p>
    <w:p w14:paraId="64B4F316" w14:textId="77777777" w:rsidR="00693FE2" w:rsidRPr="00EB2E7B" w:rsidRDefault="3FE7975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opracowuje, aktualizuje i udostępnia odbiorcom standardowe profile zużycia energii elektrycznej, z wyłączeniem odbiorców, u których zainstalowano licznik zdalnego odczytu,</w:t>
      </w:r>
    </w:p>
    <w:p w14:paraId="7AF8F2C3" w14:textId="77777777" w:rsidR="00E954A0" w:rsidRDefault="00047FD1">
      <w:pPr>
        <w:pStyle w:val="1przed"/>
        <w:ind w:left="1701" w:hanging="567"/>
        <w:rPr>
          <w:rFonts w:asciiTheme="minorHAnsi" w:hAnsiTheme="minorHAnsi" w:cstheme="minorHAnsi"/>
          <w:sz w:val="20"/>
          <w:szCs w:val="20"/>
        </w:rPr>
      </w:pPr>
      <w:r>
        <w:rPr>
          <w:rFonts w:asciiTheme="minorHAnsi" w:hAnsiTheme="minorHAnsi" w:cstheme="minorHAnsi"/>
          <w:sz w:val="20"/>
          <w:szCs w:val="20"/>
        </w:rPr>
        <w:t xml:space="preserve">od dnia przystąpienia ACPRO do CSIRE — opracowuje i aktualizuje oraz przekazuje drogą elektroniczną OIRE standardowe profile zużycia energii elektrycznej, z wyłączeniem odbiorców, u których zainstalowano LZO, a także uwzględnia zasady ich stosowania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492BAD64" w14:textId="46A8FA36" w:rsidR="001D1331" w:rsidRPr="00EB2E7B" w:rsidRDefault="00693FE2"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opracowuje i wdraża procedury umożliwiające zmianę sprzedawcy oraz uwzględnia je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3B862032" w14:textId="77777777" w:rsidR="00E954A0" w:rsidRDefault="00047FD1">
      <w:pPr>
        <w:pStyle w:val="1przed"/>
        <w:ind w:left="1701" w:hanging="567"/>
        <w:rPr>
          <w:rFonts w:asciiTheme="minorHAnsi" w:hAnsiTheme="minorHAnsi" w:cstheme="minorHAnsi"/>
          <w:sz w:val="20"/>
          <w:szCs w:val="20"/>
        </w:rPr>
      </w:pPr>
      <w:r>
        <w:rPr>
          <w:rFonts w:asciiTheme="minorHAnsi" w:hAnsiTheme="minorHAnsi" w:cstheme="minorHAnsi"/>
          <w:sz w:val="20"/>
          <w:szCs w:val="20"/>
        </w:rPr>
        <w:t>od dnia przystąpienia ACPRO do CSIRE — pozyskuje, przetwarza i przekazuje informacje rynku energii do CSIRE,</w:t>
      </w:r>
    </w:p>
    <w:p w14:paraId="31B2CE41" w14:textId="77777777" w:rsidR="00D132FA"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Przyłączenie podmiotu do sieci następuje na podstawie umowy o przyłączenie do sieci i po spełnieniu </w:t>
      </w:r>
      <w:r w:rsidR="00D132FA" w:rsidRPr="00EB2E7B">
        <w:rPr>
          <w:rFonts w:asciiTheme="minorHAnsi" w:hAnsiTheme="minorHAnsi" w:cstheme="minorHAnsi"/>
          <w:sz w:val="20"/>
          <w:szCs w:val="20"/>
        </w:rPr>
        <w:t xml:space="preserve">warunków przyłączenia do sieci. </w:t>
      </w:r>
    </w:p>
    <w:p w14:paraId="339F52DB" w14:textId="77777777" w:rsidR="00473957" w:rsidRPr="00EB2E7B" w:rsidRDefault="0077111A" w:rsidP="00DC4433">
      <w:pPr>
        <w:ind w:left="1134"/>
        <w:rPr>
          <w:rFonts w:asciiTheme="minorHAnsi" w:hAnsiTheme="minorHAnsi" w:cstheme="minorHAnsi"/>
          <w:sz w:val="20"/>
          <w:szCs w:val="20"/>
        </w:rPr>
      </w:pPr>
      <w:r w:rsidRPr="00EB2E7B">
        <w:rPr>
          <w:rFonts w:asciiTheme="minorHAnsi" w:hAnsiTheme="minorHAnsi" w:cstheme="minorHAnsi"/>
          <w:sz w:val="20"/>
          <w:szCs w:val="20"/>
        </w:rPr>
        <w:t xml:space="preserve">Przyłączenie mikroinstalacji do sieci może nastąpić na podstawie zgłoszenia albo na podstawie umowy o przyłączenie i po spełnieniu warunków przyłączenia do sieci, zgodnie z Ustawą OZE. </w:t>
      </w:r>
    </w:p>
    <w:p w14:paraId="023A5ABA" w14:textId="4BA56153" w:rsidR="00D132FA" w:rsidRPr="00EB2E7B" w:rsidRDefault="00232DA9" w:rsidP="003C4AE2">
      <w:pPr>
        <w:pStyle w:val="Nagwek3"/>
        <w:ind w:left="1134" w:hanging="1134"/>
        <w:rPr>
          <w:rFonts w:asciiTheme="minorHAnsi" w:hAnsiTheme="minorHAnsi" w:cstheme="minorHAnsi"/>
          <w:sz w:val="20"/>
          <w:szCs w:val="20"/>
        </w:rPr>
      </w:pPr>
      <w:bookmarkStart w:id="17" w:name="_Ref75424979"/>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r w:rsidR="00693FE2" w:rsidRPr="00EB2E7B">
        <w:rPr>
          <w:rFonts w:asciiTheme="minorHAnsi" w:hAnsiTheme="minorHAnsi" w:cstheme="minorHAnsi"/>
          <w:sz w:val="20"/>
          <w:szCs w:val="20"/>
        </w:rPr>
        <w:t>określa odpowiednio wzór wniosku o określenie warunków przyłączenia oraz wzór zgłoszenia przyłączenia mikroinstalacji i udostępnia te wzory na swojej stronie internetowej w wersji umożliwiającej ich uzupełnienie w postaci elektronicznej</w:t>
      </w:r>
      <w:r w:rsidR="0077111A" w:rsidRPr="00EB2E7B">
        <w:rPr>
          <w:rFonts w:asciiTheme="minorHAnsi" w:hAnsiTheme="minorHAnsi" w:cstheme="minorHAnsi"/>
          <w:sz w:val="20"/>
          <w:szCs w:val="20"/>
        </w:rPr>
        <w:t>.</w:t>
      </w:r>
      <w:bookmarkEnd w:id="17"/>
    </w:p>
    <w:p w14:paraId="529C9AE7" w14:textId="771DED94" w:rsidR="00693FE2" w:rsidRPr="00EB2E7B" w:rsidRDefault="00693FE2" w:rsidP="00DC4433">
      <w:pPr>
        <w:ind w:left="1134"/>
        <w:rPr>
          <w:rFonts w:asciiTheme="minorHAnsi" w:hAnsiTheme="minorHAnsi" w:cstheme="minorHAnsi"/>
          <w:sz w:val="20"/>
          <w:szCs w:val="20"/>
        </w:rPr>
      </w:pPr>
      <w:r w:rsidRPr="00EB2E7B">
        <w:rPr>
          <w:rFonts w:asciiTheme="minorHAnsi" w:hAnsiTheme="minorHAnsi" w:cstheme="minorHAnsi"/>
          <w:sz w:val="20"/>
          <w:szCs w:val="20"/>
        </w:rPr>
        <w:t xml:space="preserve">Wzór wniosku o określenie warunków przyłączenia do sieci dystrybucyjnej dla podmiotu zaliczanego do grupy przyłączeniowej </w:t>
      </w:r>
      <w:r w:rsidR="003D1B6D" w:rsidRPr="00EB2E7B">
        <w:rPr>
          <w:rFonts w:asciiTheme="minorHAnsi" w:hAnsiTheme="minorHAnsi" w:cstheme="minorHAnsi"/>
          <w:sz w:val="20"/>
          <w:szCs w:val="20"/>
        </w:rPr>
        <w:t xml:space="preserve">I lub </w:t>
      </w:r>
      <w:r w:rsidRPr="00EB2E7B">
        <w:rPr>
          <w:rFonts w:asciiTheme="minorHAnsi" w:hAnsiTheme="minorHAnsi" w:cstheme="minorHAnsi"/>
          <w:sz w:val="20"/>
          <w:szCs w:val="20"/>
        </w:rPr>
        <w:t>II określa co najmniej taki zakres informacji, jaki zawiera wzór wniosku ustalony przez OSP.</w:t>
      </w:r>
    </w:p>
    <w:p w14:paraId="13B749C5" w14:textId="4287B522"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techniczne w zakresie przyłączania do sieci </w:t>
      </w:r>
      <w:r w:rsidR="001D1331" w:rsidRPr="00EB2E7B">
        <w:rPr>
          <w:rFonts w:asciiTheme="minorHAnsi" w:hAnsiTheme="minorHAnsi" w:cstheme="minorHAnsi"/>
          <w:sz w:val="20"/>
          <w:szCs w:val="20"/>
        </w:rPr>
        <w:t>jednostek</w:t>
      </w:r>
      <w:r w:rsidRPr="00EB2E7B">
        <w:rPr>
          <w:rFonts w:asciiTheme="minorHAnsi" w:hAnsiTheme="minorHAnsi" w:cstheme="minorHAnsi"/>
          <w:sz w:val="20"/>
          <w:szCs w:val="20"/>
        </w:rPr>
        <w:t xml:space="preserve"> wytwórczych, </w:t>
      </w:r>
      <w:r w:rsidR="005422AC" w:rsidRPr="00EB2E7B">
        <w:rPr>
          <w:rFonts w:asciiTheme="minorHAnsi" w:hAnsiTheme="minorHAnsi" w:cstheme="minorHAnsi"/>
          <w:sz w:val="20"/>
          <w:szCs w:val="20"/>
        </w:rPr>
        <w:t xml:space="preserve">magazynów energii elektrycznej, </w:t>
      </w:r>
      <w:r w:rsidRPr="00EB2E7B">
        <w:rPr>
          <w:rFonts w:asciiTheme="minorHAnsi" w:hAnsiTheme="minorHAnsi" w:cstheme="minorHAnsi"/>
          <w:sz w:val="20"/>
          <w:szCs w:val="20"/>
        </w:rPr>
        <w:t xml:space="preserve">sieci innych operatorów elektroenergetycznych oraz urządzeń odbiorców określone są w dalszej części instrukcji. </w:t>
      </w:r>
    </w:p>
    <w:p w14:paraId="7995C6E2" w14:textId="6A5F3FFA"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Pkt </w:t>
      </w:r>
      <w:r w:rsidR="00A305A1" w:rsidRPr="00EB2E7B">
        <w:rPr>
          <w:rFonts w:asciiTheme="minorHAnsi" w:hAnsiTheme="minorHAnsi" w:cstheme="minorHAnsi"/>
          <w:sz w:val="20"/>
          <w:szCs w:val="20"/>
        </w:rPr>
        <w:fldChar w:fldCharType="begin"/>
      </w:r>
      <w:r w:rsidR="00A305A1" w:rsidRPr="00EB2E7B">
        <w:rPr>
          <w:rFonts w:asciiTheme="minorHAnsi" w:hAnsiTheme="minorHAnsi" w:cstheme="minorHAnsi"/>
          <w:sz w:val="20"/>
          <w:szCs w:val="20"/>
        </w:rPr>
        <w:instrText xml:space="preserve"> REF _Ref75424979 \r \h </w:instrText>
      </w:r>
      <w:r w:rsidR="005D4D06" w:rsidRPr="00EB2E7B">
        <w:rPr>
          <w:rFonts w:asciiTheme="minorHAnsi" w:hAnsiTheme="minorHAnsi" w:cstheme="minorHAnsi"/>
          <w:sz w:val="20"/>
          <w:szCs w:val="20"/>
        </w:rPr>
        <w:instrText xml:space="preserve"> \* MERGEFORMAT </w:instrText>
      </w:r>
      <w:r w:rsidR="00A305A1" w:rsidRPr="00EB2E7B">
        <w:rPr>
          <w:rFonts w:asciiTheme="minorHAnsi" w:hAnsiTheme="minorHAnsi" w:cstheme="minorHAnsi"/>
          <w:sz w:val="20"/>
          <w:szCs w:val="20"/>
        </w:rPr>
      </w:r>
      <w:r w:rsidR="00A305A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I.3.4</w:t>
      </w:r>
      <w:r w:rsidR="00A305A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693FE2" w:rsidRPr="00EB2E7B">
        <w:rPr>
          <w:rFonts w:asciiTheme="minorHAnsi" w:hAnsiTheme="minorHAnsi" w:cstheme="minorHAnsi"/>
          <w:sz w:val="20"/>
          <w:szCs w:val="20"/>
        </w:rPr>
        <w:t>stosuje się odpowiednio w przypadku zwiększenia przez podmiot przyłączany lub przyłączony do sieci, zapotrzebowania na moc przyłączeniową lub zmiany dotychczasowych warunków i parametrów technicznych pracy urządzeń, instalacji i sieci tych podmiotów</w:t>
      </w:r>
      <w:r w:rsidRPr="00EB2E7B">
        <w:rPr>
          <w:rFonts w:asciiTheme="minorHAnsi" w:hAnsiTheme="minorHAnsi" w:cstheme="minorHAnsi"/>
          <w:sz w:val="20"/>
          <w:szCs w:val="20"/>
        </w:rPr>
        <w:t xml:space="preserve">. </w:t>
      </w:r>
    </w:p>
    <w:p w14:paraId="01FBC56A" w14:textId="6C8FCD76"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Warunki przyłączenia są przekazywane wnioskodawcy wraz z projektem umowy o</w:t>
      </w:r>
      <w:r w:rsidR="00DC4433" w:rsidRPr="00EB2E7B">
        <w:rPr>
          <w:rFonts w:asciiTheme="minorHAnsi" w:hAnsiTheme="minorHAnsi" w:cstheme="minorHAnsi"/>
          <w:sz w:val="20"/>
          <w:szCs w:val="20"/>
        </w:rPr>
        <w:t> </w:t>
      </w:r>
      <w:r w:rsidRPr="00EB2E7B">
        <w:rPr>
          <w:rFonts w:asciiTheme="minorHAnsi" w:hAnsiTheme="minorHAnsi" w:cstheme="minorHAnsi"/>
          <w:sz w:val="20"/>
          <w:szCs w:val="20"/>
        </w:rPr>
        <w:t xml:space="preserve">przyłączenie do sieci. </w:t>
      </w:r>
    </w:p>
    <w:p w14:paraId="32D129FB" w14:textId="288BAD44"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Warunki przyłączenia są ważne dwa lata od dnia ich doręczenia. W okresie ważności warunki przyłączenia stanowią warunkowe zobowiązanie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do zawarcia umowy o przyłączenie do sieci elektroenergetycznej. </w:t>
      </w:r>
    </w:p>
    <w:p w14:paraId="1182CB6B" w14:textId="487CAF4D" w:rsidR="005422AC" w:rsidRPr="00EB2E7B" w:rsidRDefault="005422AC"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Zapisy pkt </w:t>
      </w:r>
      <w:r w:rsidR="00C74F8F" w:rsidRPr="00EB2E7B">
        <w:rPr>
          <w:rFonts w:asciiTheme="minorHAnsi" w:hAnsiTheme="minorHAnsi" w:cstheme="minorHAnsi"/>
          <w:sz w:val="20"/>
          <w:szCs w:val="20"/>
        </w:rPr>
        <w:fldChar w:fldCharType="begin"/>
      </w:r>
      <w:r w:rsidR="00C74F8F" w:rsidRPr="00EB2E7B">
        <w:rPr>
          <w:rFonts w:asciiTheme="minorHAnsi" w:hAnsiTheme="minorHAnsi" w:cstheme="minorHAnsi"/>
          <w:sz w:val="20"/>
          <w:szCs w:val="20"/>
        </w:rPr>
        <w:instrText xml:space="preserve"> REF _Ref172632306 \r \h </w:instrText>
      </w:r>
      <w:r w:rsidR="00A750F1" w:rsidRPr="00EB2E7B">
        <w:rPr>
          <w:rFonts w:asciiTheme="minorHAnsi" w:hAnsiTheme="minorHAnsi" w:cstheme="minorHAnsi"/>
          <w:sz w:val="20"/>
          <w:szCs w:val="20"/>
        </w:rPr>
        <w:instrText xml:space="preserve"> \* MERGEFORMAT </w:instrText>
      </w:r>
      <w:r w:rsidR="00C74F8F" w:rsidRPr="00EB2E7B">
        <w:rPr>
          <w:rFonts w:asciiTheme="minorHAnsi" w:hAnsiTheme="minorHAnsi" w:cstheme="minorHAnsi"/>
          <w:sz w:val="20"/>
          <w:szCs w:val="20"/>
        </w:rPr>
      </w:r>
      <w:r w:rsidR="00C74F8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I.3.1</w:t>
      </w:r>
      <w:r w:rsidR="00C74F8F"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oraz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_Ref99037752 \r \h </w:instrText>
      </w:r>
      <w:r w:rsidR="00A750F1"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I.3.2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dotyczące odbiorców stosuje się do posiadaczy magazynów energii elektrycznej.</w:t>
      </w:r>
    </w:p>
    <w:p w14:paraId="424DE301" w14:textId="73FF6190" w:rsidR="009C18C0" w:rsidRPr="00015ECB" w:rsidRDefault="005422AC" w:rsidP="00015EC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Sprawę </w:t>
      </w:r>
      <w:r w:rsidR="00693FE2" w:rsidRPr="00EB2E7B">
        <w:rPr>
          <w:rFonts w:asciiTheme="minorHAnsi" w:hAnsiTheme="minorHAnsi" w:cstheme="minorHAnsi"/>
          <w:sz w:val="20"/>
          <w:szCs w:val="20"/>
        </w:rPr>
        <w:t>z wniosku o określenie warunków przyłączenia lub zgłoszenia przyłączenia mikroinstalacji, rozpatruje się za pomocą środków komunikacji elektronicznej w rozumieniu art. 2 pkt 5 ustawy z dnia 18 lipca 2002 r. o świadczeniu usług drogą elektroniczną, w przypadku gdy wniosek lub zgłoszenie zostały złożone w postaci elektronicznej lub składający wniosek lub zgłoszenie w postaci papierowej wyraził zgodę na prowadzenie sprawy w drodze elektronicznej</w:t>
      </w:r>
      <w:r w:rsidRPr="00EB2E7B">
        <w:rPr>
          <w:rFonts w:asciiTheme="minorHAnsi" w:hAnsiTheme="minorHAnsi" w:cstheme="minorHAnsi"/>
          <w:sz w:val="20"/>
          <w:szCs w:val="20"/>
        </w:rPr>
        <w:t>.</w:t>
      </w:r>
    </w:p>
    <w:p w14:paraId="1D445E0D" w14:textId="77777777" w:rsidR="00473957" w:rsidRPr="00EB2E7B" w:rsidRDefault="0077111A">
      <w:pPr>
        <w:pStyle w:val="Nagwek2"/>
        <w:rPr>
          <w:rFonts w:asciiTheme="minorHAnsi" w:hAnsiTheme="minorHAnsi" w:cstheme="minorHAnsi"/>
          <w:bCs/>
          <w:sz w:val="20"/>
          <w:szCs w:val="20"/>
        </w:rPr>
      </w:pPr>
      <w:bookmarkStart w:id="18" w:name="_Toc180153714"/>
      <w:bookmarkStart w:id="19" w:name="_Toc239333307"/>
      <w:r w:rsidRPr="00EB2E7B">
        <w:rPr>
          <w:rFonts w:asciiTheme="minorHAnsi" w:hAnsiTheme="minorHAnsi" w:cstheme="minorHAnsi"/>
          <w:sz w:val="20"/>
          <w:szCs w:val="20"/>
        </w:rPr>
        <w:t>OGÓLNE STANDARDY JAKOŚCIOWE OBSŁUGI UŻYTKOWNIKÓW SYSTEMU DYSTRYBUCYJNEGO</w:t>
      </w:r>
      <w:bookmarkEnd w:id="18"/>
      <w:bookmarkEnd w:id="19"/>
    </w:p>
    <w:p w14:paraId="62D8D75C" w14:textId="77777777" w:rsidR="00473957" w:rsidRPr="00EB2E7B" w:rsidRDefault="00232DA9"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świadczy usługi dystrybucji na zasadzie równoprawnego traktowania</w:t>
      </w:r>
      <w:r w:rsidR="00D132FA"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wszystkich użytkowników systemu, z uwzględnieniem wynikającego  z norm prawnych obowiązku zapewnienia pierwszeństwa w świadczeniu usług dystrybucji energii elektrycznej wytworzonej w instalacji OZE oraz w</w:t>
      </w:r>
      <w:r w:rsidR="00507146" w:rsidRPr="00EB2E7B">
        <w:rPr>
          <w:rFonts w:asciiTheme="minorHAnsi" w:hAnsiTheme="minorHAnsi" w:cstheme="minorHAnsi"/>
          <w:sz w:val="20"/>
          <w:szCs w:val="20"/>
        </w:rPr>
        <w:t> </w:t>
      </w:r>
      <w:r w:rsidR="0077111A" w:rsidRPr="00EB2E7B">
        <w:rPr>
          <w:rFonts w:asciiTheme="minorHAnsi" w:hAnsiTheme="minorHAnsi" w:cstheme="minorHAnsi"/>
          <w:sz w:val="20"/>
          <w:szCs w:val="20"/>
        </w:rPr>
        <w:t>wysokosprawnej kogeneracji, z zachowaniem niezawodności i</w:t>
      </w:r>
      <w:r w:rsidR="00507146"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bezpieczeństwa KSE. </w:t>
      </w:r>
    </w:p>
    <w:p w14:paraId="33CADEEE" w14:textId="5A004CB4" w:rsidR="00473957" w:rsidRPr="00EB2E7B" w:rsidRDefault="006645A4"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 celu realizacji powyższego obowiązku ACPRO opracowuje i udostępnia wzory wniosków i standardy umów o świadczenie usług dystrybucji energii elektrycznej</w:t>
      </w:r>
      <w:r w:rsidR="0077111A" w:rsidRPr="00EB2E7B">
        <w:rPr>
          <w:rFonts w:asciiTheme="minorHAnsi" w:hAnsiTheme="minorHAnsi" w:cstheme="minorHAnsi"/>
          <w:sz w:val="20"/>
          <w:szCs w:val="20"/>
        </w:rPr>
        <w:t xml:space="preserve">. </w:t>
      </w:r>
    </w:p>
    <w:p w14:paraId="08D729A1" w14:textId="1758AFE7" w:rsidR="00473957" w:rsidRPr="00EB2E7B" w:rsidRDefault="00232DA9"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D132FA" w:rsidRPr="00EB2E7B">
        <w:rPr>
          <w:rFonts w:asciiTheme="minorHAnsi" w:hAnsiTheme="minorHAnsi" w:cstheme="minorHAnsi"/>
          <w:sz w:val="20"/>
          <w:szCs w:val="20"/>
        </w:rPr>
        <w:t xml:space="preserve"> </w:t>
      </w:r>
      <w:r w:rsidR="004C264F" w:rsidRPr="00EB2E7B">
        <w:rPr>
          <w:rFonts w:asciiTheme="minorHAnsi" w:hAnsiTheme="minorHAnsi" w:cstheme="minorHAnsi"/>
          <w:sz w:val="20"/>
          <w:szCs w:val="20"/>
        </w:rPr>
        <w:t xml:space="preserve">opracowuje i zapewnia realizację programu określającego </w:t>
      </w:r>
      <w:r w:rsidR="00FD7D66" w:rsidRPr="00EB2E7B">
        <w:rPr>
          <w:rFonts w:asciiTheme="minorHAnsi" w:hAnsiTheme="minorHAnsi" w:cstheme="minorHAnsi"/>
          <w:sz w:val="20"/>
          <w:szCs w:val="20"/>
        </w:rPr>
        <w:t>przedsięwzięcia</w:t>
      </w:r>
      <w:r w:rsidR="004C264F" w:rsidRPr="00EB2E7B">
        <w:rPr>
          <w:rFonts w:asciiTheme="minorHAnsi" w:hAnsiTheme="minorHAnsi" w:cstheme="minorHAnsi"/>
          <w:sz w:val="20"/>
          <w:szCs w:val="20"/>
        </w:rPr>
        <w:t xml:space="preserve">, jakie należy podjąć w </w:t>
      </w:r>
      <w:r w:rsidR="0077111A" w:rsidRPr="00EB2E7B">
        <w:rPr>
          <w:rFonts w:asciiTheme="minorHAnsi" w:hAnsiTheme="minorHAnsi" w:cstheme="minorHAnsi"/>
          <w:sz w:val="20"/>
          <w:szCs w:val="20"/>
        </w:rPr>
        <w:t>celu zapewnieni</w:t>
      </w:r>
      <w:r w:rsidR="004C264F" w:rsidRPr="00EB2E7B">
        <w:rPr>
          <w:rFonts w:asciiTheme="minorHAnsi" w:hAnsiTheme="minorHAnsi" w:cstheme="minorHAnsi"/>
          <w:sz w:val="20"/>
          <w:szCs w:val="20"/>
        </w:rPr>
        <w:t>a</w:t>
      </w:r>
      <w:r w:rsidR="0077111A" w:rsidRPr="00EB2E7B">
        <w:rPr>
          <w:rFonts w:asciiTheme="minorHAnsi" w:hAnsiTheme="minorHAnsi" w:cstheme="minorHAnsi"/>
          <w:sz w:val="20"/>
          <w:szCs w:val="20"/>
        </w:rPr>
        <w:t xml:space="preserve"> niedyskryminacyjnego traktowania użytkowników systemu</w:t>
      </w:r>
      <w:r w:rsidR="004C264F" w:rsidRPr="00EB2E7B">
        <w:rPr>
          <w:rFonts w:asciiTheme="minorHAnsi" w:hAnsiTheme="minorHAnsi" w:cstheme="minorHAnsi"/>
          <w:sz w:val="20"/>
          <w:szCs w:val="20"/>
        </w:rPr>
        <w:t xml:space="preserve">, w tym </w:t>
      </w:r>
      <w:r w:rsidR="00FD7D66" w:rsidRPr="00EB2E7B">
        <w:rPr>
          <w:rFonts w:asciiTheme="minorHAnsi" w:hAnsiTheme="minorHAnsi" w:cstheme="minorHAnsi"/>
          <w:sz w:val="20"/>
          <w:szCs w:val="20"/>
        </w:rPr>
        <w:t>szczegółowe obowiązki pracowników wynikające z tego programu, zwanego programem zgodności</w:t>
      </w:r>
      <w:r w:rsidR="0077111A" w:rsidRPr="00EB2E7B">
        <w:rPr>
          <w:rFonts w:asciiTheme="minorHAnsi" w:hAnsiTheme="minorHAnsi" w:cstheme="minorHAnsi"/>
          <w:sz w:val="20"/>
          <w:szCs w:val="20"/>
        </w:rPr>
        <w:t xml:space="preserve">. </w:t>
      </w:r>
    </w:p>
    <w:p w14:paraId="4164BECF" w14:textId="4F40AB0B" w:rsidR="00473957" w:rsidRPr="00EB2E7B" w:rsidRDefault="00232DA9"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r w:rsidR="00693FE2" w:rsidRPr="00EB2E7B">
        <w:rPr>
          <w:rFonts w:asciiTheme="minorHAnsi" w:hAnsiTheme="minorHAnsi" w:cstheme="minorHAnsi"/>
          <w:sz w:val="20"/>
          <w:szCs w:val="20"/>
        </w:rPr>
        <w:t>stosuje standardy jakościowe obsługi użytkowników systemu określone w obowiązujących przepisach. W szczególności ACPRO stosuje następujące standardy jakościowe obsługi odbiorców</w:t>
      </w:r>
      <w:r w:rsidR="0077111A" w:rsidRPr="00EB2E7B">
        <w:rPr>
          <w:rFonts w:asciiTheme="minorHAnsi" w:hAnsiTheme="minorHAnsi" w:cstheme="minorHAnsi"/>
          <w:sz w:val="20"/>
          <w:szCs w:val="20"/>
        </w:rPr>
        <w:t xml:space="preserve">: </w:t>
      </w:r>
    </w:p>
    <w:p w14:paraId="667ED771" w14:textId="77777777" w:rsidR="00693FE2" w:rsidRPr="00EB2E7B" w:rsidRDefault="00693FE2" w:rsidP="00EF3C5D">
      <w:pPr>
        <w:pStyle w:val="1przed"/>
        <w:numPr>
          <w:ilvl w:val="0"/>
          <w:numId w:val="184"/>
        </w:numPr>
        <w:ind w:left="1701" w:hanging="567"/>
        <w:rPr>
          <w:rFonts w:asciiTheme="minorHAnsi" w:hAnsiTheme="minorHAnsi" w:cstheme="minorHAnsi"/>
          <w:sz w:val="20"/>
          <w:szCs w:val="20"/>
        </w:rPr>
      </w:pPr>
      <w:r w:rsidRPr="00EB2E7B">
        <w:rPr>
          <w:rFonts w:asciiTheme="minorHAnsi" w:hAnsiTheme="minorHAnsi" w:cstheme="minorHAnsi"/>
          <w:sz w:val="20"/>
          <w:szCs w:val="20"/>
        </w:rPr>
        <w:t>przyjmuje od odbiorców przez całą dobę zgłoszenia i reklamacje dotyczące dostarczania energii elektrycznej z sieci,</w:t>
      </w:r>
    </w:p>
    <w:p w14:paraId="2B1BEA1C" w14:textId="77777777" w:rsidR="00693FE2" w:rsidRPr="00EB2E7B" w:rsidRDefault="00693FE2"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bezzwłocznie przystępuje do usuwania zakłóceń w dostarczaniu energii elektrycznej spowodowanych nieprawidłową pracą sieci,</w:t>
      </w:r>
    </w:p>
    <w:p w14:paraId="68F108C4" w14:textId="77777777" w:rsidR="00693FE2" w:rsidRPr="00EB2E7B" w:rsidRDefault="00693FE2"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udziela odbiorcom, na ich żądanie, informacji o przewidywanym terminie wznowienia dostarczania energii elektrycznej przerwanego z powodu awarii w sieci,</w:t>
      </w:r>
    </w:p>
    <w:p w14:paraId="01EA23D2" w14:textId="1C228099" w:rsidR="00693FE2" w:rsidRPr="00EB2E7B" w:rsidRDefault="00693FE2"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powiadamia z wyprzedzeniem określonym w pkt </w:t>
      </w:r>
      <w:r w:rsidR="00CE7A78" w:rsidRPr="00EB2E7B">
        <w:rPr>
          <w:rFonts w:asciiTheme="minorHAnsi" w:hAnsiTheme="minorHAnsi" w:cstheme="minorHAnsi"/>
          <w:sz w:val="20"/>
          <w:szCs w:val="20"/>
        </w:rPr>
        <w:fldChar w:fldCharType="begin"/>
      </w:r>
      <w:r w:rsidR="00CE7A78" w:rsidRPr="00EB2E7B">
        <w:rPr>
          <w:rFonts w:asciiTheme="minorHAnsi" w:hAnsiTheme="minorHAnsi" w:cstheme="minorHAnsi"/>
          <w:sz w:val="20"/>
          <w:szCs w:val="20"/>
        </w:rPr>
        <w:instrText xml:space="preserve"> REF _Ref173226445 \w \h  \* MERGEFORMAT </w:instrText>
      </w:r>
      <w:r w:rsidR="00CE7A78" w:rsidRPr="00EB2E7B">
        <w:rPr>
          <w:rFonts w:asciiTheme="minorHAnsi" w:hAnsiTheme="minorHAnsi" w:cstheme="minorHAnsi"/>
          <w:sz w:val="20"/>
          <w:szCs w:val="20"/>
        </w:rPr>
      </w:r>
      <w:r w:rsidR="00CE7A7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VIII.4.1</w:t>
      </w:r>
      <w:r w:rsidR="00CE7A7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 terminach i czasie planowanych przerw w dostarczaniu energii elektrycznej oraz zmianach warunków funkcjonowania sieci odbiorców zasilanych z sieci ACPRO,</w:t>
      </w:r>
    </w:p>
    <w:p w14:paraId="0E6CCFE3" w14:textId="77777777" w:rsidR="00693FE2" w:rsidRPr="00EB2E7B" w:rsidRDefault="00693FE2" w:rsidP="00EF3C5D">
      <w:pPr>
        <w:pStyle w:val="1przed"/>
        <w:ind w:left="1701" w:hanging="567"/>
        <w:rPr>
          <w:rFonts w:asciiTheme="minorHAnsi" w:hAnsiTheme="minorHAnsi" w:cstheme="minorHAnsi"/>
          <w:sz w:val="20"/>
          <w:szCs w:val="20"/>
        </w:rPr>
      </w:pPr>
      <w:bookmarkStart w:id="20" w:name="_Ref183596703"/>
      <w:r w:rsidRPr="00EB2E7B">
        <w:rPr>
          <w:rFonts w:asciiTheme="minorHAnsi" w:hAnsiTheme="minorHAnsi" w:cstheme="minorHAnsi"/>
          <w:sz w:val="20"/>
          <w:szCs w:val="20"/>
        </w:rPr>
        <w:t>odpłatnie podejmuje stosowne czynności w sieci w celu umożliwienia bezpiecznego wykonania, przez odbiorcę lub inny podmiot, prac w obszarze oddziaływania tej sieci,</w:t>
      </w:r>
      <w:bookmarkEnd w:id="20"/>
    </w:p>
    <w:p w14:paraId="7F6FEB77" w14:textId="77777777" w:rsidR="00693FE2" w:rsidRPr="00EB2E7B" w:rsidRDefault="00693FE2"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nieodpłatnie udziela informacji w sprawie zasad rozliczeń oraz aktualnej Taryfy ACPRO,</w:t>
      </w:r>
    </w:p>
    <w:p w14:paraId="3C26E313" w14:textId="1349CA0A" w:rsidR="00473957" w:rsidRPr="00EB2E7B" w:rsidRDefault="00693FE2"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rozpatruje wnioski lub reklamacje odbiorcy w sprawie rozliczeń i udziela odpowiedzi nie później niż w terminie 14 dni kalendarzowych od dnia złożenia wniosku lub zgłoszenia reklamacji, chyba że w umowie między stronami określono inny termin, z wyłączeniem spraw określonych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500A35" w:rsidRPr="00EB2E7B">
        <w:rPr>
          <w:rFonts w:asciiTheme="minorHAnsi" w:hAnsiTheme="minorHAnsi" w:cstheme="minorHAnsi"/>
          <w:sz w:val="20"/>
          <w:szCs w:val="20"/>
        </w:rPr>
        <w:fldChar w:fldCharType="begin"/>
      </w:r>
      <w:r w:rsidR="00500A35" w:rsidRPr="00EB2E7B">
        <w:rPr>
          <w:rFonts w:asciiTheme="minorHAnsi" w:hAnsiTheme="minorHAnsi" w:cstheme="minorHAnsi"/>
          <w:sz w:val="20"/>
          <w:szCs w:val="20"/>
        </w:rPr>
        <w:instrText xml:space="preserve"> REF _Ref183596706 \w \h  \* MERGEFORMAT </w:instrText>
      </w:r>
      <w:r w:rsidR="00500A35" w:rsidRPr="00EB2E7B">
        <w:rPr>
          <w:rFonts w:asciiTheme="minorHAnsi" w:hAnsiTheme="minorHAnsi" w:cstheme="minorHAnsi"/>
          <w:sz w:val="20"/>
          <w:szCs w:val="20"/>
        </w:rPr>
      </w:r>
      <w:r w:rsidR="00500A3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w:t>
      </w:r>
      <w:r w:rsidR="00500A3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które są rozpatrywane w terminie 14 dni kalendarzowych od zakończenia stosownych kontroli i pomiarów</w:t>
      </w:r>
      <w:r w:rsidR="0077111A" w:rsidRPr="00EB2E7B">
        <w:rPr>
          <w:rFonts w:asciiTheme="minorHAnsi" w:hAnsiTheme="minorHAnsi" w:cstheme="minorHAnsi"/>
          <w:sz w:val="20"/>
          <w:szCs w:val="20"/>
        </w:rPr>
        <w:t xml:space="preserve">, </w:t>
      </w:r>
    </w:p>
    <w:p w14:paraId="3AE232BC" w14:textId="4FAE176F" w:rsidR="00473957" w:rsidRPr="00EB2E7B" w:rsidRDefault="00693FE2" w:rsidP="00EF3C5D">
      <w:pPr>
        <w:pStyle w:val="1przed"/>
        <w:ind w:left="1701" w:hanging="567"/>
        <w:rPr>
          <w:rFonts w:asciiTheme="minorHAnsi" w:hAnsiTheme="minorHAnsi" w:cstheme="minorHAnsi"/>
          <w:sz w:val="20"/>
          <w:szCs w:val="20"/>
        </w:rPr>
      </w:pPr>
      <w:bookmarkStart w:id="21" w:name="_Ref183596706"/>
      <w:r w:rsidRPr="00EB2E7B">
        <w:rPr>
          <w:rFonts w:asciiTheme="minorHAnsi" w:hAnsiTheme="minorHAnsi" w:cstheme="minorHAnsi"/>
          <w:sz w:val="20"/>
          <w:szCs w:val="20"/>
        </w:rPr>
        <w:lastRenderedPageBreak/>
        <w:t xml:space="preserve">na wniosek odbiorcy dokonuje sprawdzenia dotrzymania parametrów jakościowych energii elektrycznej dostarczanej z sieci, o których mowa w pkt </w:t>
      </w:r>
      <w:r w:rsidR="00137D42" w:rsidRPr="00EB2E7B">
        <w:rPr>
          <w:rFonts w:asciiTheme="minorHAnsi" w:hAnsiTheme="minorHAnsi" w:cstheme="minorHAnsi"/>
          <w:sz w:val="20"/>
          <w:szCs w:val="20"/>
        </w:rPr>
        <w:fldChar w:fldCharType="begin"/>
      </w:r>
      <w:r w:rsidR="00137D42" w:rsidRPr="00EB2E7B">
        <w:rPr>
          <w:rFonts w:asciiTheme="minorHAnsi" w:hAnsiTheme="minorHAnsi" w:cstheme="minorHAnsi"/>
          <w:sz w:val="20"/>
          <w:szCs w:val="20"/>
        </w:rPr>
        <w:instrText xml:space="preserve"> REF _Ref190075187 \w \h </w:instrText>
      </w:r>
      <w:r w:rsidR="005E3FEE" w:rsidRPr="00EB2E7B">
        <w:rPr>
          <w:rFonts w:asciiTheme="minorHAnsi" w:hAnsiTheme="minorHAnsi" w:cstheme="minorHAnsi"/>
          <w:sz w:val="20"/>
          <w:szCs w:val="20"/>
        </w:rPr>
        <w:instrText xml:space="preserve"> \* MERGEFORMAT </w:instrText>
      </w:r>
      <w:r w:rsidR="00137D42" w:rsidRPr="00EB2E7B">
        <w:rPr>
          <w:rFonts w:asciiTheme="minorHAnsi" w:hAnsiTheme="minorHAnsi" w:cstheme="minorHAnsi"/>
          <w:sz w:val="20"/>
          <w:szCs w:val="20"/>
        </w:rPr>
      </w:r>
      <w:r w:rsidR="00137D4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w:t>
      </w:r>
      <w:r w:rsidR="00137D4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i na warunkach określonych w umowie dystrybucji albo w umowie kompleksowej poprzez wykonanie odpowiednich pomiarów; koszty sprawdzenia i pomiarów ponosi odbiorca na zasadach określonych w Taryfie ACPRO</w:t>
      </w:r>
      <w:r w:rsidR="0077111A" w:rsidRPr="00EB2E7B">
        <w:rPr>
          <w:rFonts w:asciiTheme="minorHAnsi" w:hAnsiTheme="minorHAnsi" w:cstheme="minorHAnsi"/>
          <w:sz w:val="20"/>
          <w:szCs w:val="20"/>
        </w:rPr>
        <w:t>,</w:t>
      </w:r>
      <w:bookmarkEnd w:id="21"/>
      <w:r w:rsidR="0077111A" w:rsidRPr="00EB2E7B">
        <w:rPr>
          <w:rFonts w:asciiTheme="minorHAnsi" w:hAnsiTheme="minorHAnsi" w:cstheme="minorHAnsi"/>
          <w:sz w:val="20"/>
          <w:szCs w:val="20"/>
        </w:rPr>
        <w:t xml:space="preserve"> </w:t>
      </w:r>
    </w:p>
    <w:p w14:paraId="62CD2932" w14:textId="60056308" w:rsidR="00693FE2" w:rsidRPr="00EB2E7B" w:rsidRDefault="00693FE2"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na pisemny wniosek odbiorcy, po rozpatrzeniu i uznaniu jego zasadności, udziela bonifikaty w wysokości określonej w Taryfie ACPRO za niedotrzymanie parametrów jakościowych energii elektrycznej określonych w pkt </w:t>
      </w:r>
      <w:r w:rsidR="00C74328" w:rsidRPr="00EB2E7B">
        <w:rPr>
          <w:rFonts w:asciiTheme="minorHAnsi" w:hAnsiTheme="minorHAnsi" w:cstheme="minorHAnsi"/>
          <w:sz w:val="20"/>
          <w:szCs w:val="20"/>
        </w:rPr>
        <w:fldChar w:fldCharType="begin"/>
      </w:r>
      <w:r w:rsidR="00C74328" w:rsidRPr="00EB2E7B">
        <w:rPr>
          <w:rFonts w:asciiTheme="minorHAnsi" w:hAnsiTheme="minorHAnsi" w:cstheme="minorHAnsi"/>
          <w:sz w:val="20"/>
          <w:szCs w:val="20"/>
        </w:rPr>
        <w:instrText xml:space="preserve"> REF _Ref190075187 \w \h </w:instrText>
      </w:r>
      <w:r w:rsidR="005E3FEE" w:rsidRPr="00EB2E7B">
        <w:rPr>
          <w:rFonts w:asciiTheme="minorHAnsi" w:hAnsiTheme="minorHAnsi" w:cstheme="minorHAnsi"/>
          <w:sz w:val="20"/>
          <w:szCs w:val="20"/>
        </w:rPr>
        <w:instrText xml:space="preserve"> \* MERGEFORMAT </w:instrText>
      </w:r>
      <w:r w:rsidR="00C74328" w:rsidRPr="00EB2E7B">
        <w:rPr>
          <w:rFonts w:asciiTheme="minorHAnsi" w:hAnsiTheme="minorHAnsi" w:cstheme="minorHAnsi"/>
          <w:sz w:val="20"/>
          <w:szCs w:val="20"/>
        </w:rPr>
      </w:r>
      <w:r w:rsidR="00C7432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w:t>
      </w:r>
      <w:r w:rsidR="00C7432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albo ustalonych w umowie dystrybucji albo w umowie kompleksowej,</w:t>
      </w:r>
    </w:p>
    <w:p w14:paraId="12C1202E" w14:textId="6DFE389D" w:rsidR="00D132FA" w:rsidRPr="00EB2E7B" w:rsidRDefault="00693FE2"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niezwłocznie przekazuje odbiorcy protokoły z czynności określonych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391B13" w:rsidRPr="00EB2E7B">
        <w:rPr>
          <w:rFonts w:asciiTheme="minorHAnsi" w:hAnsiTheme="minorHAnsi" w:cstheme="minorHAnsi"/>
          <w:sz w:val="20"/>
          <w:szCs w:val="20"/>
        </w:rPr>
        <w:fldChar w:fldCharType="begin"/>
      </w:r>
      <w:r w:rsidR="00391B13" w:rsidRPr="00EB2E7B">
        <w:rPr>
          <w:rFonts w:asciiTheme="minorHAnsi" w:hAnsiTheme="minorHAnsi" w:cstheme="minorHAnsi"/>
          <w:sz w:val="20"/>
          <w:szCs w:val="20"/>
        </w:rPr>
        <w:instrText xml:space="preserve"> REF _Ref183596703 \r \h </w:instrText>
      </w:r>
      <w:r w:rsidR="006727F8" w:rsidRPr="00EB2E7B">
        <w:rPr>
          <w:rFonts w:asciiTheme="minorHAnsi" w:hAnsiTheme="minorHAnsi" w:cstheme="minorHAnsi"/>
          <w:sz w:val="20"/>
          <w:szCs w:val="20"/>
        </w:rPr>
        <w:instrText xml:space="preserve"> \* MERGEFORMAT </w:instrText>
      </w:r>
      <w:r w:rsidR="00391B13" w:rsidRPr="00EB2E7B">
        <w:rPr>
          <w:rFonts w:asciiTheme="minorHAnsi" w:hAnsiTheme="minorHAnsi" w:cstheme="minorHAnsi"/>
          <w:sz w:val="20"/>
          <w:szCs w:val="20"/>
        </w:rPr>
      </w:r>
      <w:r w:rsidR="00391B1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w:t>
      </w:r>
      <w:r w:rsidR="00391B1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w:t>
      </w:r>
      <w:r w:rsidR="00391B13" w:rsidRPr="00EB2E7B">
        <w:rPr>
          <w:rFonts w:asciiTheme="minorHAnsi" w:hAnsiTheme="minorHAnsi" w:cstheme="minorHAnsi"/>
          <w:sz w:val="20"/>
          <w:szCs w:val="20"/>
        </w:rPr>
        <w:fldChar w:fldCharType="begin"/>
      </w:r>
      <w:r w:rsidR="00391B13" w:rsidRPr="00EB2E7B">
        <w:rPr>
          <w:rFonts w:asciiTheme="minorHAnsi" w:hAnsiTheme="minorHAnsi" w:cstheme="minorHAnsi"/>
          <w:sz w:val="20"/>
          <w:szCs w:val="20"/>
        </w:rPr>
        <w:instrText xml:space="preserve"> REF _Ref183596706 \r \h </w:instrText>
      </w:r>
      <w:r w:rsidR="006727F8" w:rsidRPr="00EB2E7B">
        <w:rPr>
          <w:rFonts w:asciiTheme="minorHAnsi" w:hAnsiTheme="minorHAnsi" w:cstheme="minorHAnsi"/>
          <w:sz w:val="20"/>
          <w:szCs w:val="20"/>
        </w:rPr>
        <w:instrText xml:space="preserve"> \* MERGEFORMAT </w:instrText>
      </w:r>
      <w:r w:rsidR="00391B13" w:rsidRPr="00EB2E7B">
        <w:rPr>
          <w:rFonts w:asciiTheme="minorHAnsi" w:hAnsiTheme="minorHAnsi" w:cstheme="minorHAnsi"/>
          <w:sz w:val="20"/>
          <w:szCs w:val="20"/>
        </w:rPr>
      </w:r>
      <w:r w:rsidR="00391B1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w:t>
      </w:r>
      <w:r w:rsidR="00391B13"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15FC3BF0" w14:textId="369381B4" w:rsidR="003526BE" w:rsidRPr="00EB2E7B" w:rsidRDefault="00693FE2"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ACPRO rozpatruje reklamacje otrzymane od sprzedawcy w zakresie świadczonych usług dystrybucji w ramach umowy kompleksowej zawartej przez odbiorcę ze sprzedawcą, na zasadach i w terminach określonych </w:t>
      </w:r>
      <w:r w:rsidR="00D132FA" w:rsidRPr="00EB2E7B">
        <w:rPr>
          <w:rFonts w:asciiTheme="minorHAnsi" w:hAnsiTheme="minorHAnsi" w:cstheme="minorHAnsi"/>
          <w:sz w:val="20"/>
          <w:szCs w:val="20"/>
        </w:rPr>
        <w:t>w rozdziale</w:t>
      </w:r>
      <w:r w:rsidR="00022D81" w:rsidRPr="00EB2E7B">
        <w:rPr>
          <w:rFonts w:asciiTheme="minorHAnsi" w:hAnsiTheme="minorHAnsi" w:cstheme="minorHAnsi"/>
          <w:sz w:val="20"/>
          <w:szCs w:val="20"/>
        </w:rPr>
        <w:t xml:space="preserve"> </w:t>
      </w:r>
      <w:r w:rsidR="000B54E0" w:rsidRPr="00EB2E7B">
        <w:rPr>
          <w:rFonts w:asciiTheme="minorHAnsi" w:hAnsiTheme="minorHAnsi" w:cstheme="minorHAnsi"/>
          <w:sz w:val="20"/>
          <w:szCs w:val="20"/>
        </w:rPr>
        <w:fldChar w:fldCharType="begin"/>
      </w:r>
      <w:r w:rsidR="000B54E0" w:rsidRPr="00EB2E7B">
        <w:rPr>
          <w:rFonts w:asciiTheme="minorHAnsi" w:hAnsiTheme="minorHAnsi" w:cstheme="minorHAnsi"/>
          <w:sz w:val="20"/>
          <w:szCs w:val="20"/>
        </w:rPr>
        <w:instrText xml:space="preserve"> REF _Ref189081093 \r \h </w:instrText>
      </w:r>
      <w:r w:rsidR="00EA7137" w:rsidRPr="00EB2E7B">
        <w:rPr>
          <w:rFonts w:asciiTheme="minorHAnsi" w:hAnsiTheme="minorHAnsi" w:cstheme="minorHAnsi"/>
          <w:sz w:val="20"/>
          <w:szCs w:val="20"/>
        </w:rPr>
        <w:instrText xml:space="preserve"> \* MERGEFORMAT </w:instrText>
      </w:r>
      <w:r w:rsidR="000B54E0" w:rsidRPr="00EB2E7B">
        <w:rPr>
          <w:rFonts w:asciiTheme="minorHAnsi" w:hAnsiTheme="minorHAnsi" w:cstheme="minorHAnsi"/>
          <w:sz w:val="20"/>
          <w:szCs w:val="20"/>
        </w:rPr>
      </w:r>
      <w:r w:rsidR="000B54E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w:t>
      </w:r>
      <w:r w:rsidR="000B54E0" w:rsidRPr="00EB2E7B">
        <w:rPr>
          <w:rFonts w:asciiTheme="minorHAnsi" w:hAnsiTheme="minorHAnsi" w:cstheme="minorHAnsi"/>
          <w:sz w:val="20"/>
          <w:szCs w:val="20"/>
        </w:rPr>
        <w:fldChar w:fldCharType="end"/>
      </w:r>
      <w:r w:rsidR="00D132FA" w:rsidRPr="00EB2E7B">
        <w:rPr>
          <w:rFonts w:asciiTheme="minorHAnsi" w:hAnsiTheme="minorHAnsi" w:cstheme="minorHAnsi"/>
          <w:sz w:val="20"/>
          <w:szCs w:val="20"/>
        </w:rPr>
        <w:t>.</w:t>
      </w:r>
    </w:p>
    <w:p w14:paraId="3B55412E" w14:textId="77777777" w:rsidR="00C61E18" w:rsidRPr="00EB2E7B" w:rsidRDefault="00C61E18" w:rsidP="003C4AE2">
      <w:pPr>
        <w:pStyle w:val="Nagwek3"/>
        <w:ind w:left="1134" w:hanging="1134"/>
        <w:rPr>
          <w:rFonts w:asciiTheme="minorHAnsi" w:hAnsiTheme="minorHAnsi" w:cstheme="minorHAnsi"/>
          <w:sz w:val="20"/>
          <w:szCs w:val="20"/>
        </w:rPr>
      </w:pPr>
      <w:bookmarkStart w:id="22" w:name="_Hlk127279402"/>
      <w:r w:rsidRPr="00EB2E7B">
        <w:rPr>
          <w:rFonts w:asciiTheme="minorHAnsi" w:hAnsiTheme="minorHAnsi" w:cstheme="minorHAnsi"/>
          <w:sz w:val="20"/>
          <w:szCs w:val="20"/>
        </w:rPr>
        <w:t xml:space="preserve">Odbiorca końcowy przyłączony do sieci o napięciu znamionowym nie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oraz odbiorca końcowy i wytwórca energii elektrycznej należący do spółdzielni energetycznej w rozumieniu art. 2 pkt 33a Ustawy OZE, mogą wystąpić z wnioskiem do ACPRO o:</w:t>
      </w:r>
      <w:bookmarkEnd w:id="22"/>
    </w:p>
    <w:p w14:paraId="50B2437F" w14:textId="77777777" w:rsidR="00C61E18" w:rsidRPr="00EB2E7B" w:rsidRDefault="00C61E18" w:rsidP="00EF3C5D">
      <w:pPr>
        <w:pStyle w:val="1przed"/>
        <w:numPr>
          <w:ilvl w:val="0"/>
          <w:numId w:val="260"/>
        </w:numPr>
        <w:ind w:left="1701" w:hanging="567"/>
        <w:rPr>
          <w:rFonts w:asciiTheme="minorHAnsi" w:hAnsiTheme="minorHAnsi" w:cstheme="minorHAnsi"/>
          <w:sz w:val="20"/>
          <w:szCs w:val="20"/>
        </w:rPr>
      </w:pPr>
      <w:bookmarkStart w:id="23" w:name="_Hlk99094774"/>
      <w:r w:rsidRPr="00EB2E7B">
        <w:rPr>
          <w:rFonts w:asciiTheme="minorHAnsi" w:hAnsiTheme="minorHAnsi" w:cstheme="minorHAnsi"/>
          <w:sz w:val="20"/>
          <w:szCs w:val="20"/>
        </w:rPr>
        <w:t>zainstalowanie licznika zdalnego odczytu,</w:t>
      </w:r>
      <w:bookmarkEnd w:id="23"/>
    </w:p>
    <w:p w14:paraId="61D44B68" w14:textId="77777777" w:rsidR="00C61E18" w:rsidRPr="00EB2E7B" w:rsidRDefault="00C61E18" w:rsidP="00EF3C5D">
      <w:pPr>
        <w:pStyle w:val="1przed"/>
        <w:numPr>
          <w:ilvl w:val="0"/>
          <w:numId w:val="4"/>
        </w:numPr>
        <w:ind w:left="1701" w:hanging="567"/>
        <w:rPr>
          <w:rFonts w:asciiTheme="minorHAnsi" w:hAnsiTheme="minorHAnsi" w:cstheme="minorHAnsi"/>
          <w:sz w:val="20"/>
          <w:szCs w:val="20"/>
        </w:rPr>
      </w:pPr>
      <w:bookmarkStart w:id="24" w:name="_Hlk99094797"/>
      <w:r w:rsidRPr="00EB2E7B">
        <w:rPr>
          <w:rFonts w:asciiTheme="minorHAnsi" w:hAnsiTheme="minorHAnsi" w:cstheme="minorHAnsi"/>
          <w:sz w:val="20"/>
          <w:szCs w:val="20"/>
        </w:rPr>
        <w:t>umożliwienie komunikacji licznika zdalnego odczytu z urządzeniami tego odbiorcy, o ile spełniają one wymagania określone w Ustawie i przepisach wydanych na jej podstawie,</w:t>
      </w:r>
      <w:bookmarkEnd w:id="24"/>
    </w:p>
    <w:p w14:paraId="285DC0AE" w14:textId="77777777" w:rsidR="00C61E18" w:rsidRPr="00EB2E7B" w:rsidRDefault="00C61E18" w:rsidP="00EF3C5D">
      <w:pPr>
        <w:pStyle w:val="1przed"/>
        <w:numPr>
          <w:ilvl w:val="0"/>
          <w:numId w:val="4"/>
        </w:numPr>
        <w:ind w:left="1701" w:hanging="567"/>
        <w:rPr>
          <w:rFonts w:asciiTheme="minorHAnsi" w:hAnsiTheme="minorHAnsi" w:cstheme="minorHAnsi"/>
          <w:sz w:val="20"/>
          <w:szCs w:val="20"/>
        </w:rPr>
      </w:pPr>
      <w:bookmarkStart w:id="25" w:name="_Hlk99094808"/>
      <w:bookmarkStart w:id="26" w:name="_Hlk127279510"/>
      <w:r w:rsidRPr="00EB2E7B">
        <w:rPr>
          <w:rFonts w:asciiTheme="minorHAnsi" w:hAnsiTheme="minorHAnsi" w:cstheme="minorHAnsi"/>
          <w:sz w:val="20"/>
          <w:szCs w:val="20"/>
        </w:rPr>
        <w:t>wyposażenie punktu ładowania w rozumieniu art. 2 pkt 17 ustawy o elektromobilności należącego do odbiorcy końcowego w licznik zdalnego odczytu w instalacji tego odbiorcy</w:t>
      </w:r>
      <w:bookmarkEnd w:id="25"/>
      <w:r w:rsidRPr="00EB2E7B">
        <w:rPr>
          <w:rFonts w:asciiTheme="minorHAnsi" w:hAnsiTheme="minorHAnsi" w:cstheme="minorHAnsi"/>
          <w:sz w:val="20"/>
          <w:szCs w:val="20"/>
        </w:rPr>
        <w:t>.</w:t>
      </w:r>
      <w:bookmarkEnd w:id="26"/>
    </w:p>
    <w:p w14:paraId="2FB59C44" w14:textId="5DE75BE5" w:rsidR="00C61E18" w:rsidRPr="00EB2E7B" w:rsidRDefault="00C61E18" w:rsidP="003C4AE2">
      <w:pPr>
        <w:pStyle w:val="Nagwek3"/>
        <w:ind w:left="1134" w:hanging="1134"/>
        <w:rPr>
          <w:rFonts w:asciiTheme="minorHAnsi" w:hAnsiTheme="minorHAnsi" w:cstheme="minorHAnsi"/>
          <w:sz w:val="20"/>
          <w:szCs w:val="20"/>
        </w:rPr>
      </w:pPr>
      <w:bookmarkStart w:id="27" w:name="_Hlk127279530"/>
      <w:r w:rsidRPr="00EB2E7B">
        <w:rPr>
          <w:rFonts w:asciiTheme="minorHAnsi" w:hAnsiTheme="minorHAnsi" w:cstheme="minorHAnsi"/>
          <w:sz w:val="20"/>
          <w:szCs w:val="20"/>
        </w:rPr>
        <w:t xml:space="preserve">W przypadku otrzymania wniosku,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_Hlk127279402 \r \h </w:instrText>
      </w:r>
      <w:r w:rsidR="0094463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I.4.5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ACPRO:</w:t>
      </w:r>
      <w:bookmarkEnd w:id="27"/>
    </w:p>
    <w:p w14:paraId="6538BA5D" w14:textId="77777777" w:rsidR="00C61E18" w:rsidRPr="00EB2E7B" w:rsidRDefault="00C61E18" w:rsidP="00EF3C5D">
      <w:pPr>
        <w:pStyle w:val="1przed"/>
        <w:numPr>
          <w:ilvl w:val="0"/>
          <w:numId w:val="261"/>
        </w:numPr>
        <w:ind w:left="1701" w:hanging="567"/>
        <w:rPr>
          <w:rFonts w:asciiTheme="minorHAnsi" w:hAnsiTheme="minorHAnsi" w:cstheme="minorHAnsi"/>
          <w:sz w:val="20"/>
          <w:szCs w:val="20"/>
        </w:rPr>
      </w:pPr>
      <w:bookmarkStart w:id="28" w:name="_Hlk99094822"/>
      <w:r w:rsidRPr="00EB2E7B">
        <w:rPr>
          <w:rFonts w:asciiTheme="minorHAnsi" w:hAnsiTheme="minorHAnsi" w:cstheme="minorHAnsi"/>
          <w:sz w:val="20"/>
          <w:szCs w:val="20"/>
        </w:rPr>
        <w:t>zainstaluje licznik zdalnego odczytu w terminie 4 miesięcy od dnia wystąpienia o to odbiorcy końcowego,</w:t>
      </w:r>
      <w:bookmarkEnd w:id="28"/>
    </w:p>
    <w:p w14:paraId="4C525D92" w14:textId="77777777" w:rsidR="00C61E18" w:rsidRPr="00EB2E7B" w:rsidRDefault="00C61E18" w:rsidP="00EF3C5D">
      <w:pPr>
        <w:pStyle w:val="1przed"/>
        <w:numPr>
          <w:ilvl w:val="0"/>
          <w:numId w:val="4"/>
        </w:numPr>
        <w:ind w:left="1701" w:hanging="567"/>
        <w:rPr>
          <w:rFonts w:asciiTheme="minorHAnsi" w:hAnsiTheme="minorHAnsi" w:cstheme="minorHAnsi"/>
          <w:sz w:val="20"/>
          <w:szCs w:val="20"/>
        </w:rPr>
      </w:pPr>
      <w:bookmarkStart w:id="29" w:name="_Hlk127279624"/>
      <w:r w:rsidRPr="00EB2E7B">
        <w:rPr>
          <w:rFonts w:asciiTheme="minorHAnsi" w:hAnsiTheme="minorHAnsi" w:cstheme="minorHAnsi"/>
          <w:sz w:val="20"/>
          <w:szCs w:val="20"/>
        </w:rPr>
        <w:t>umożliwi komunikację licznika zdalnego odczytu z urządzeniami odbiorcy końcowego, w terminie 2 miesięcy od dnia wystąpienia o to tego odbiorcy, o ile spełniają one wymagania określone w Ustawie oraz przepisach wydanych na jej podstawie,</w:t>
      </w:r>
      <w:bookmarkEnd w:id="29"/>
    </w:p>
    <w:p w14:paraId="0EDC9770" w14:textId="77777777" w:rsidR="00C61E18" w:rsidRPr="00EB2E7B" w:rsidRDefault="00C61E18" w:rsidP="00EF3C5D">
      <w:pPr>
        <w:pStyle w:val="1przed"/>
        <w:numPr>
          <w:ilvl w:val="0"/>
          <w:numId w:val="4"/>
        </w:numPr>
        <w:ind w:left="1701" w:hanging="567"/>
        <w:rPr>
          <w:rFonts w:asciiTheme="minorHAnsi" w:hAnsiTheme="minorHAnsi" w:cstheme="minorHAnsi"/>
          <w:sz w:val="20"/>
          <w:szCs w:val="20"/>
        </w:rPr>
      </w:pPr>
      <w:bookmarkStart w:id="30" w:name="_Hlk127279634"/>
      <w:r w:rsidRPr="00EB2E7B">
        <w:rPr>
          <w:rFonts w:asciiTheme="minorHAnsi" w:hAnsiTheme="minorHAnsi" w:cstheme="minorHAnsi"/>
          <w:sz w:val="20"/>
          <w:szCs w:val="20"/>
        </w:rPr>
        <w:t>wyposaży punkt ładowania w rozumieniu art. 2 pkt 17 ustawy o elektromobilności należący do odbiorcy końcowego, w licznik zdalnego odczytu w terminie miesiąca od dnia wystąpienia o to tego odbiorcy.</w:t>
      </w:r>
      <w:bookmarkEnd w:id="30"/>
    </w:p>
    <w:p w14:paraId="3FAA5EA8" w14:textId="77777777" w:rsidR="00C61E18" w:rsidRPr="00EB2E7B" w:rsidRDefault="00C61E18" w:rsidP="003C4AE2">
      <w:pPr>
        <w:pStyle w:val="Nagwek3"/>
        <w:ind w:left="1134" w:hanging="1134"/>
        <w:rPr>
          <w:rFonts w:asciiTheme="minorHAnsi" w:hAnsiTheme="minorHAnsi" w:cstheme="minorHAnsi"/>
          <w:sz w:val="20"/>
          <w:szCs w:val="20"/>
        </w:rPr>
      </w:pPr>
      <w:bookmarkStart w:id="31" w:name="_Hlk127279654"/>
      <w:r w:rsidRPr="00EB2E7B">
        <w:rPr>
          <w:rFonts w:asciiTheme="minorHAnsi" w:hAnsiTheme="minorHAnsi" w:cstheme="minorHAnsi"/>
          <w:sz w:val="20"/>
          <w:szCs w:val="20"/>
        </w:rPr>
        <w:t xml:space="preserve">ACPRO, w danym roku kalendarzowym zainstaluje na wniosek odbiorcy końcowego przyłączonego do sieci o napięciu znamionowym nie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liczniki zdalnego odczytu, w nie więcej niż 0,1% punktów poboru energii u odbiorców końcowych, przyłączonych do sieci ACPRO. Przepisu nie stosuje się do odbiorcy końcowego i wytwórcy energii elektrycznej należącego do spółdzielni energetycznej w rozumieniu art. 2 pkt 33a Ustawy OZE.</w:t>
      </w:r>
      <w:bookmarkEnd w:id="31"/>
    </w:p>
    <w:p w14:paraId="660C2BC6" w14:textId="7A5447B0" w:rsidR="006A39EF" w:rsidRPr="00015ECB" w:rsidRDefault="00C61E18" w:rsidP="00015ECB">
      <w:pPr>
        <w:pStyle w:val="Nagwek3"/>
        <w:ind w:left="1134" w:hanging="1134"/>
        <w:rPr>
          <w:rFonts w:asciiTheme="minorHAnsi" w:hAnsiTheme="minorHAnsi" w:cstheme="minorHAnsi"/>
          <w:sz w:val="20"/>
          <w:szCs w:val="20"/>
        </w:rPr>
      </w:pPr>
      <w:bookmarkStart w:id="32" w:name="_Hlk127279679"/>
      <w:r w:rsidRPr="00EB2E7B">
        <w:rPr>
          <w:rFonts w:asciiTheme="minorHAnsi" w:hAnsiTheme="minorHAnsi" w:cstheme="minorHAnsi"/>
          <w:sz w:val="20"/>
          <w:szCs w:val="20"/>
        </w:rPr>
        <w:t xml:space="preserve">Odbiorca końcowy ponosi koszty zainstalowania i uruchomienia licznika zdalnego odczytu na wniosek,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_Hlk127279402 \r \h </w:instrText>
      </w:r>
      <w:r w:rsidR="00A14A43"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I.4.5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_Hlk99094774 \r \h </w:instrText>
      </w:r>
      <w:r w:rsidR="00C33FF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_Hlk127279510 \r \h </w:instrText>
      </w:r>
      <w:r w:rsidR="00C33FF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ACPRO publikuje na swojej stronie internetowej informację o możliwości instalacji licznika zdalnego odczytu zgodnie z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_Hlk127279402 \r \h </w:instrText>
      </w:r>
      <w:r w:rsidR="007D3331"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I.4.5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uśredniony łączny koszt instalacji i uruchomienia licznika zdalnego odczytu</w:t>
      </w:r>
      <w:bookmarkEnd w:id="32"/>
      <w:r w:rsidRPr="00EB2E7B">
        <w:rPr>
          <w:rFonts w:asciiTheme="minorHAnsi" w:hAnsiTheme="minorHAnsi" w:cstheme="minorHAnsi"/>
          <w:sz w:val="20"/>
          <w:szCs w:val="20"/>
        </w:rPr>
        <w:t>.</w:t>
      </w:r>
      <w:bookmarkStart w:id="33" w:name="_Hlk127279826"/>
      <w:bookmarkStart w:id="34" w:name="_Toc173236718"/>
      <w:bookmarkStart w:id="35" w:name="_Toc180153715"/>
    </w:p>
    <w:p w14:paraId="0AA4F28E" w14:textId="66A5EDDB" w:rsidR="00C61E18" w:rsidRPr="00EB2E7B" w:rsidRDefault="00F42B25">
      <w:pPr>
        <w:pStyle w:val="Nagwek2"/>
        <w:rPr>
          <w:rFonts w:asciiTheme="minorHAnsi" w:hAnsiTheme="minorHAnsi" w:cstheme="minorHAnsi"/>
          <w:bCs/>
          <w:sz w:val="20"/>
          <w:szCs w:val="20"/>
        </w:rPr>
      </w:pPr>
      <w:bookmarkStart w:id="36" w:name="_Toc239333308"/>
      <w:r w:rsidRPr="00EB2E7B">
        <w:rPr>
          <w:rFonts w:asciiTheme="minorHAnsi" w:hAnsiTheme="minorHAnsi" w:cstheme="minorHAnsi"/>
          <w:sz w:val="20"/>
          <w:szCs w:val="20"/>
        </w:rPr>
        <w:t>REJESTR MAGAZYNÓW ENERGII ELEKTRYCZNEJ</w:t>
      </w:r>
      <w:bookmarkEnd w:id="33"/>
      <w:bookmarkEnd w:id="34"/>
      <w:bookmarkEnd w:id="35"/>
      <w:bookmarkEnd w:id="36"/>
    </w:p>
    <w:p w14:paraId="74F9E62F" w14:textId="77777777" w:rsidR="00C61E18" w:rsidRPr="00EB2E7B" w:rsidRDefault="00C61E18" w:rsidP="003C4AE2">
      <w:pPr>
        <w:pStyle w:val="Nagwek3"/>
        <w:ind w:left="1134" w:hanging="1134"/>
        <w:rPr>
          <w:rFonts w:asciiTheme="minorHAnsi" w:hAnsiTheme="minorHAnsi" w:cstheme="minorHAnsi"/>
          <w:sz w:val="20"/>
          <w:szCs w:val="20"/>
        </w:rPr>
      </w:pPr>
      <w:bookmarkStart w:id="37" w:name="_Hlk127279838"/>
      <w:r w:rsidRPr="00EB2E7B">
        <w:rPr>
          <w:rFonts w:asciiTheme="minorHAnsi" w:hAnsiTheme="minorHAnsi" w:cstheme="minorHAnsi"/>
          <w:sz w:val="20"/>
          <w:szCs w:val="20"/>
        </w:rPr>
        <w:lastRenderedPageBreak/>
        <w:t>ACPRO prowadzi, w postaci elektronicznej, rejestr magazynów energii elektrycznej:</w:t>
      </w:r>
      <w:bookmarkEnd w:id="37"/>
    </w:p>
    <w:p w14:paraId="3200868C" w14:textId="77777777" w:rsidR="00C61E18" w:rsidRPr="00EB2E7B" w:rsidRDefault="00C61E18" w:rsidP="00EF3C5D">
      <w:pPr>
        <w:pStyle w:val="1przed"/>
        <w:numPr>
          <w:ilvl w:val="0"/>
          <w:numId w:val="262"/>
        </w:numPr>
        <w:ind w:left="1701" w:hanging="567"/>
        <w:rPr>
          <w:rFonts w:asciiTheme="minorHAnsi" w:hAnsiTheme="minorHAnsi" w:cstheme="minorHAnsi"/>
          <w:sz w:val="20"/>
          <w:szCs w:val="20"/>
        </w:rPr>
      </w:pPr>
      <w:bookmarkStart w:id="38" w:name="_Hlk127279934"/>
      <w:r w:rsidRPr="00EB2E7B">
        <w:rPr>
          <w:rFonts w:asciiTheme="minorHAnsi" w:hAnsiTheme="minorHAnsi" w:cstheme="minorHAnsi"/>
          <w:sz w:val="20"/>
          <w:szCs w:val="20"/>
        </w:rPr>
        <w:t>przyłączonych do sieci dystrybucyjnej ACPRO,</w:t>
      </w:r>
      <w:bookmarkEnd w:id="38"/>
    </w:p>
    <w:p w14:paraId="59366ADF" w14:textId="77777777" w:rsidR="00C61E18" w:rsidRPr="00EB2E7B" w:rsidRDefault="00C61E18" w:rsidP="00EF3C5D">
      <w:pPr>
        <w:pStyle w:val="1przed"/>
        <w:numPr>
          <w:ilvl w:val="0"/>
          <w:numId w:val="4"/>
        </w:numPr>
        <w:ind w:left="1701" w:hanging="567"/>
        <w:rPr>
          <w:rFonts w:asciiTheme="minorHAnsi" w:hAnsiTheme="minorHAnsi" w:cstheme="minorHAnsi"/>
          <w:sz w:val="20"/>
          <w:szCs w:val="20"/>
        </w:rPr>
      </w:pPr>
      <w:bookmarkStart w:id="39" w:name="_Hlk127279956"/>
      <w:r w:rsidRPr="00EB2E7B">
        <w:rPr>
          <w:rFonts w:asciiTheme="minorHAnsi" w:hAnsiTheme="minorHAnsi" w:cstheme="minorHAnsi"/>
          <w:sz w:val="20"/>
          <w:szCs w:val="20"/>
        </w:rPr>
        <w:t>stanowiących część sieci dystrybucyjnej ACPRO,</w:t>
      </w:r>
      <w:bookmarkEnd w:id="39"/>
    </w:p>
    <w:p w14:paraId="17AEC7D4" w14:textId="77777777" w:rsidR="00C61E18" w:rsidRPr="00EB2E7B" w:rsidRDefault="00C61E18" w:rsidP="00EF3C5D">
      <w:pPr>
        <w:pStyle w:val="1przed"/>
        <w:numPr>
          <w:ilvl w:val="0"/>
          <w:numId w:val="4"/>
        </w:numPr>
        <w:ind w:left="1701" w:hanging="567"/>
        <w:rPr>
          <w:rFonts w:asciiTheme="minorHAnsi" w:hAnsiTheme="minorHAnsi" w:cstheme="minorHAnsi"/>
          <w:sz w:val="20"/>
          <w:szCs w:val="20"/>
        </w:rPr>
      </w:pPr>
      <w:bookmarkStart w:id="40" w:name="_Hlk127279965"/>
      <w:r w:rsidRPr="00EB2E7B">
        <w:rPr>
          <w:rFonts w:asciiTheme="minorHAnsi" w:hAnsiTheme="minorHAnsi" w:cstheme="minorHAnsi"/>
          <w:sz w:val="20"/>
          <w:szCs w:val="20"/>
        </w:rPr>
        <w:t>wchodzących w skład jednostki wytwórczej lub instalacji odbiorcy końcowego przyłączonej do sieci dystrybucyjnej ACPRO.</w:t>
      </w:r>
      <w:bookmarkEnd w:id="40"/>
    </w:p>
    <w:p w14:paraId="2734C930" w14:textId="77777777" w:rsidR="00C61E18" w:rsidRPr="00EB2E7B" w:rsidRDefault="00C61E18" w:rsidP="00113925">
      <w:pPr>
        <w:ind w:left="1134" w:firstLine="0"/>
        <w:rPr>
          <w:rFonts w:asciiTheme="minorHAnsi" w:hAnsiTheme="minorHAnsi" w:cstheme="minorHAnsi"/>
          <w:sz w:val="20"/>
          <w:szCs w:val="20"/>
        </w:rPr>
      </w:pPr>
      <w:bookmarkStart w:id="41" w:name="_Hlk127279983"/>
      <w:r w:rsidRPr="00EB2E7B">
        <w:rPr>
          <w:rFonts w:asciiTheme="minorHAnsi" w:hAnsiTheme="minorHAnsi" w:cstheme="minorHAnsi"/>
          <w:sz w:val="20"/>
          <w:szCs w:val="20"/>
        </w:rPr>
        <w:t>Rejestr magazynów energii elektrycznej jest prowadzony zgodnie ze wzorem określonym w rozporządzeniu Ministra Klimatu i Środowiska z dnia 21 października 2021 r. w sprawie rejestru magazynów energii elektrycznej (Dz.U. z 2021 r. poz. 2010).</w:t>
      </w:r>
      <w:bookmarkEnd w:id="41"/>
    </w:p>
    <w:p w14:paraId="2F17009E" w14:textId="0FAF64F6" w:rsidR="00C61E18" w:rsidRPr="00EB2E7B" w:rsidRDefault="00C61E18" w:rsidP="003C4AE2">
      <w:pPr>
        <w:pStyle w:val="Nagwek3"/>
        <w:ind w:left="1134" w:hanging="1134"/>
        <w:rPr>
          <w:rFonts w:asciiTheme="minorHAnsi" w:hAnsiTheme="minorHAnsi" w:cstheme="minorHAnsi"/>
          <w:sz w:val="20"/>
          <w:szCs w:val="20"/>
        </w:rPr>
      </w:pPr>
      <w:bookmarkStart w:id="42" w:name="_Hlk127280007"/>
      <w:r w:rsidRPr="00EB2E7B">
        <w:rPr>
          <w:rFonts w:asciiTheme="minorHAnsi" w:hAnsiTheme="minorHAnsi" w:cstheme="minorHAnsi"/>
          <w:sz w:val="20"/>
          <w:szCs w:val="20"/>
        </w:rPr>
        <w:t xml:space="preserve">Wpisowi do rejestru,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_Hlk127279838 \r \h </w:instrText>
      </w:r>
      <w:r w:rsidR="00D21A53"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I.5.1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podlegają magazyny energii elektrycznej o łącznej mocy zainstalowanej większej niż 50 kW</w:t>
      </w:r>
      <w:bookmarkEnd w:id="42"/>
      <w:r w:rsidR="009B3401" w:rsidRPr="00EB2E7B">
        <w:rPr>
          <w:rFonts w:asciiTheme="minorHAnsi" w:hAnsiTheme="minorHAnsi" w:cstheme="minorHAnsi"/>
          <w:sz w:val="20"/>
          <w:szCs w:val="20"/>
        </w:rPr>
        <w:t xml:space="preserve"> oraz nie większej ni</w:t>
      </w:r>
      <w:r w:rsidR="00C45405" w:rsidRPr="00EB2E7B">
        <w:rPr>
          <w:rFonts w:asciiTheme="minorHAnsi" w:hAnsiTheme="minorHAnsi" w:cstheme="minorHAnsi"/>
          <w:sz w:val="20"/>
          <w:szCs w:val="20"/>
        </w:rPr>
        <w:t>ż 10 MW.</w:t>
      </w:r>
    </w:p>
    <w:p w14:paraId="207F807F" w14:textId="506340D0" w:rsidR="00C61E18" w:rsidRPr="00EB2E7B" w:rsidRDefault="00C61E18" w:rsidP="003C4AE2">
      <w:pPr>
        <w:pStyle w:val="Nagwek3"/>
        <w:ind w:left="1134" w:hanging="1134"/>
        <w:rPr>
          <w:rFonts w:asciiTheme="minorHAnsi" w:hAnsiTheme="minorHAnsi" w:cstheme="minorHAnsi"/>
          <w:sz w:val="20"/>
          <w:szCs w:val="20"/>
        </w:rPr>
      </w:pPr>
      <w:bookmarkStart w:id="43" w:name="_Hlk127280026"/>
      <w:r w:rsidRPr="00EB2E7B">
        <w:rPr>
          <w:rFonts w:asciiTheme="minorHAnsi" w:hAnsiTheme="minorHAnsi" w:cstheme="minorHAnsi"/>
          <w:sz w:val="20"/>
          <w:szCs w:val="20"/>
        </w:rPr>
        <w:t xml:space="preserve">ACPRO wpisuje magazyn energii elektrycznej do rejestru,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_Hlk127279838 \r \h </w:instrText>
      </w:r>
      <w:r w:rsidR="004D40F3"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I.5.1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 terminie 14 dni kalendarzowych od dnia oddania tego magazynu do eksploatacji lub otrzymania informacji, o której mowa w pkt </w:t>
      </w:r>
      <w:r w:rsidR="00542984" w:rsidRPr="00EB2E7B">
        <w:rPr>
          <w:rFonts w:asciiTheme="minorHAnsi" w:hAnsiTheme="minorHAnsi" w:cstheme="minorHAnsi"/>
          <w:sz w:val="20"/>
          <w:szCs w:val="20"/>
        </w:rPr>
        <w:fldChar w:fldCharType="begin"/>
      </w:r>
      <w:r w:rsidR="00542984" w:rsidRPr="00EB2E7B">
        <w:rPr>
          <w:rFonts w:asciiTheme="minorHAnsi" w:hAnsiTheme="minorHAnsi" w:cstheme="minorHAnsi"/>
          <w:sz w:val="20"/>
          <w:szCs w:val="20"/>
        </w:rPr>
        <w:instrText xml:space="preserve"> REF _Hlk127280059 \w \h  \* MERGEFORMAT </w:instrText>
      </w:r>
      <w:r w:rsidR="00542984" w:rsidRPr="00EB2E7B">
        <w:rPr>
          <w:rFonts w:asciiTheme="minorHAnsi" w:hAnsiTheme="minorHAnsi" w:cstheme="minorHAnsi"/>
          <w:sz w:val="20"/>
          <w:szCs w:val="20"/>
        </w:rPr>
      </w:r>
      <w:r w:rsidR="0054298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I.5.4</w:t>
      </w:r>
      <w:r w:rsidR="00542984"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43"/>
    </w:p>
    <w:p w14:paraId="56714C78" w14:textId="29EDD099" w:rsidR="00C61E18" w:rsidRPr="00EB2E7B" w:rsidRDefault="00C61E18"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gdy właściwym do dokonania wpisu do rejestru,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_Hlk127279838 \r \h </w:instrText>
      </w:r>
      <w:r w:rsidR="00BF242C"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I.5.1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poza ACPRO jest także inny operator systemu elektroenergetycznego, wpisu do rejestru dokonuje operator systemu dystrybucyjnego wskazany przez posiadacza magazynu energii elektrycznej.</w:t>
      </w:r>
    </w:p>
    <w:p w14:paraId="538F8A9C" w14:textId="77777777" w:rsidR="00C61E18" w:rsidRPr="00EB2E7B" w:rsidRDefault="00C61E18" w:rsidP="003C4AE2">
      <w:pPr>
        <w:pStyle w:val="Nagwek3"/>
        <w:ind w:left="1134" w:hanging="1134"/>
        <w:rPr>
          <w:rFonts w:asciiTheme="minorHAnsi" w:hAnsiTheme="minorHAnsi" w:cstheme="minorHAnsi"/>
          <w:sz w:val="20"/>
          <w:szCs w:val="20"/>
        </w:rPr>
      </w:pPr>
      <w:bookmarkStart w:id="44" w:name="_Hlk127280059"/>
      <w:r w:rsidRPr="00EB2E7B">
        <w:rPr>
          <w:rFonts w:asciiTheme="minorHAnsi" w:hAnsiTheme="minorHAnsi" w:cstheme="minorHAnsi"/>
          <w:sz w:val="20"/>
          <w:szCs w:val="20"/>
        </w:rPr>
        <w:t>W przypadku gdy magazyn energii elektrycznej wchodzi w skład jednostki wytwórczej lub instalacji odbiorcy końcowego przyłączonej do sieci ACPRO, posiadacz tego magazynu przekazuje ACPRO informację, zgodnie z wzorem i zakresem określonym w przepisach wydanych na podstawie Ustawy, w terminie 7 dni kalendarzowych od dnia oddania tego magazynu do eksploatacji.</w:t>
      </w:r>
      <w:bookmarkEnd w:id="44"/>
    </w:p>
    <w:p w14:paraId="44C5558B" w14:textId="70233320" w:rsidR="00C61E18" w:rsidRPr="00EB2E7B" w:rsidRDefault="00C61E18" w:rsidP="003C4AE2">
      <w:pPr>
        <w:pStyle w:val="Nagwek3"/>
        <w:ind w:left="1134" w:hanging="1134"/>
        <w:rPr>
          <w:rFonts w:asciiTheme="minorHAnsi" w:hAnsiTheme="minorHAnsi" w:cstheme="minorHAnsi"/>
          <w:sz w:val="20"/>
          <w:szCs w:val="20"/>
        </w:rPr>
      </w:pPr>
      <w:bookmarkStart w:id="45" w:name="_Hlk127280080"/>
      <w:r w:rsidRPr="00EB2E7B">
        <w:rPr>
          <w:rFonts w:asciiTheme="minorHAnsi" w:hAnsiTheme="minorHAnsi" w:cstheme="minorHAnsi"/>
          <w:sz w:val="20"/>
          <w:szCs w:val="20"/>
        </w:rPr>
        <w:t xml:space="preserve">Rejestr,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_Hlk127279838 \r \h </w:instrText>
      </w:r>
      <w:r w:rsidR="006337DB"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I.5.1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jest jawny i udostępniany przez ACPRO na stronie internetowej, z wyłączeniem informacji stanowiących tajemnicę przedsiębiorstwa, które zastrzegł posiadacz magazynu energii elektrycznej, lub podlegających ochronie danych osobowych.</w:t>
      </w:r>
      <w:bookmarkEnd w:id="45"/>
    </w:p>
    <w:p w14:paraId="616F8B4A" w14:textId="293D8A48" w:rsidR="00C61E18" w:rsidRPr="00EB2E7B" w:rsidRDefault="00C61E18" w:rsidP="003C4AE2">
      <w:pPr>
        <w:pStyle w:val="Nagwek3"/>
        <w:ind w:left="1134" w:hanging="1134"/>
        <w:rPr>
          <w:rFonts w:asciiTheme="minorHAnsi" w:hAnsiTheme="minorHAnsi" w:cstheme="minorHAnsi"/>
          <w:sz w:val="20"/>
          <w:szCs w:val="20"/>
        </w:rPr>
      </w:pPr>
      <w:bookmarkStart w:id="46" w:name="_Hlk127280094"/>
      <w:r w:rsidRPr="00EB2E7B">
        <w:rPr>
          <w:rFonts w:asciiTheme="minorHAnsi" w:hAnsiTheme="minorHAnsi" w:cstheme="minorHAnsi"/>
          <w:sz w:val="20"/>
          <w:szCs w:val="20"/>
        </w:rPr>
        <w:t xml:space="preserve">Posiadacz magazynu energii elektrycznej powiadamia ACPRO o wszelkiej zmianie danych określonych w rozporządzeniu,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_Hlk127279838 \r \h </w:instrText>
      </w:r>
      <w:r w:rsidR="003716C3"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I.5.1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terminie 14 dni kalendarzowych od dnia zmiany tych danych. ACPRO aktualizuje dane w terminie 14 dni kalendarzowych od dnia otrzymania powiadomienia.</w:t>
      </w:r>
      <w:bookmarkEnd w:id="46"/>
    </w:p>
    <w:p w14:paraId="33E8C918" w14:textId="77777777" w:rsidR="00473957" w:rsidRPr="00EB2E7B" w:rsidRDefault="0077111A" w:rsidP="00A42849">
      <w:pPr>
        <w:pStyle w:val="Nagwek1"/>
        <w:rPr>
          <w:rFonts w:asciiTheme="minorHAnsi" w:hAnsiTheme="minorHAnsi" w:cstheme="minorHAnsi"/>
          <w:sz w:val="20"/>
          <w:szCs w:val="20"/>
        </w:rPr>
      </w:pPr>
      <w:bookmarkStart w:id="47" w:name="_Ref75516589"/>
      <w:bookmarkStart w:id="48" w:name="_Toc180153716"/>
      <w:bookmarkStart w:id="49" w:name="_Toc239333309"/>
      <w:r w:rsidRPr="00EB2E7B">
        <w:rPr>
          <w:rFonts w:asciiTheme="minorHAnsi" w:hAnsiTheme="minorHAnsi" w:cstheme="minorHAnsi"/>
          <w:sz w:val="20"/>
          <w:szCs w:val="20"/>
        </w:rPr>
        <w:t xml:space="preserve">PRZYŁĄCZANIE ORAZ PLANOWANIE ROZWOJU SIECI DYSTRYBUCYJNEJ </w:t>
      </w:r>
      <w:r w:rsidR="00232DA9" w:rsidRPr="00EB2E7B">
        <w:rPr>
          <w:rFonts w:asciiTheme="minorHAnsi" w:hAnsiTheme="minorHAnsi" w:cstheme="minorHAnsi"/>
          <w:sz w:val="20"/>
          <w:szCs w:val="20"/>
        </w:rPr>
        <w:t>ACPRO</w:t>
      </w:r>
      <w:bookmarkEnd w:id="47"/>
      <w:bookmarkEnd w:id="48"/>
      <w:bookmarkEnd w:id="49"/>
    </w:p>
    <w:p w14:paraId="04777EAE" w14:textId="77777777" w:rsidR="00473957" w:rsidRPr="00EB2E7B" w:rsidRDefault="0077111A">
      <w:pPr>
        <w:pStyle w:val="Nagwek2"/>
        <w:rPr>
          <w:rFonts w:asciiTheme="minorHAnsi" w:hAnsiTheme="minorHAnsi" w:cstheme="minorHAnsi"/>
          <w:bCs/>
          <w:sz w:val="20"/>
          <w:szCs w:val="20"/>
        </w:rPr>
      </w:pPr>
      <w:bookmarkStart w:id="50" w:name="_Ref75428874"/>
      <w:bookmarkStart w:id="51" w:name="_Ref75433525"/>
      <w:bookmarkStart w:id="52" w:name="_Toc180153717"/>
      <w:bookmarkStart w:id="53" w:name="_Toc239333310"/>
      <w:r w:rsidRPr="00EB2E7B">
        <w:rPr>
          <w:rFonts w:asciiTheme="minorHAnsi" w:hAnsiTheme="minorHAnsi" w:cstheme="minorHAnsi"/>
          <w:sz w:val="20"/>
          <w:szCs w:val="20"/>
        </w:rPr>
        <w:t>ZASADY PRZYŁĄCZANIA</w:t>
      </w:r>
      <w:bookmarkEnd w:id="50"/>
      <w:bookmarkEnd w:id="51"/>
      <w:bookmarkEnd w:id="52"/>
      <w:bookmarkEnd w:id="53"/>
    </w:p>
    <w:p w14:paraId="77438E55" w14:textId="712895B7" w:rsidR="007D02CE"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Przyłączanie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następuje na podstawie umowy o</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przyłączenie i po spełnieniu warunków przyłączenia, określonych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albo na podstawie zgłoszenia przyłączenia mikroinstalacji, o którym mowa w</w:t>
      </w:r>
      <w:r w:rsidR="00E34825" w:rsidRPr="00EB2E7B">
        <w:rPr>
          <w:rFonts w:asciiTheme="minorHAnsi" w:hAnsiTheme="minorHAnsi" w:cstheme="minorHAnsi"/>
          <w:sz w:val="20"/>
          <w:szCs w:val="20"/>
        </w:rPr>
        <w:t> </w:t>
      </w:r>
      <w:r w:rsidRPr="00EB2E7B">
        <w:rPr>
          <w:rFonts w:asciiTheme="minorHAnsi" w:hAnsiTheme="minorHAnsi" w:cstheme="minorHAnsi"/>
          <w:sz w:val="20"/>
          <w:szCs w:val="20"/>
        </w:rPr>
        <w:t>p</w:t>
      </w:r>
      <w:r w:rsidR="00602ABC" w:rsidRPr="00EB2E7B">
        <w:rPr>
          <w:rFonts w:asciiTheme="minorHAnsi" w:hAnsiTheme="minorHAnsi" w:cstheme="minorHAnsi"/>
          <w:sz w:val="20"/>
          <w:szCs w:val="20"/>
        </w:rPr>
        <w:t xml:space="preserve">kt </w:t>
      </w:r>
      <w:r w:rsidR="00863B80" w:rsidRPr="00EB2E7B">
        <w:rPr>
          <w:rFonts w:asciiTheme="minorHAnsi" w:hAnsiTheme="minorHAnsi" w:cstheme="minorHAnsi"/>
          <w:sz w:val="20"/>
          <w:szCs w:val="20"/>
        </w:rPr>
        <w:fldChar w:fldCharType="begin"/>
      </w:r>
      <w:r w:rsidR="00863B80" w:rsidRPr="00EB2E7B">
        <w:rPr>
          <w:rFonts w:asciiTheme="minorHAnsi" w:hAnsiTheme="minorHAnsi" w:cstheme="minorHAnsi"/>
          <w:sz w:val="20"/>
          <w:szCs w:val="20"/>
        </w:rPr>
        <w:instrText xml:space="preserve"> REF _Ref189081881 \r \h </w:instrText>
      </w:r>
      <w:r w:rsidR="00602ABC" w:rsidRPr="00EB2E7B">
        <w:rPr>
          <w:rFonts w:asciiTheme="minorHAnsi" w:hAnsiTheme="minorHAnsi" w:cstheme="minorHAnsi"/>
          <w:sz w:val="20"/>
          <w:szCs w:val="20"/>
        </w:rPr>
        <w:instrText xml:space="preserve"> \* MERGEFORMAT </w:instrText>
      </w:r>
      <w:r w:rsidR="00863B80" w:rsidRPr="00EB2E7B">
        <w:rPr>
          <w:rFonts w:asciiTheme="minorHAnsi" w:hAnsiTheme="minorHAnsi" w:cstheme="minorHAnsi"/>
          <w:sz w:val="20"/>
          <w:szCs w:val="20"/>
        </w:rPr>
      </w:r>
      <w:r w:rsidR="00863B8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II.1.21</w:t>
      </w:r>
      <w:r w:rsidR="00863B8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2818F3FB" w14:textId="77777777" w:rsidR="00C61E18" w:rsidRPr="00EB2E7B" w:rsidRDefault="00C61E18" w:rsidP="003C4AE2">
      <w:pPr>
        <w:pStyle w:val="Nagwek3"/>
        <w:ind w:left="1134" w:hanging="1134"/>
        <w:rPr>
          <w:rFonts w:asciiTheme="minorHAnsi" w:hAnsiTheme="minorHAnsi" w:cstheme="minorHAnsi"/>
          <w:sz w:val="20"/>
          <w:szCs w:val="20"/>
        </w:rPr>
      </w:pPr>
      <w:bookmarkStart w:id="54" w:name="_Hlk127280268"/>
      <w:bookmarkStart w:id="55" w:name="_Ref130807867"/>
      <w:r w:rsidRPr="00EB2E7B">
        <w:rPr>
          <w:rFonts w:asciiTheme="minorHAnsi" w:hAnsiTheme="minorHAnsi" w:cstheme="minorHAnsi"/>
          <w:sz w:val="20"/>
          <w:szCs w:val="20"/>
        </w:rPr>
        <w:t>Procedura przyłączenia do sieci dystrybucyjnej ACPRO, z wyłączeniem mikroinstalacji przyłączanych na podstawie zgłoszenia, obejmuje</w:t>
      </w:r>
      <w:bookmarkEnd w:id="54"/>
      <w:r w:rsidRPr="00EB2E7B">
        <w:rPr>
          <w:rFonts w:asciiTheme="minorHAnsi" w:hAnsiTheme="minorHAnsi" w:cstheme="minorHAnsi"/>
          <w:sz w:val="20"/>
          <w:szCs w:val="20"/>
        </w:rPr>
        <w:t>:</w:t>
      </w:r>
      <w:bookmarkEnd w:id="55"/>
      <w:r w:rsidRPr="00EB2E7B">
        <w:rPr>
          <w:rFonts w:asciiTheme="minorHAnsi" w:hAnsiTheme="minorHAnsi" w:cstheme="minorHAnsi"/>
          <w:sz w:val="20"/>
          <w:szCs w:val="20"/>
        </w:rPr>
        <w:t xml:space="preserve"> </w:t>
      </w:r>
    </w:p>
    <w:p w14:paraId="6054B375" w14:textId="77777777" w:rsidR="00C61E18" w:rsidRPr="00EB2E7B" w:rsidRDefault="00C61E18" w:rsidP="00EF3C5D">
      <w:pPr>
        <w:pStyle w:val="1przed"/>
        <w:numPr>
          <w:ilvl w:val="0"/>
          <w:numId w:val="263"/>
        </w:numPr>
        <w:ind w:left="1701" w:hanging="567"/>
        <w:rPr>
          <w:rFonts w:asciiTheme="minorHAnsi" w:hAnsiTheme="minorHAnsi" w:cstheme="minorHAnsi"/>
          <w:sz w:val="20"/>
          <w:szCs w:val="20"/>
        </w:rPr>
      </w:pPr>
      <w:bookmarkStart w:id="56" w:name="_Hlk127280278"/>
      <w:r w:rsidRPr="00EB2E7B">
        <w:rPr>
          <w:rFonts w:asciiTheme="minorHAnsi" w:hAnsiTheme="minorHAnsi" w:cstheme="minorHAnsi"/>
          <w:sz w:val="20"/>
          <w:szCs w:val="20"/>
        </w:rPr>
        <w:t>pozyskanie przez podmiot od ACPRO, wzoru wniosku o określenie warunków przyłączenia lub wzoru wniosku o określenie warunków przyłączania mikroinstalacji (dalej „wniosek dla mikroinstalacji”)</w:t>
      </w:r>
      <w:bookmarkEnd w:id="56"/>
      <w:r w:rsidRPr="00EB2E7B">
        <w:rPr>
          <w:rFonts w:asciiTheme="minorHAnsi" w:hAnsiTheme="minorHAnsi" w:cstheme="minorHAnsi"/>
          <w:sz w:val="20"/>
          <w:szCs w:val="20"/>
        </w:rPr>
        <w:t xml:space="preserve">, </w:t>
      </w:r>
    </w:p>
    <w:p w14:paraId="2C757017" w14:textId="77777777" w:rsidR="00C61E18" w:rsidRPr="00EB2E7B" w:rsidRDefault="00C61E18" w:rsidP="00EF3C5D">
      <w:pPr>
        <w:pStyle w:val="1przed"/>
        <w:ind w:left="1701" w:hanging="567"/>
        <w:rPr>
          <w:rFonts w:asciiTheme="minorHAnsi" w:hAnsiTheme="minorHAnsi" w:cstheme="minorHAnsi"/>
          <w:sz w:val="20"/>
          <w:szCs w:val="20"/>
        </w:rPr>
      </w:pPr>
      <w:bookmarkStart w:id="57" w:name="_Hlk127280294"/>
      <w:r w:rsidRPr="00EB2E7B">
        <w:rPr>
          <w:rFonts w:asciiTheme="minorHAnsi" w:hAnsiTheme="minorHAnsi" w:cstheme="minorHAnsi"/>
          <w:sz w:val="20"/>
          <w:szCs w:val="20"/>
        </w:rPr>
        <w:lastRenderedPageBreak/>
        <w:t xml:space="preserve">złożenie </w:t>
      </w:r>
      <w:bookmarkEnd w:id="57"/>
      <w:r w:rsidRPr="00EB2E7B">
        <w:rPr>
          <w:rFonts w:asciiTheme="minorHAnsi" w:hAnsiTheme="minorHAnsi" w:cstheme="minorHAnsi"/>
          <w:sz w:val="20"/>
          <w:szCs w:val="20"/>
        </w:rPr>
        <w:t xml:space="preserve">przez podmiot u ACPRO, wniosku o określenie warunków przyłączenia wraz z wymaganymi załącznikami, zgodnego ze wzorem określonym przez ACPRO. Wniosek składa się w formie pisemnej, dokumentowej lub elektronicznej. Wnioski w formie elektronicznej mogą być opatrzone kwalifikowanym podpisem elektronicznym lub profilem zaufanym </w:t>
      </w:r>
      <w:proofErr w:type="spellStart"/>
      <w:r w:rsidRPr="00EB2E7B">
        <w:rPr>
          <w:rFonts w:asciiTheme="minorHAnsi" w:hAnsiTheme="minorHAnsi" w:cstheme="minorHAnsi"/>
          <w:sz w:val="20"/>
          <w:szCs w:val="20"/>
        </w:rPr>
        <w:t>ePUAP</w:t>
      </w:r>
      <w:proofErr w:type="spellEnd"/>
      <w:r w:rsidRPr="00EB2E7B">
        <w:rPr>
          <w:rFonts w:asciiTheme="minorHAnsi" w:hAnsiTheme="minorHAnsi" w:cstheme="minorHAnsi"/>
          <w:sz w:val="20"/>
          <w:szCs w:val="20"/>
        </w:rPr>
        <w:t>; datą złożenia wniosku jest data otrzymania przez ACPRO kompletnego wniosku spełniającego wymagania, o których mowa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3059DB01" w14:textId="250137C9" w:rsidR="00C61E18" w:rsidRPr="00EB2E7B" w:rsidRDefault="00C61E18" w:rsidP="00EF3C5D">
      <w:pPr>
        <w:pStyle w:val="1przed"/>
        <w:ind w:left="1701" w:hanging="567"/>
        <w:rPr>
          <w:rFonts w:asciiTheme="minorHAnsi" w:hAnsiTheme="minorHAnsi" w:cstheme="minorHAnsi"/>
          <w:sz w:val="20"/>
          <w:szCs w:val="20"/>
        </w:rPr>
      </w:pPr>
      <w:bookmarkStart w:id="58" w:name="_Hlk127280309"/>
      <w:bookmarkStart w:id="59" w:name="_Ref130807877"/>
      <w:r w:rsidRPr="00EB2E7B">
        <w:rPr>
          <w:rFonts w:asciiTheme="minorHAnsi" w:hAnsiTheme="minorHAnsi" w:cstheme="minorHAnsi"/>
          <w:sz w:val="20"/>
          <w:szCs w:val="20"/>
        </w:rPr>
        <w:t>w przypadku wniosku dla mikroinstalacji, sporządza się go na piśmie utrwalonym w postaci elektronicznej, opatrzonej kwalifikowanym podpisem elektronicznym, podpisem zaufanym albo podpisem osobistym, albo w</w:t>
      </w:r>
      <w:r w:rsidR="006210F3" w:rsidRPr="00EB2E7B">
        <w:rPr>
          <w:rFonts w:asciiTheme="minorHAnsi" w:hAnsiTheme="minorHAnsi" w:cstheme="minorHAnsi"/>
          <w:sz w:val="20"/>
          <w:szCs w:val="20"/>
        </w:rPr>
        <w:t> </w:t>
      </w:r>
      <w:r w:rsidRPr="00EB2E7B">
        <w:rPr>
          <w:rFonts w:asciiTheme="minorHAnsi" w:hAnsiTheme="minorHAnsi" w:cstheme="minorHAnsi"/>
          <w:sz w:val="20"/>
          <w:szCs w:val="20"/>
        </w:rPr>
        <w:t>postaci papierowej opatrzonej podpisem własnoręcznym i składa się</w:t>
      </w:r>
      <w:bookmarkEnd w:id="58"/>
      <w:r w:rsidRPr="00EB2E7B">
        <w:rPr>
          <w:rFonts w:asciiTheme="minorHAnsi" w:hAnsiTheme="minorHAnsi" w:cstheme="minorHAnsi"/>
          <w:sz w:val="20"/>
          <w:szCs w:val="20"/>
        </w:rPr>
        <w:t>:</w:t>
      </w:r>
      <w:bookmarkEnd w:id="59"/>
    </w:p>
    <w:p w14:paraId="02337522" w14:textId="7A0ACDA8" w:rsidR="00C61E18" w:rsidRPr="00EB2E7B" w:rsidRDefault="00C61E18" w:rsidP="006210F3">
      <w:pPr>
        <w:pStyle w:val="apo"/>
        <w:numPr>
          <w:ilvl w:val="0"/>
          <w:numId w:val="264"/>
        </w:numPr>
        <w:ind w:left="2268" w:hanging="567"/>
        <w:rPr>
          <w:rFonts w:asciiTheme="minorHAnsi" w:hAnsiTheme="minorHAnsi" w:cstheme="minorHAnsi"/>
          <w:sz w:val="20"/>
          <w:szCs w:val="20"/>
        </w:rPr>
      </w:pPr>
      <w:bookmarkStart w:id="60" w:name="_Hlk127280337"/>
      <w:bookmarkStart w:id="61" w:name="_Ref190075949"/>
      <w:r w:rsidRPr="00EB2E7B">
        <w:rPr>
          <w:rFonts w:asciiTheme="minorHAnsi" w:hAnsiTheme="minorHAnsi" w:cstheme="minorHAnsi"/>
          <w:sz w:val="20"/>
          <w:szCs w:val="20"/>
        </w:rPr>
        <w:t xml:space="preserve">z wykorzystaniem środków komunikacji elektronicznej w rozumieniu art. 2 pkt 5 ustawy z dnia 18 lipca 2002 r. o świadczeniu usług drogą elektroniczną (Dz. U. z 2020 r. poz. 344), w tym elektronicznej skrzynki podawczej w rozumieniu art. 3 pkt 17 ustawy z dnia 17 lutego 2005 r. o informatyzacji działalności podmiotów realizujących zadania publiczne (Dz. U. z 2021 r. poz. 2070) lub publicznej usługi rejestrowanego doręczenia elektronicznego na adres do doręczeń elektronicznych wpisany do bazy adresów elektronicznych, o której mowa w art. 4 ust. 1 ustawy z dnia 18 listopada 2020 r. o doręczeniach elektronicznych (Dz. U. z 2020r. poz. 2320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 lub publicznej usługi hybrydowej w rozumieniu art. 2 pkt 7 tej ustawy – w przypadku wniosku dla mikroinstalacji sporządzonego na piśmie utrwalonym w postaci elektronicznej</w:t>
      </w:r>
      <w:r w:rsidR="00C42C55" w:rsidRPr="00EB2E7B">
        <w:rPr>
          <w:rFonts w:asciiTheme="minorHAnsi" w:hAnsiTheme="minorHAnsi" w:cstheme="minorHAnsi"/>
          <w:sz w:val="20"/>
          <w:szCs w:val="20"/>
        </w:rPr>
        <w:t xml:space="preserve"> </w:t>
      </w:r>
      <w:r w:rsidRPr="00EB2E7B">
        <w:rPr>
          <w:rFonts w:asciiTheme="minorHAnsi" w:hAnsiTheme="minorHAnsi" w:cstheme="minorHAnsi"/>
          <w:sz w:val="20"/>
          <w:szCs w:val="20"/>
        </w:rPr>
        <w:t>albo</w:t>
      </w:r>
      <w:bookmarkEnd w:id="60"/>
      <w:r w:rsidRPr="00EB2E7B">
        <w:rPr>
          <w:rFonts w:asciiTheme="minorHAnsi" w:hAnsiTheme="minorHAnsi" w:cstheme="minorHAnsi"/>
          <w:sz w:val="20"/>
          <w:szCs w:val="20"/>
        </w:rPr>
        <w:t>,</w:t>
      </w:r>
      <w:bookmarkEnd w:id="61"/>
      <w:r w:rsidRPr="00EB2E7B">
        <w:rPr>
          <w:rFonts w:asciiTheme="minorHAnsi" w:hAnsiTheme="minorHAnsi" w:cstheme="minorHAnsi"/>
          <w:sz w:val="20"/>
          <w:szCs w:val="20"/>
        </w:rPr>
        <w:t xml:space="preserve"> </w:t>
      </w:r>
    </w:p>
    <w:p w14:paraId="0B213C92" w14:textId="77777777" w:rsidR="00C61E18" w:rsidRPr="00EB2E7B" w:rsidRDefault="00C61E18" w:rsidP="006210F3">
      <w:pPr>
        <w:pStyle w:val="apo"/>
        <w:numPr>
          <w:ilvl w:val="0"/>
          <w:numId w:val="8"/>
        </w:numPr>
        <w:ind w:left="2268" w:hanging="567"/>
        <w:rPr>
          <w:rFonts w:asciiTheme="minorHAnsi" w:hAnsiTheme="minorHAnsi" w:cstheme="minorHAnsi"/>
          <w:sz w:val="20"/>
          <w:szCs w:val="20"/>
        </w:rPr>
      </w:pPr>
      <w:bookmarkStart w:id="62" w:name="_Hlk127280364"/>
      <w:r w:rsidRPr="00EB2E7B">
        <w:rPr>
          <w:rFonts w:asciiTheme="minorHAnsi" w:hAnsiTheme="minorHAnsi" w:cstheme="minorHAnsi"/>
          <w:sz w:val="20"/>
          <w:szCs w:val="20"/>
        </w:rPr>
        <w:t xml:space="preserve">za pośrednictwem operatora wyznaczonego w rozumieniu art. 3 pkt 13 ustawy z dnia 23 listopada 2012 r. – Prawo pocztowe (Dz. U. z 2020 r. poz. 1041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 lub placówki pocztowej operatora świadczącego pocztowe usługi powszechne w innym państwie członkowskim Unii Europejskiej, Konfederacji Szwajcarskiej, państwie członkowskim Europejskiego Porozumienia o Wolnym Handlu (EFTA) – stronie umowy o Europejskim Obszarze Gospodarczym, lub osobiście w siedzibie ACPRO – w przypadku wniosku dla mikroinstalacji sporządzonego na piśmie utrwalonym w postaci papierowej.</w:t>
      </w:r>
      <w:bookmarkEnd w:id="62"/>
    </w:p>
    <w:p w14:paraId="151D6EC2" w14:textId="2EE089FF" w:rsidR="00C61E18" w:rsidRPr="00EB2E7B" w:rsidRDefault="00C61E18" w:rsidP="003C4AE2">
      <w:pPr>
        <w:pStyle w:val="apo"/>
        <w:rPr>
          <w:rFonts w:asciiTheme="minorHAnsi" w:hAnsiTheme="minorHAnsi" w:cstheme="minorHAnsi"/>
          <w:sz w:val="20"/>
          <w:szCs w:val="20"/>
        </w:rPr>
      </w:pPr>
      <w:bookmarkStart w:id="63" w:name="_Hlk127280378"/>
      <w:r w:rsidRPr="00EB2E7B">
        <w:rPr>
          <w:rFonts w:asciiTheme="minorHAnsi" w:hAnsiTheme="minorHAnsi" w:cstheme="minorHAnsi"/>
          <w:sz w:val="20"/>
          <w:szCs w:val="20"/>
        </w:rPr>
        <w:t xml:space="preserve">Wniosek dla mikroinstalacji rozpatruje się w postaci elektronicznej, w przypadku gdy wniosek ten został złożony w sposób określony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BB0546" w:rsidRPr="00EB2E7B">
        <w:rPr>
          <w:rFonts w:asciiTheme="minorHAnsi" w:hAnsiTheme="minorHAnsi" w:cstheme="minorHAnsi"/>
          <w:sz w:val="20"/>
          <w:szCs w:val="20"/>
        </w:rPr>
        <w:fldChar w:fldCharType="begin"/>
      </w:r>
      <w:r w:rsidR="00BB0546" w:rsidRPr="00EB2E7B">
        <w:rPr>
          <w:rFonts w:asciiTheme="minorHAnsi" w:hAnsiTheme="minorHAnsi" w:cstheme="minorHAnsi"/>
          <w:sz w:val="20"/>
          <w:szCs w:val="20"/>
        </w:rPr>
        <w:instrText xml:space="preserve"> REF _Ref190075949 \w \h  \* MERGEFORMAT </w:instrText>
      </w:r>
      <w:r w:rsidR="00BB0546" w:rsidRPr="00EB2E7B">
        <w:rPr>
          <w:rFonts w:asciiTheme="minorHAnsi" w:hAnsiTheme="minorHAnsi" w:cstheme="minorHAnsi"/>
          <w:sz w:val="20"/>
          <w:szCs w:val="20"/>
        </w:rPr>
      </w:r>
      <w:r w:rsidR="00BB054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BB05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gdy wniosek ten został złożony w sposób określony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BB0546" w:rsidRPr="00EB2E7B">
        <w:rPr>
          <w:rFonts w:asciiTheme="minorHAnsi" w:hAnsiTheme="minorHAnsi" w:cstheme="minorHAnsi"/>
          <w:sz w:val="20"/>
          <w:szCs w:val="20"/>
        </w:rPr>
        <w:fldChar w:fldCharType="begin"/>
      </w:r>
      <w:r w:rsidR="00BB0546" w:rsidRPr="00EB2E7B">
        <w:rPr>
          <w:rFonts w:asciiTheme="minorHAnsi" w:hAnsiTheme="minorHAnsi" w:cstheme="minorHAnsi"/>
          <w:sz w:val="20"/>
          <w:szCs w:val="20"/>
          <w:highlight w:val="green"/>
        </w:rPr>
        <w:instrText xml:space="preserve"> REF _Hlk127280364 \w \h  \* MERGEFORMAT </w:instrText>
      </w:r>
      <w:r w:rsidR="00BB0546" w:rsidRPr="00EB2E7B">
        <w:rPr>
          <w:rFonts w:asciiTheme="minorHAnsi" w:hAnsiTheme="minorHAnsi" w:cstheme="minorHAnsi"/>
          <w:sz w:val="20"/>
          <w:szCs w:val="20"/>
        </w:rPr>
      </w:r>
      <w:r w:rsidR="00BB0546" w:rsidRPr="00EB2E7B">
        <w:rPr>
          <w:rFonts w:asciiTheme="minorHAnsi" w:hAnsiTheme="minorHAnsi" w:cstheme="minorHAnsi"/>
          <w:sz w:val="20"/>
          <w:szCs w:val="20"/>
        </w:rPr>
        <w:fldChar w:fldCharType="separate"/>
      </w:r>
      <w:r w:rsidR="006A408D" w:rsidRPr="006A408D">
        <w:rPr>
          <w:rFonts w:asciiTheme="minorHAnsi" w:hAnsiTheme="minorHAnsi" w:cstheme="minorHAnsi"/>
          <w:sz w:val="20"/>
          <w:szCs w:val="20"/>
        </w:rPr>
        <w:t>b)</w:t>
      </w:r>
      <w:r w:rsidR="00BB05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składający wniosek wyraził zgodę na prowadzenie sprawy w postaci elektronicznej,</w:t>
      </w:r>
      <w:bookmarkEnd w:id="63"/>
    </w:p>
    <w:p w14:paraId="252EB80C" w14:textId="77777777" w:rsidR="00C61E18" w:rsidRPr="00EB2E7B" w:rsidRDefault="00C61E18" w:rsidP="00EF3C5D">
      <w:pPr>
        <w:pStyle w:val="1przed"/>
        <w:ind w:left="1701" w:hanging="567"/>
        <w:rPr>
          <w:rFonts w:asciiTheme="minorHAnsi" w:hAnsiTheme="minorHAnsi" w:cstheme="minorHAnsi"/>
          <w:sz w:val="20"/>
          <w:szCs w:val="20"/>
        </w:rPr>
      </w:pPr>
      <w:bookmarkStart w:id="64" w:name="_Hlk127280481"/>
      <w:r w:rsidRPr="00EB2E7B">
        <w:rPr>
          <w:rFonts w:asciiTheme="minorHAnsi" w:hAnsiTheme="minorHAnsi" w:cstheme="minorHAnsi"/>
          <w:sz w:val="20"/>
          <w:szCs w:val="20"/>
        </w:rPr>
        <w:t xml:space="preserve">w przypadku </w:t>
      </w:r>
      <w:bookmarkEnd w:id="64"/>
      <w:r w:rsidRPr="00EB2E7B">
        <w:rPr>
          <w:rFonts w:asciiTheme="minorHAnsi" w:hAnsiTheme="minorHAnsi" w:cstheme="minorHAnsi"/>
          <w:sz w:val="20"/>
          <w:szCs w:val="20"/>
        </w:rPr>
        <w:t xml:space="preserve">podmiotów ubiegających się o przyłączenie źródła lub magazynu energii elektrycznej do sieci elektroenergetycznej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(z wyłączeniem przypadków określonych w Ustawie) wpłacenie na rachunek bankowy, wskazany przez ACPRO, zaliczki na poczet opłaty za przyłączenie do sieci; zaliczkę wnosi się w ciągu 14 dni kalendarzowych od dnia złożenia wniosku o określenie warunków przyłączenia, pod rygorem pozostawienia wniosku bez rozpatrzenia. Datą wniesienia zaliczki jest dzień uznania rachunku bankowego ACPRO. Zaliczka nie może być wniesiona przez podmiot trzeci na rzecz wnioskodawcy. Wzory wniosków o określenie warunków przyłączenia źródła lub magazynu energii elektrycznej zawierają pouczenie o zasadach i terminie wniesienia zaliczki, </w:t>
      </w:r>
    </w:p>
    <w:p w14:paraId="0C577C11" w14:textId="77777777" w:rsidR="00C61E18" w:rsidRPr="00EB2E7B" w:rsidRDefault="00C61E18" w:rsidP="00EF3C5D">
      <w:pPr>
        <w:pStyle w:val="1przed"/>
        <w:ind w:left="1701" w:hanging="567"/>
        <w:rPr>
          <w:rFonts w:asciiTheme="minorHAnsi" w:hAnsiTheme="minorHAnsi" w:cstheme="minorHAnsi"/>
          <w:sz w:val="20"/>
          <w:szCs w:val="20"/>
        </w:rPr>
      </w:pPr>
      <w:bookmarkStart w:id="65" w:name="_Hlk127280508"/>
      <w:r w:rsidRPr="00EB2E7B">
        <w:rPr>
          <w:rFonts w:asciiTheme="minorHAnsi" w:hAnsiTheme="minorHAnsi" w:cstheme="minorHAnsi"/>
          <w:sz w:val="20"/>
          <w:szCs w:val="20"/>
        </w:rPr>
        <w:lastRenderedPageBreak/>
        <w:t>w przypadku wniesienia zaliczki na poczet opłaty za przyłączenie przed dniem złożenia wniosku o określenie warunków przyłączenia, ACPRO niezwłocznie zwraca zaliczkę</w:t>
      </w:r>
      <w:bookmarkEnd w:id="65"/>
      <w:r w:rsidRPr="00EB2E7B">
        <w:rPr>
          <w:rFonts w:asciiTheme="minorHAnsi" w:hAnsiTheme="minorHAnsi" w:cstheme="minorHAnsi"/>
          <w:sz w:val="20"/>
          <w:szCs w:val="20"/>
        </w:rPr>
        <w:t>,</w:t>
      </w:r>
    </w:p>
    <w:p w14:paraId="133F4FE3" w14:textId="40FCEA15" w:rsidR="00C61E18" w:rsidRPr="00EB2E7B" w:rsidRDefault="00C61E18" w:rsidP="00EF3C5D">
      <w:pPr>
        <w:pStyle w:val="1przed"/>
        <w:ind w:left="1701" w:hanging="567"/>
        <w:rPr>
          <w:rFonts w:asciiTheme="minorHAnsi" w:hAnsiTheme="minorHAnsi" w:cstheme="minorHAnsi"/>
          <w:sz w:val="20"/>
          <w:szCs w:val="20"/>
        </w:rPr>
      </w:pPr>
      <w:bookmarkStart w:id="66" w:name="_Hlk127280544"/>
      <w:r w:rsidRPr="00EB2E7B">
        <w:rPr>
          <w:rFonts w:asciiTheme="minorHAnsi" w:hAnsiTheme="minorHAnsi" w:cstheme="minorHAnsi"/>
          <w:sz w:val="20"/>
          <w:szCs w:val="20"/>
        </w:rPr>
        <w:t xml:space="preserve">jeżeli </w:t>
      </w:r>
      <w:bookmarkEnd w:id="66"/>
      <w:r w:rsidRPr="00EB2E7B">
        <w:rPr>
          <w:rFonts w:asciiTheme="minorHAnsi" w:hAnsiTheme="minorHAnsi" w:cstheme="minorHAnsi"/>
          <w:sz w:val="20"/>
          <w:szCs w:val="20"/>
        </w:rPr>
        <w:t>wniosek o określenie warunków przyłączenia nie spełnia wymagań określonych odpowiednio dla danego rodzaju wniosku lub wymagań określonych w art. 7 Ustawy lub został złożony niezgodnie z wzorem udostępnionym przez ACPRO, ACPRO wzywa wnioskodawcę do usunięcia braków w terminie 14 dni kalendarzowych od dnia otrzymania wezwania z</w:t>
      </w:r>
      <w:r w:rsidR="0069202C" w:rsidRPr="00EB2E7B">
        <w:rPr>
          <w:rFonts w:asciiTheme="minorHAnsi" w:hAnsiTheme="minorHAnsi" w:cstheme="minorHAnsi"/>
          <w:sz w:val="20"/>
          <w:szCs w:val="20"/>
        </w:rPr>
        <w:t> </w:t>
      </w:r>
      <w:r w:rsidRPr="00EB2E7B">
        <w:rPr>
          <w:rFonts w:asciiTheme="minorHAnsi" w:hAnsiTheme="minorHAnsi" w:cstheme="minorHAnsi"/>
          <w:sz w:val="20"/>
          <w:szCs w:val="20"/>
        </w:rPr>
        <w:t>pouczeniem, że nieusunięcie braków w wyznaczonym terminie spowoduje pozostawienie tego wniosku bez rozpoznania,</w:t>
      </w:r>
    </w:p>
    <w:p w14:paraId="7EE88008" w14:textId="77777777" w:rsidR="00C61E18" w:rsidRPr="00EB2E7B" w:rsidRDefault="00C61E18" w:rsidP="00EF3C5D">
      <w:pPr>
        <w:pStyle w:val="1przed"/>
        <w:ind w:left="1701" w:hanging="567"/>
        <w:rPr>
          <w:rFonts w:asciiTheme="minorHAnsi" w:hAnsiTheme="minorHAnsi" w:cstheme="minorHAnsi"/>
          <w:sz w:val="20"/>
          <w:szCs w:val="20"/>
        </w:rPr>
      </w:pPr>
      <w:bookmarkStart w:id="67" w:name="_Hlk127280555"/>
      <w:r w:rsidRPr="00EB2E7B">
        <w:rPr>
          <w:rFonts w:asciiTheme="minorHAnsi" w:hAnsiTheme="minorHAnsi" w:cstheme="minorHAnsi"/>
          <w:sz w:val="20"/>
          <w:szCs w:val="20"/>
        </w:rPr>
        <w:t>w przypadku nieusunięcia braków w wyznaczonym terminie, wniosek o określenie warunków przyłączenia pozostawia się bez rozpoznania, o czym ACPRO informuje wnioskodawcę</w:t>
      </w:r>
      <w:bookmarkEnd w:id="67"/>
      <w:r w:rsidRPr="00EB2E7B">
        <w:rPr>
          <w:rFonts w:asciiTheme="minorHAnsi" w:hAnsiTheme="minorHAnsi" w:cstheme="minorHAnsi"/>
          <w:sz w:val="20"/>
          <w:szCs w:val="20"/>
        </w:rPr>
        <w:t xml:space="preserve">, </w:t>
      </w:r>
    </w:p>
    <w:p w14:paraId="38849CD1" w14:textId="77777777" w:rsidR="00C61E18" w:rsidRPr="00EB2E7B" w:rsidRDefault="00C61E18" w:rsidP="00EF3C5D">
      <w:pPr>
        <w:pStyle w:val="1przed"/>
        <w:ind w:left="1701" w:hanging="567"/>
        <w:rPr>
          <w:rFonts w:asciiTheme="minorHAnsi" w:hAnsiTheme="minorHAnsi" w:cstheme="minorHAnsi"/>
          <w:sz w:val="20"/>
          <w:szCs w:val="20"/>
        </w:rPr>
      </w:pPr>
      <w:bookmarkStart w:id="68" w:name="_Hlk127280580"/>
      <w:r w:rsidRPr="00EB2E7B">
        <w:rPr>
          <w:rFonts w:asciiTheme="minorHAnsi" w:hAnsiTheme="minorHAnsi" w:cstheme="minorHAnsi"/>
          <w:sz w:val="20"/>
          <w:szCs w:val="20"/>
        </w:rPr>
        <w:t>w przypadku, gdy złożony wniosek dla mikroinstalacji jest niekompletny, nieprawidłowo wypełniony lub nie został złożony zgodnie ze wzorem określonym przez ACPRO, ACPRO w terminie 7 dni kalendarzowych od daty wpływu wniosku wzywa składającego wniosek do jego uzupełnienia lub poprawienia w wyznaczonym terminie, nie krótszym jednak niż 30 dni kalendarzowych od dnia doręczenia wezwania.</w:t>
      </w:r>
      <w:bookmarkEnd w:id="68"/>
      <w:r w:rsidRPr="00EB2E7B">
        <w:rPr>
          <w:rFonts w:asciiTheme="minorHAnsi" w:hAnsiTheme="minorHAnsi" w:cstheme="minorHAnsi"/>
          <w:sz w:val="20"/>
          <w:szCs w:val="20"/>
        </w:rPr>
        <w:t xml:space="preserve"> </w:t>
      </w:r>
    </w:p>
    <w:p w14:paraId="5280E15B" w14:textId="77777777" w:rsidR="00C61E18" w:rsidRPr="00EB2E7B" w:rsidRDefault="00C61E18" w:rsidP="00EF06A5">
      <w:pPr>
        <w:pStyle w:val="1przed"/>
        <w:numPr>
          <w:ilvl w:val="0"/>
          <w:numId w:val="0"/>
        </w:numPr>
        <w:ind w:left="1701"/>
        <w:rPr>
          <w:rFonts w:asciiTheme="minorHAnsi" w:hAnsiTheme="minorHAnsi" w:cstheme="minorHAnsi"/>
          <w:sz w:val="20"/>
          <w:szCs w:val="20"/>
        </w:rPr>
      </w:pPr>
      <w:bookmarkStart w:id="69" w:name="_Hlk127280601"/>
      <w:r w:rsidRPr="00EB2E7B">
        <w:rPr>
          <w:rFonts w:asciiTheme="minorHAnsi" w:hAnsiTheme="minorHAnsi" w:cstheme="minorHAnsi"/>
          <w:sz w:val="20"/>
          <w:szCs w:val="20"/>
        </w:rPr>
        <w:t>Nadanie w terminie uzupełnionego lub poprawionego wniosku dla mikroinstalacji w polskiej placówce pocztowej operatora wyznaczonego w rozumieniu art. 3 pkt 13 ustawy z dnia 23 listopada 2012 r. – Prawo pocztowe lub w placówce pocztowej operatora świadczącego pocztowe usługi powszechne w innym państwie członkowskim Unii Europejskiej, Konfederacji Szwajcarskiej, państwie członkowskim Europejskiego Porozumienia o Wolnym Handlu (EFTA) – stronie umowy o Europejskim Obszarze Gospodarczym albo wniesienie go za pomocą środków komunikacji elektronicznej w rozumieniu art. 2 pkt 5 ustawy z dnia 18 lipca 2002 r. o świadczeniu usług drogą elektroniczną w postaci elektronicznej opatrzonej kwalifikowanym podpisem elektronicznym, podpisem zaufanym lub podpisem osobistym jest równoznaczne z wniesieniem go w terminie.</w:t>
      </w:r>
      <w:bookmarkEnd w:id="69"/>
    </w:p>
    <w:p w14:paraId="35523B52" w14:textId="77777777" w:rsidR="00C61E18" w:rsidRPr="00EB2E7B" w:rsidRDefault="00C61E18" w:rsidP="00EF06A5">
      <w:pPr>
        <w:pStyle w:val="1przed"/>
        <w:numPr>
          <w:ilvl w:val="0"/>
          <w:numId w:val="0"/>
        </w:numPr>
        <w:ind w:left="1701"/>
        <w:rPr>
          <w:rFonts w:asciiTheme="minorHAnsi" w:hAnsiTheme="minorHAnsi" w:cstheme="minorHAnsi"/>
          <w:sz w:val="20"/>
          <w:szCs w:val="20"/>
        </w:rPr>
      </w:pPr>
      <w:bookmarkStart w:id="70" w:name="_Hlk127280628"/>
      <w:r w:rsidRPr="00EB2E7B">
        <w:rPr>
          <w:rFonts w:asciiTheme="minorHAnsi" w:hAnsiTheme="minorHAnsi" w:cstheme="minorHAnsi"/>
          <w:sz w:val="20"/>
          <w:szCs w:val="20"/>
        </w:rPr>
        <w:t>Wniosek dla mikroinstalacji nieuzupełniony lub niepoprawiony w terminie wyznaczonym przez ACPRO pozostawia się bez rozpatrzenia</w:t>
      </w:r>
      <w:bookmarkEnd w:id="70"/>
      <w:r w:rsidRPr="00EB2E7B">
        <w:rPr>
          <w:rFonts w:asciiTheme="minorHAnsi" w:hAnsiTheme="minorHAnsi" w:cstheme="minorHAnsi"/>
          <w:sz w:val="20"/>
          <w:szCs w:val="20"/>
        </w:rPr>
        <w:t xml:space="preserve">. </w:t>
      </w:r>
    </w:p>
    <w:p w14:paraId="2EBA9BC5" w14:textId="77777777" w:rsidR="00C61E18" w:rsidRPr="00EB2E7B" w:rsidRDefault="00C61E18" w:rsidP="00EF3C5D">
      <w:pPr>
        <w:pStyle w:val="1przed"/>
        <w:ind w:left="1701" w:hanging="567"/>
        <w:rPr>
          <w:rFonts w:asciiTheme="minorHAnsi" w:hAnsiTheme="minorHAnsi" w:cstheme="minorHAnsi"/>
          <w:sz w:val="20"/>
          <w:szCs w:val="20"/>
        </w:rPr>
      </w:pPr>
      <w:bookmarkStart w:id="71" w:name="_Hlk127280721"/>
      <w:r w:rsidRPr="00EB2E7B">
        <w:rPr>
          <w:rFonts w:asciiTheme="minorHAnsi" w:hAnsiTheme="minorHAnsi" w:cstheme="minorHAnsi"/>
          <w:sz w:val="20"/>
          <w:szCs w:val="20"/>
        </w:rPr>
        <w:t>ACPRO na żądanie wnioskodawcy, potwierdza w formie pisemnej, dokumentowej lub elektronicznej złożenie wniosku o określenie warunków przyłączenia, określając w szczególności datę jego złożenia</w:t>
      </w:r>
      <w:bookmarkEnd w:id="71"/>
      <w:r w:rsidRPr="00EB2E7B">
        <w:rPr>
          <w:rFonts w:asciiTheme="minorHAnsi" w:hAnsiTheme="minorHAnsi" w:cstheme="minorHAnsi"/>
          <w:sz w:val="20"/>
          <w:szCs w:val="20"/>
        </w:rPr>
        <w:t xml:space="preserve">, </w:t>
      </w:r>
    </w:p>
    <w:p w14:paraId="47F6AC62" w14:textId="77777777" w:rsidR="00C61E18" w:rsidRPr="00EB2E7B" w:rsidRDefault="00C61E18" w:rsidP="00EF3C5D">
      <w:pPr>
        <w:pStyle w:val="1przed"/>
        <w:ind w:left="1701" w:hanging="567"/>
        <w:rPr>
          <w:rFonts w:asciiTheme="minorHAnsi" w:hAnsiTheme="minorHAnsi" w:cstheme="minorHAnsi"/>
          <w:sz w:val="20"/>
          <w:szCs w:val="20"/>
        </w:rPr>
      </w:pPr>
      <w:bookmarkStart w:id="72" w:name="_Hlk127280734"/>
      <w:r w:rsidRPr="00EB2E7B">
        <w:rPr>
          <w:rFonts w:asciiTheme="minorHAnsi" w:hAnsiTheme="minorHAnsi" w:cstheme="minorHAnsi"/>
          <w:sz w:val="20"/>
          <w:szCs w:val="20"/>
        </w:rPr>
        <w:t xml:space="preserve">w przypadku urządzeń, instalacji lub sieci przyłączanych bezpośrednio do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sporządzenie ekspertyzy wpływu tych urządzeń, instalacji lub sieci na system elektroenergetyczny, z wyjątkiem</w:t>
      </w:r>
      <w:bookmarkEnd w:id="72"/>
      <w:r w:rsidRPr="00EB2E7B">
        <w:rPr>
          <w:rFonts w:asciiTheme="minorHAnsi" w:hAnsiTheme="minorHAnsi" w:cstheme="minorHAnsi"/>
          <w:sz w:val="20"/>
          <w:szCs w:val="20"/>
        </w:rPr>
        <w:t>:</w:t>
      </w:r>
    </w:p>
    <w:p w14:paraId="5D4000F2" w14:textId="5BBE3271" w:rsidR="00C61E18" w:rsidRPr="00EB2E7B" w:rsidRDefault="00C61E18" w:rsidP="003C4AE2">
      <w:pPr>
        <w:pStyle w:val="apo"/>
        <w:numPr>
          <w:ilvl w:val="0"/>
          <w:numId w:val="265"/>
        </w:numPr>
        <w:ind w:left="2268" w:hanging="567"/>
        <w:rPr>
          <w:rFonts w:asciiTheme="minorHAnsi" w:hAnsiTheme="minorHAnsi" w:cstheme="minorHAnsi"/>
          <w:sz w:val="20"/>
          <w:szCs w:val="20"/>
        </w:rPr>
      </w:pPr>
      <w:r w:rsidRPr="00EB2E7B">
        <w:rPr>
          <w:rFonts w:asciiTheme="minorHAnsi" w:hAnsiTheme="minorHAnsi" w:cstheme="minorHAnsi"/>
          <w:sz w:val="20"/>
          <w:szCs w:val="20"/>
        </w:rPr>
        <w:t>przyłączan</w:t>
      </w:r>
      <w:r w:rsidR="00FF1FBF" w:rsidRPr="00EB2E7B">
        <w:rPr>
          <w:rFonts w:asciiTheme="minorHAnsi" w:hAnsiTheme="minorHAnsi" w:cstheme="minorHAnsi"/>
          <w:sz w:val="20"/>
          <w:szCs w:val="20"/>
        </w:rPr>
        <w:t>ych</w:t>
      </w:r>
      <w:r w:rsidRPr="00EB2E7B">
        <w:rPr>
          <w:rFonts w:asciiTheme="minorHAnsi" w:hAnsiTheme="minorHAnsi" w:cstheme="minorHAnsi"/>
          <w:sz w:val="20"/>
          <w:szCs w:val="20"/>
        </w:rPr>
        <w:t xml:space="preserve"> jednost</w:t>
      </w:r>
      <w:r w:rsidR="00E426CD" w:rsidRPr="00EB2E7B">
        <w:rPr>
          <w:rFonts w:asciiTheme="minorHAnsi" w:hAnsiTheme="minorHAnsi" w:cstheme="minorHAnsi"/>
          <w:sz w:val="20"/>
          <w:szCs w:val="20"/>
        </w:rPr>
        <w:t>ek</w:t>
      </w:r>
      <w:r w:rsidRPr="00EB2E7B">
        <w:rPr>
          <w:rFonts w:asciiTheme="minorHAnsi" w:hAnsiTheme="minorHAnsi" w:cstheme="minorHAnsi"/>
          <w:sz w:val="20"/>
          <w:szCs w:val="20"/>
        </w:rPr>
        <w:t xml:space="preserve"> wytwórcz</w:t>
      </w:r>
      <w:r w:rsidR="00E426CD" w:rsidRPr="00EB2E7B">
        <w:rPr>
          <w:rFonts w:asciiTheme="minorHAnsi" w:hAnsiTheme="minorHAnsi" w:cstheme="minorHAnsi"/>
          <w:sz w:val="20"/>
          <w:szCs w:val="20"/>
        </w:rPr>
        <w:t>ych</w:t>
      </w:r>
      <w:r w:rsidRPr="00EB2E7B">
        <w:rPr>
          <w:rFonts w:asciiTheme="minorHAnsi" w:hAnsiTheme="minorHAnsi" w:cstheme="minorHAnsi"/>
          <w:sz w:val="20"/>
          <w:szCs w:val="20"/>
        </w:rPr>
        <w:t xml:space="preserve"> o łącznej mocy zainstalowanej nie większej niż 2 MW, lub</w:t>
      </w:r>
    </w:p>
    <w:p w14:paraId="7B71197B" w14:textId="77777777" w:rsidR="00C61E18" w:rsidRPr="00EB2E7B" w:rsidRDefault="00C61E18" w:rsidP="003C4AE2">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przyłączanych urządzeń odbiorcy końcowego o łącznej mocy przyłączeniowej nie większej niż 5 MW, lub</w:t>
      </w:r>
    </w:p>
    <w:p w14:paraId="3CEB6E28" w14:textId="77777777" w:rsidR="00C61E18" w:rsidRPr="00EB2E7B" w:rsidRDefault="00C61E18" w:rsidP="003C4AE2">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przyłączanego magazynu energii elektrycznej o łącznej mocy zainstalowanej nie większej niż 2 MW, lub</w:t>
      </w:r>
    </w:p>
    <w:p w14:paraId="2EEDD2B8" w14:textId="77777777" w:rsidR="00C61E18" w:rsidRPr="00EB2E7B" w:rsidRDefault="00C61E18" w:rsidP="003C4AE2">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lastRenderedPageBreak/>
        <w:t>przyłączanej jednostki wytwórczej, której część będzie stanowił magazyn energii elektrycznej, pod warunkiem że łączna moc zainstalowana tego magazynu i jednostki wytwórczej jest nie większa niż 2 MW, lub</w:t>
      </w:r>
    </w:p>
    <w:p w14:paraId="74B99CAE" w14:textId="77777777" w:rsidR="00C61E18" w:rsidRPr="00EB2E7B" w:rsidRDefault="00C61E18" w:rsidP="003C4AE2">
      <w:pPr>
        <w:pStyle w:val="apo"/>
        <w:numPr>
          <w:ilvl w:val="0"/>
          <w:numId w:val="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 przyłączanej instalacji odbiorcy końcowego, której część będzie stanowił magazyn energii elektrycznej, pod warunkiem że łączna moc zainstalowana tego magazynu i moc przyłączeniowa instalacji odbiorcy końcowego jest nie większa niż 5 MW,</w:t>
      </w:r>
    </w:p>
    <w:p w14:paraId="0FBCB620" w14:textId="2AA20B18" w:rsidR="00C61E18" w:rsidRPr="00EB2E7B" w:rsidRDefault="00C61E18" w:rsidP="00EF3C5D">
      <w:pPr>
        <w:pStyle w:val="1przed"/>
        <w:ind w:left="1701" w:hanging="567"/>
        <w:rPr>
          <w:rFonts w:asciiTheme="minorHAnsi" w:hAnsiTheme="minorHAnsi" w:cstheme="minorHAnsi"/>
          <w:sz w:val="20"/>
          <w:szCs w:val="20"/>
        </w:rPr>
      </w:pPr>
      <w:bookmarkStart w:id="73" w:name="_Hlk127280819"/>
      <w:r w:rsidRPr="00EB2E7B">
        <w:rPr>
          <w:rFonts w:asciiTheme="minorHAnsi" w:hAnsiTheme="minorHAnsi" w:cstheme="minorHAnsi"/>
          <w:sz w:val="20"/>
          <w:szCs w:val="20"/>
        </w:rPr>
        <w:t>ACPRO zapewnia sporządzenie ekspertyzy, w tym także na żądanie Prezesa URE</w:t>
      </w:r>
      <w:r w:rsidR="00C86579" w:rsidRPr="00EB2E7B">
        <w:rPr>
          <w:rFonts w:asciiTheme="minorHAnsi" w:hAnsiTheme="minorHAnsi" w:cstheme="minorHAnsi"/>
          <w:sz w:val="20"/>
          <w:szCs w:val="20"/>
        </w:rPr>
        <w:t>,</w:t>
      </w:r>
      <w:r w:rsidR="0001691C" w:rsidRPr="00EB2E7B">
        <w:rPr>
          <w:rFonts w:asciiTheme="minorHAnsi" w:hAnsiTheme="minorHAnsi" w:cstheme="minorHAnsi"/>
          <w:sz w:val="20"/>
          <w:szCs w:val="20"/>
        </w:rPr>
        <w:t xml:space="preserve"> wydanie przez ACPRO warunków przyłączenia oraz przekazanie ich podmiotowi wraz z projektem umowy o przyłączenie, w formie pisemnej, dokumentowej lub elektronicznej,</w:t>
      </w:r>
      <w:bookmarkEnd w:id="73"/>
    </w:p>
    <w:p w14:paraId="0255AE88" w14:textId="77777777" w:rsidR="00C61E18" w:rsidRPr="00EB2E7B" w:rsidRDefault="00C61E18" w:rsidP="00EF3C5D">
      <w:pPr>
        <w:pStyle w:val="1przed"/>
        <w:ind w:left="1701" w:hanging="567"/>
        <w:rPr>
          <w:rFonts w:asciiTheme="minorHAnsi" w:hAnsiTheme="minorHAnsi" w:cstheme="minorHAnsi"/>
          <w:sz w:val="20"/>
          <w:szCs w:val="20"/>
        </w:rPr>
      </w:pPr>
      <w:bookmarkStart w:id="74" w:name="_Hlk127280850"/>
      <w:r w:rsidRPr="00EB2E7B">
        <w:rPr>
          <w:rFonts w:asciiTheme="minorHAnsi" w:hAnsiTheme="minorHAnsi" w:cstheme="minorHAnsi"/>
          <w:sz w:val="20"/>
          <w:szCs w:val="20"/>
        </w:rPr>
        <w:t>zawarcie umowy o przyłączenie</w:t>
      </w:r>
      <w:bookmarkEnd w:id="74"/>
      <w:r w:rsidRPr="00EB2E7B">
        <w:rPr>
          <w:rFonts w:asciiTheme="minorHAnsi" w:hAnsiTheme="minorHAnsi" w:cstheme="minorHAnsi"/>
          <w:sz w:val="20"/>
          <w:szCs w:val="20"/>
        </w:rPr>
        <w:t xml:space="preserve">, </w:t>
      </w:r>
    </w:p>
    <w:p w14:paraId="2C15596B" w14:textId="77777777" w:rsidR="00C61E18" w:rsidRPr="00EB2E7B" w:rsidRDefault="00C61E18" w:rsidP="00EF3C5D">
      <w:pPr>
        <w:pStyle w:val="1przed"/>
        <w:ind w:left="1701" w:hanging="567"/>
        <w:rPr>
          <w:rFonts w:asciiTheme="minorHAnsi" w:hAnsiTheme="minorHAnsi" w:cstheme="minorHAnsi"/>
          <w:sz w:val="20"/>
          <w:szCs w:val="20"/>
        </w:rPr>
      </w:pPr>
      <w:bookmarkStart w:id="75" w:name="_Hlk127280865"/>
      <w:r w:rsidRPr="00EB2E7B">
        <w:rPr>
          <w:rFonts w:asciiTheme="minorHAnsi" w:hAnsiTheme="minorHAnsi" w:cstheme="minorHAnsi"/>
          <w:sz w:val="20"/>
          <w:szCs w:val="20"/>
        </w:rPr>
        <w:t>realizację przyłączenia tj. realizację przyłącza(-y) oraz niezbędnych zmian/dostosowania w sieci i prac dla realizacji przyłączenia</w:t>
      </w:r>
      <w:bookmarkEnd w:id="75"/>
      <w:r w:rsidRPr="00EB2E7B">
        <w:rPr>
          <w:rFonts w:asciiTheme="minorHAnsi" w:hAnsiTheme="minorHAnsi" w:cstheme="minorHAnsi"/>
          <w:sz w:val="20"/>
          <w:szCs w:val="20"/>
        </w:rPr>
        <w:t xml:space="preserve">, </w:t>
      </w:r>
    </w:p>
    <w:p w14:paraId="4A1438B0" w14:textId="77777777" w:rsidR="00C61E18" w:rsidRPr="00EB2E7B" w:rsidRDefault="00C61E18" w:rsidP="00EF3C5D">
      <w:pPr>
        <w:pStyle w:val="1przed"/>
        <w:ind w:left="1701" w:hanging="567"/>
        <w:rPr>
          <w:rFonts w:asciiTheme="minorHAnsi" w:hAnsiTheme="minorHAnsi" w:cstheme="minorHAnsi"/>
          <w:sz w:val="20"/>
          <w:szCs w:val="20"/>
        </w:rPr>
      </w:pPr>
      <w:bookmarkStart w:id="76" w:name="_Hlk127280877"/>
      <w:r w:rsidRPr="00EB2E7B">
        <w:rPr>
          <w:rFonts w:asciiTheme="minorHAnsi" w:hAnsiTheme="minorHAnsi" w:cstheme="minorHAnsi"/>
          <w:sz w:val="20"/>
          <w:szCs w:val="20"/>
        </w:rPr>
        <w:t>przeprowadzenie prób i odbiorów częściowych oraz prób końcowych i ostatecznego odbioru rozbudowywanej sieci i przyłącza. ACPRO zastrzega sobie prawo dokonania sprawdzenia przyłączanych instalacji, urządzeń i sieci</w:t>
      </w:r>
      <w:bookmarkEnd w:id="76"/>
      <w:r w:rsidRPr="00EB2E7B">
        <w:rPr>
          <w:rFonts w:asciiTheme="minorHAnsi" w:hAnsiTheme="minorHAnsi" w:cstheme="minorHAnsi"/>
          <w:sz w:val="20"/>
          <w:szCs w:val="20"/>
        </w:rPr>
        <w:t>,</w:t>
      </w:r>
    </w:p>
    <w:p w14:paraId="04CF881D" w14:textId="77777777" w:rsidR="00C61E18" w:rsidRPr="00EB2E7B" w:rsidRDefault="00C61E18" w:rsidP="00EF3C5D">
      <w:pPr>
        <w:pStyle w:val="1przed"/>
        <w:ind w:left="1701" w:hanging="567"/>
        <w:rPr>
          <w:rFonts w:asciiTheme="minorHAnsi" w:hAnsiTheme="minorHAnsi" w:cstheme="minorHAnsi"/>
          <w:sz w:val="20"/>
          <w:szCs w:val="20"/>
        </w:rPr>
      </w:pPr>
      <w:bookmarkStart w:id="77" w:name="_Hlk127280893"/>
      <w:r w:rsidRPr="00EB2E7B">
        <w:rPr>
          <w:rFonts w:asciiTheme="minorHAnsi" w:hAnsiTheme="minorHAnsi" w:cstheme="minorHAnsi"/>
          <w:sz w:val="20"/>
          <w:szCs w:val="20"/>
        </w:rPr>
        <w:t xml:space="preserve">pozyskanie ostatecznego pozwolenia na użytkowanie obiektu w przypadkach, o których mowa w NC </w:t>
      </w:r>
      <w:proofErr w:type="spellStart"/>
      <w:r w:rsidRPr="00EB2E7B">
        <w:rPr>
          <w:rFonts w:asciiTheme="minorHAnsi" w:hAnsiTheme="minorHAnsi" w:cstheme="minorHAnsi"/>
          <w:sz w:val="20"/>
          <w:szCs w:val="20"/>
        </w:rPr>
        <w:t>RfG</w:t>
      </w:r>
      <w:bookmarkEnd w:id="77"/>
      <w:proofErr w:type="spellEnd"/>
      <w:r w:rsidRPr="00EB2E7B">
        <w:rPr>
          <w:rFonts w:asciiTheme="minorHAnsi" w:hAnsiTheme="minorHAnsi" w:cstheme="minorHAnsi"/>
          <w:sz w:val="20"/>
          <w:szCs w:val="20"/>
        </w:rPr>
        <w:t>,</w:t>
      </w:r>
    </w:p>
    <w:p w14:paraId="28A581A6" w14:textId="77777777" w:rsidR="00C61E18" w:rsidRPr="00EB2E7B" w:rsidRDefault="00C61E18" w:rsidP="00EF3C5D">
      <w:pPr>
        <w:pStyle w:val="1przed"/>
        <w:ind w:left="1701" w:hanging="567"/>
        <w:rPr>
          <w:rFonts w:asciiTheme="minorHAnsi" w:hAnsiTheme="minorHAnsi" w:cstheme="minorHAnsi"/>
          <w:sz w:val="20"/>
          <w:szCs w:val="20"/>
        </w:rPr>
      </w:pPr>
      <w:bookmarkStart w:id="78" w:name="_Hlk127280906"/>
      <w:r w:rsidRPr="00EB2E7B">
        <w:rPr>
          <w:rFonts w:asciiTheme="minorHAnsi" w:hAnsiTheme="minorHAnsi" w:cstheme="minorHAnsi"/>
          <w:sz w:val="20"/>
          <w:szCs w:val="20"/>
        </w:rPr>
        <w:t>zawarcie przez podmiot umowy o świadczenie usług dystrybucji albo umowy kompleksowej</w:t>
      </w:r>
      <w:bookmarkEnd w:id="78"/>
      <w:r w:rsidRPr="00EB2E7B">
        <w:rPr>
          <w:rFonts w:asciiTheme="minorHAnsi" w:hAnsiTheme="minorHAnsi" w:cstheme="minorHAnsi"/>
          <w:sz w:val="20"/>
          <w:szCs w:val="20"/>
        </w:rPr>
        <w:t>.</w:t>
      </w:r>
    </w:p>
    <w:p w14:paraId="3CE8EA83" w14:textId="3B2361BE" w:rsidR="00473957" w:rsidRPr="00EB2E7B" w:rsidRDefault="0077111A" w:rsidP="003C4AE2">
      <w:pPr>
        <w:pStyle w:val="Nagwek3"/>
        <w:ind w:left="1134" w:hanging="1134"/>
        <w:rPr>
          <w:rFonts w:asciiTheme="minorHAnsi" w:hAnsiTheme="minorHAnsi" w:cstheme="minorHAnsi"/>
          <w:sz w:val="20"/>
          <w:szCs w:val="20"/>
        </w:rPr>
      </w:pPr>
      <w:bookmarkStart w:id="79" w:name="_Ref75425552"/>
      <w:r w:rsidRPr="00EB2E7B">
        <w:rPr>
          <w:rFonts w:asciiTheme="minorHAnsi" w:hAnsiTheme="minorHAnsi" w:cstheme="minorHAnsi"/>
          <w:sz w:val="20"/>
          <w:szCs w:val="20"/>
        </w:rPr>
        <w:t xml:space="preserve">Podmiot ubiegający się o przyłączenie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r w:rsidR="001D1331" w:rsidRPr="00EB2E7B">
        <w:rPr>
          <w:rFonts w:asciiTheme="minorHAnsi" w:hAnsiTheme="minorHAnsi" w:cstheme="minorHAnsi"/>
          <w:sz w:val="20"/>
          <w:szCs w:val="20"/>
        </w:rPr>
        <w:t>jednostek</w:t>
      </w:r>
      <w:r w:rsidRPr="00EB2E7B">
        <w:rPr>
          <w:rFonts w:asciiTheme="minorHAnsi" w:hAnsiTheme="minorHAnsi" w:cstheme="minorHAnsi"/>
          <w:sz w:val="20"/>
          <w:szCs w:val="20"/>
        </w:rPr>
        <w:t xml:space="preserve"> wytwórczych,</w:t>
      </w:r>
      <w:r w:rsidR="00B13801" w:rsidRPr="00EB2E7B">
        <w:rPr>
          <w:rFonts w:asciiTheme="minorHAnsi" w:hAnsiTheme="minorHAnsi" w:cstheme="minorHAnsi"/>
          <w:sz w:val="20"/>
          <w:szCs w:val="20"/>
        </w:rPr>
        <w:t xml:space="preserve"> magazynów energii elektrycznej,</w:t>
      </w:r>
      <w:r w:rsidRPr="00EB2E7B">
        <w:rPr>
          <w:rFonts w:asciiTheme="minorHAnsi" w:hAnsiTheme="minorHAnsi" w:cstheme="minorHAnsi"/>
          <w:sz w:val="20"/>
          <w:szCs w:val="20"/>
        </w:rPr>
        <w:t xml:space="preserve"> sieci, urządzeń lub/i instalacji odbiorców końcowych, połączeń międzysystemowych lub linii bezpośrednich składa wniosek o określenie warunków przyłączenia.</w:t>
      </w:r>
      <w:bookmarkEnd w:id="79"/>
      <w:r w:rsidRPr="00EB2E7B">
        <w:rPr>
          <w:rFonts w:asciiTheme="minorHAnsi" w:hAnsiTheme="minorHAnsi" w:cstheme="minorHAnsi"/>
          <w:sz w:val="20"/>
          <w:szCs w:val="20"/>
        </w:rPr>
        <w:t xml:space="preserve"> </w:t>
      </w:r>
    </w:p>
    <w:p w14:paraId="168F8122" w14:textId="007E9845" w:rsidR="001A0F4F" w:rsidRPr="00EB2E7B" w:rsidRDefault="001A0F4F"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 </w:t>
      </w:r>
      <w:r w:rsidR="00884511" w:rsidRPr="00EB2E7B">
        <w:rPr>
          <w:rFonts w:asciiTheme="minorHAnsi" w:hAnsiTheme="minorHAnsi" w:cstheme="minorHAnsi"/>
          <w:sz w:val="20"/>
          <w:szCs w:val="20"/>
        </w:rPr>
        <w:t xml:space="preserve">ubiegający się o przyłączenie do sieci dystrybucyjnej ACPRO przyszłej sieci (dla której podmiot taki nie uzyskał jeszcze koncesji na dystrybucję energii elektrycznej i dla której nie wyznaczono ACPRO) składa wniosek o określenie warunków przyłączenia uwzględniający moc przyłączeniową odpowiadającą zapotrzebowaniu przyszłej sieci w zakresie poboru energii elektrycznej. Wydanie warunków przyłączenia przez ACPRO dla takiej przyszłej sieci, nie gwarantuje możliwości przyłączenia do niej magazynów energii elektrycznej i źródeł energii. Przyłączanie do takiej sieci magazynów energii elektrycznej i źródeł energii elektrycznej, odbywa się z zachowaniem zasad i koniecznych uzgodnień z ACPRO, określonych w </w:t>
      </w:r>
      <w:proofErr w:type="spellStart"/>
      <w:r w:rsidR="00884511" w:rsidRPr="00EB2E7B">
        <w:rPr>
          <w:rFonts w:asciiTheme="minorHAnsi" w:hAnsiTheme="minorHAnsi" w:cstheme="minorHAnsi"/>
          <w:sz w:val="20"/>
          <w:szCs w:val="20"/>
        </w:rPr>
        <w:t>IRiESD</w:t>
      </w:r>
      <w:proofErr w:type="spellEnd"/>
      <w:r w:rsidR="00884511" w:rsidRPr="00EB2E7B">
        <w:rPr>
          <w:rFonts w:asciiTheme="minorHAnsi" w:hAnsiTheme="minorHAnsi" w:cstheme="minorHAnsi"/>
          <w:sz w:val="20"/>
          <w:szCs w:val="20"/>
        </w:rPr>
        <w:t xml:space="preserve">, w szczególności w pkt </w:t>
      </w:r>
      <w:r w:rsidR="007C0429" w:rsidRPr="00EB2E7B">
        <w:rPr>
          <w:rFonts w:asciiTheme="minorHAnsi" w:hAnsiTheme="minorHAnsi" w:cstheme="minorHAnsi"/>
          <w:sz w:val="20"/>
          <w:szCs w:val="20"/>
        </w:rPr>
        <w:fldChar w:fldCharType="begin"/>
      </w:r>
      <w:r w:rsidR="007C0429" w:rsidRPr="00EB2E7B">
        <w:rPr>
          <w:rFonts w:asciiTheme="minorHAnsi" w:hAnsiTheme="minorHAnsi" w:cstheme="minorHAnsi"/>
          <w:sz w:val="20"/>
          <w:szCs w:val="20"/>
        </w:rPr>
        <w:instrText xml:space="preserve"> REF _Ref99051736 \w \h  \* MERGEFORMAT </w:instrText>
      </w:r>
      <w:r w:rsidR="007C0429" w:rsidRPr="00EB2E7B">
        <w:rPr>
          <w:rFonts w:asciiTheme="minorHAnsi" w:hAnsiTheme="minorHAnsi" w:cstheme="minorHAnsi"/>
          <w:sz w:val="20"/>
          <w:szCs w:val="20"/>
        </w:rPr>
      </w:r>
      <w:r w:rsidR="007C042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II.1.15</w:t>
      </w:r>
      <w:r w:rsidR="007C0429" w:rsidRPr="00EB2E7B">
        <w:rPr>
          <w:rFonts w:asciiTheme="minorHAnsi" w:hAnsiTheme="minorHAnsi" w:cstheme="minorHAnsi"/>
          <w:sz w:val="20"/>
          <w:szCs w:val="20"/>
        </w:rPr>
        <w:fldChar w:fldCharType="end"/>
      </w:r>
      <w:r w:rsidR="007C0429" w:rsidRPr="00EB2E7B">
        <w:rPr>
          <w:rFonts w:asciiTheme="minorHAnsi" w:hAnsiTheme="minorHAnsi" w:cstheme="minorHAnsi"/>
          <w:sz w:val="20"/>
          <w:szCs w:val="20"/>
        </w:rPr>
        <w:t xml:space="preserve">, </w:t>
      </w:r>
      <w:r w:rsidR="001E6616" w:rsidRPr="00EB2E7B">
        <w:rPr>
          <w:rFonts w:asciiTheme="minorHAnsi" w:hAnsiTheme="minorHAnsi" w:cstheme="minorHAnsi"/>
          <w:sz w:val="20"/>
          <w:szCs w:val="20"/>
        </w:rPr>
        <w:fldChar w:fldCharType="begin"/>
      </w:r>
      <w:r w:rsidR="001E6616" w:rsidRPr="00EB2E7B">
        <w:rPr>
          <w:rFonts w:asciiTheme="minorHAnsi" w:hAnsiTheme="minorHAnsi" w:cstheme="minorHAnsi"/>
          <w:sz w:val="20"/>
          <w:szCs w:val="20"/>
        </w:rPr>
        <w:instrText xml:space="preserve"> REF _Ref189081342 \w \h  \* MERGEFORMAT </w:instrText>
      </w:r>
      <w:r w:rsidR="001E6616" w:rsidRPr="00EB2E7B">
        <w:rPr>
          <w:rFonts w:asciiTheme="minorHAnsi" w:hAnsiTheme="minorHAnsi" w:cstheme="minorHAnsi"/>
          <w:sz w:val="20"/>
          <w:szCs w:val="20"/>
        </w:rPr>
      </w:r>
      <w:r w:rsidR="001E661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II.1.16</w:t>
      </w:r>
      <w:r w:rsidR="001E6616" w:rsidRPr="00EB2E7B">
        <w:rPr>
          <w:rFonts w:asciiTheme="minorHAnsi" w:hAnsiTheme="minorHAnsi" w:cstheme="minorHAnsi"/>
          <w:sz w:val="20"/>
          <w:szCs w:val="20"/>
        </w:rPr>
        <w:fldChar w:fldCharType="end"/>
      </w:r>
      <w:r w:rsidR="005E07B0" w:rsidRPr="00EB2E7B">
        <w:rPr>
          <w:rFonts w:asciiTheme="minorHAnsi" w:hAnsiTheme="minorHAnsi" w:cstheme="minorHAnsi"/>
          <w:sz w:val="20"/>
          <w:szCs w:val="20"/>
        </w:rPr>
        <w:fldChar w:fldCharType="begin"/>
      </w:r>
      <w:r w:rsidR="005E07B0" w:rsidRPr="00EB2E7B">
        <w:rPr>
          <w:rFonts w:asciiTheme="minorHAnsi" w:hAnsiTheme="minorHAnsi" w:cstheme="minorHAnsi"/>
          <w:sz w:val="20"/>
          <w:szCs w:val="20"/>
        </w:rPr>
        <w:instrText xml:space="preserve"> REF _Ref99051736 \r \h </w:instrText>
      </w:r>
      <w:r w:rsidR="00782145" w:rsidRPr="00EB2E7B">
        <w:rPr>
          <w:rFonts w:asciiTheme="minorHAnsi" w:hAnsiTheme="minorHAnsi" w:cstheme="minorHAnsi"/>
          <w:sz w:val="20"/>
          <w:szCs w:val="20"/>
        </w:rPr>
        <w:instrText xml:space="preserve"> \* MERGEFORMAT </w:instrText>
      </w:r>
      <w:r w:rsidR="005E07B0" w:rsidRPr="00EB2E7B">
        <w:rPr>
          <w:rFonts w:asciiTheme="minorHAnsi" w:hAnsiTheme="minorHAnsi" w:cstheme="minorHAnsi"/>
          <w:sz w:val="20"/>
          <w:szCs w:val="20"/>
        </w:rPr>
      </w:r>
      <w:r w:rsidR="005E07B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II.1.15</w:t>
      </w:r>
      <w:r w:rsidR="005E07B0" w:rsidRPr="00EB2E7B">
        <w:rPr>
          <w:rFonts w:asciiTheme="minorHAnsi" w:hAnsiTheme="minorHAnsi" w:cstheme="minorHAnsi"/>
          <w:sz w:val="20"/>
          <w:szCs w:val="20"/>
        </w:rPr>
        <w:fldChar w:fldCharType="end"/>
      </w:r>
      <w:r w:rsidR="00884511" w:rsidRPr="00EB2E7B">
        <w:rPr>
          <w:rFonts w:asciiTheme="minorHAnsi" w:hAnsiTheme="minorHAnsi" w:cstheme="minorHAnsi"/>
          <w:sz w:val="20"/>
          <w:szCs w:val="20"/>
        </w:rPr>
        <w:t xml:space="preserve"> oraz </w:t>
      </w:r>
      <w:r w:rsidR="001E6616" w:rsidRPr="00EB2E7B">
        <w:rPr>
          <w:rFonts w:asciiTheme="minorHAnsi" w:hAnsiTheme="minorHAnsi" w:cstheme="minorHAnsi"/>
          <w:sz w:val="20"/>
          <w:szCs w:val="20"/>
        </w:rPr>
        <w:fldChar w:fldCharType="begin"/>
      </w:r>
      <w:r w:rsidR="001E6616" w:rsidRPr="00EB2E7B">
        <w:rPr>
          <w:rFonts w:asciiTheme="minorHAnsi" w:hAnsiTheme="minorHAnsi" w:cstheme="minorHAnsi"/>
          <w:sz w:val="20"/>
          <w:szCs w:val="20"/>
        </w:rPr>
        <w:instrText xml:space="preserve"> REF _Ref190076084 \w \h  \* MERGEFORMAT </w:instrText>
      </w:r>
      <w:r w:rsidR="001E6616" w:rsidRPr="00EB2E7B">
        <w:rPr>
          <w:rFonts w:asciiTheme="minorHAnsi" w:hAnsiTheme="minorHAnsi" w:cstheme="minorHAnsi"/>
          <w:sz w:val="20"/>
          <w:szCs w:val="20"/>
        </w:rPr>
      </w:r>
      <w:r w:rsidR="001E661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II.1.17</w:t>
      </w:r>
      <w:r w:rsidR="001E6616" w:rsidRPr="00EB2E7B">
        <w:rPr>
          <w:rFonts w:asciiTheme="minorHAnsi" w:hAnsiTheme="minorHAnsi" w:cstheme="minorHAnsi"/>
          <w:sz w:val="20"/>
          <w:szCs w:val="20"/>
        </w:rPr>
        <w:fldChar w:fldCharType="end"/>
      </w:r>
      <w:r w:rsidR="00884511" w:rsidRPr="00EB2E7B">
        <w:rPr>
          <w:rFonts w:asciiTheme="minorHAnsi" w:hAnsiTheme="minorHAnsi" w:cstheme="minorHAnsi"/>
          <w:sz w:val="20"/>
          <w:szCs w:val="20"/>
        </w:rPr>
        <w:t>. Przekazanie projektu warunków przyłączenia stanowi potwierdzenie złożenia przez podmiot ubiegający się o przyłączenie magazynów energii elektrycznej i źródła energii elektrycznej poprawnego i kompletnego wniosku o określenie warunków przyłączenia oraz spełnienia wszystkich wymagań formalnych, w tym w szczególności dotyczących wniesienia zaliczki ustawowej wynikającej z art. 7 ust. 8a Ustawy oraz posiadania dokumentu spełniającego dyspozycję przepisu art. 7 ust. 8d Ustawy, w związku z art. 7 ust. 8d</w:t>
      </w:r>
      <w:r w:rsidR="00884511" w:rsidRPr="00EB2E7B">
        <w:rPr>
          <w:rFonts w:asciiTheme="minorHAnsi" w:hAnsiTheme="minorHAnsi" w:cstheme="minorHAnsi"/>
          <w:sz w:val="20"/>
          <w:szCs w:val="20"/>
          <w:vertAlign w:val="superscript"/>
        </w:rPr>
        <w:t>1</w:t>
      </w:r>
      <w:r w:rsidR="00884511" w:rsidRPr="00EB2E7B">
        <w:rPr>
          <w:rFonts w:asciiTheme="minorHAnsi" w:hAnsiTheme="minorHAnsi" w:cstheme="minorHAnsi"/>
          <w:sz w:val="20"/>
          <w:szCs w:val="20"/>
        </w:rPr>
        <w:t xml:space="preserve"> Ustawy.</w:t>
      </w:r>
    </w:p>
    <w:p w14:paraId="4E7970EA" w14:textId="211ACED7"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Wzory wniosków o określenie warunków przyłączenia</w:t>
      </w:r>
      <w:r w:rsidR="00E31B0F" w:rsidRPr="00EB2E7B">
        <w:rPr>
          <w:rFonts w:asciiTheme="minorHAnsi" w:hAnsiTheme="minorHAnsi" w:cstheme="minorHAnsi"/>
          <w:sz w:val="20"/>
          <w:szCs w:val="20"/>
        </w:rPr>
        <w:t xml:space="preserve"> oraz zgłoszenia, o którym mowa w pkt </w:t>
      </w:r>
      <w:r w:rsidR="00C435A1" w:rsidRPr="00EB2E7B">
        <w:rPr>
          <w:rFonts w:asciiTheme="minorHAnsi" w:hAnsiTheme="minorHAnsi" w:cstheme="minorHAnsi"/>
          <w:sz w:val="20"/>
          <w:szCs w:val="20"/>
        </w:rPr>
        <w:fldChar w:fldCharType="begin"/>
      </w:r>
      <w:r w:rsidR="00C435A1" w:rsidRPr="00EB2E7B">
        <w:rPr>
          <w:rFonts w:asciiTheme="minorHAnsi" w:hAnsiTheme="minorHAnsi" w:cstheme="minorHAnsi"/>
          <w:sz w:val="20"/>
          <w:szCs w:val="20"/>
        </w:rPr>
        <w:instrText xml:space="preserve"> REF _Ref189081881 \w \h  \* MERGEFORMAT </w:instrText>
      </w:r>
      <w:r w:rsidR="00C435A1" w:rsidRPr="00EB2E7B">
        <w:rPr>
          <w:rFonts w:asciiTheme="minorHAnsi" w:hAnsiTheme="minorHAnsi" w:cstheme="minorHAnsi"/>
          <w:sz w:val="20"/>
          <w:szCs w:val="20"/>
        </w:rPr>
      </w:r>
      <w:r w:rsidR="00C435A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II.1.21</w:t>
      </w:r>
      <w:r w:rsidR="00C435A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określa oraz udostępnia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Wniosek</w:t>
      </w:r>
      <w:r w:rsidR="00E31B0F" w:rsidRPr="00EB2E7B">
        <w:rPr>
          <w:rFonts w:asciiTheme="minorHAnsi" w:hAnsiTheme="minorHAnsi" w:cstheme="minorHAnsi"/>
          <w:sz w:val="20"/>
          <w:szCs w:val="20"/>
        </w:rPr>
        <w:t xml:space="preserve"> i </w:t>
      </w:r>
      <w:r w:rsidR="002733A2" w:rsidRPr="00EB2E7B">
        <w:rPr>
          <w:rFonts w:asciiTheme="minorHAnsi" w:hAnsiTheme="minorHAnsi" w:cstheme="minorHAnsi"/>
          <w:sz w:val="20"/>
          <w:szCs w:val="20"/>
        </w:rPr>
        <w:t>zgłoszenie dostępne</w:t>
      </w:r>
      <w:r w:rsidRPr="00EB2E7B">
        <w:rPr>
          <w:rFonts w:asciiTheme="minorHAnsi" w:hAnsiTheme="minorHAnsi" w:cstheme="minorHAnsi"/>
          <w:sz w:val="20"/>
          <w:szCs w:val="20"/>
        </w:rPr>
        <w:t xml:space="preserve"> </w:t>
      </w:r>
      <w:r w:rsidR="00993F4E" w:rsidRPr="00EB2E7B">
        <w:rPr>
          <w:rFonts w:asciiTheme="minorHAnsi" w:hAnsiTheme="minorHAnsi" w:cstheme="minorHAnsi"/>
          <w:sz w:val="20"/>
          <w:szCs w:val="20"/>
        </w:rPr>
        <w:t>są</w:t>
      </w:r>
      <w:r w:rsidRPr="00EB2E7B">
        <w:rPr>
          <w:rFonts w:asciiTheme="minorHAnsi" w:hAnsiTheme="minorHAnsi" w:cstheme="minorHAnsi"/>
          <w:sz w:val="20"/>
          <w:szCs w:val="20"/>
        </w:rPr>
        <w:t xml:space="preserve"> na stronie internetowej </w:t>
      </w:r>
      <w:r w:rsidR="00B50CD6"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23EDAC3B" w14:textId="0CFDF67E"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Wzory wniosków o określenie warunków przyłączenia mogą być zróżnicowane dla poszczególnych grup przyłączeniowych oraz w zależności od rodzaju przyłączanego obiektu, instalacji lub sieci. </w:t>
      </w:r>
      <w:r w:rsidR="00E37CA7" w:rsidRPr="00EB2E7B">
        <w:rPr>
          <w:rFonts w:asciiTheme="minorHAnsi" w:hAnsiTheme="minorHAnsi" w:cstheme="minorHAnsi"/>
          <w:sz w:val="20"/>
          <w:szCs w:val="20"/>
        </w:rPr>
        <w:t xml:space="preserve">Wzory wniosków o określenie warunków przyłączenia do sieci urządzeń, instalacji i sieci podmiotów </w:t>
      </w:r>
      <w:r w:rsidR="00E37CA7" w:rsidRPr="00EB2E7B">
        <w:rPr>
          <w:rFonts w:asciiTheme="minorHAnsi" w:hAnsiTheme="minorHAnsi" w:cstheme="minorHAnsi"/>
          <w:sz w:val="20"/>
          <w:szCs w:val="20"/>
        </w:rPr>
        <w:lastRenderedPageBreak/>
        <w:t>zaliczanych do II grupy przyłączeniowej zawierają co najmniej taki zakres informacji, jaki wzór wniosku ustalony przez OSP.</w:t>
      </w:r>
    </w:p>
    <w:p w14:paraId="6FF52A7F" w14:textId="249B57A3" w:rsidR="00473957" w:rsidRPr="00EB2E7B" w:rsidRDefault="0077111A" w:rsidP="003C4AE2">
      <w:pPr>
        <w:pStyle w:val="Nagwek3"/>
        <w:ind w:left="1134" w:hanging="1134"/>
        <w:rPr>
          <w:rFonts w:asciiTheme="minorHAnsi" w:hAnsiTheme="minorHAnsi" w:cstheme="minorHAnsi"/>
          <w:sz w:val="20"/>
          <w:szCs w:val="20"/>
        </w:rPr>
      </w:pPr>
      <w:bookmarkStart w:id="80" w:name="_Ref75425571"/>
      <w:r w:rsidRPr="00EB2E7B">
        <w:rPr>
          <w:rFonts w:asciiTheme="minorHAnsi" w:hAnsiTheme="minorHAnsi" w:cstheme="minorHAnsi"/>
          <w:sz w:val="20"/>
          <w:szCs w:val="20"/>
        </w:rPr>
        <w:t xml:space="preserve">Do wniosku, o którym mowa w pkt. </w:t>
      </w:r>
      <w:r w:rsidR="00E50479" w:rsidRPr="00EB2E7B">
        <w:rPr>
          <w:rFonts w:asciiTheme="minorHAnsi" w:hAnsiTheme="minorHAnsi" w:cstheme="minorHAnsi"/>
          <w:sz w:val="20"/>
          <w:szCs w:val="20"/>
        </w:rPr>
        <w:fldChar w:fldCharType="begin"/>
      </w:r>
      <w:r w:rsidR="00E50479" w:rsidRPr="00EB2E7B">
        <w:rPr>
          <w:rFonts w:asciiTheme="minorHAnsi" w:hAnsiTheme="minorHAnsi" w:cstheme="minorHAnsi"/>
          <w:sz w:val="20"/>
          <w:szCs w:val="20"/>
        </w:rPr>
        <w:instrText xml:space="preserve"> REF _Ref75425552 \r \h </w:instrText>
      </w:r>
      <w:r w:rsidR="00FD69BB" w:rsidRPr="00EB2E7B">
        <w:rPr>
          <w:rFonts w:asciiTheme="minorHAnsi" w:hAnsiTheme="minorHAnsi" w:cstheme="minorHAnsi"/>
          <w:sz w:val="20"/>
          <w:szCs w:val="20"/>
        </w:rPr>
        <w:instrText xml:space="preserve"> \* MERGEFORMAT </w:instrText>
      </w:r>
      <w:r w:rsidR="00E50479" w:rsidRPr="00EB2E7B">
        <w:rPr>
          <w:rFonts w:asciiTheme="minorHAnsi" w:hAnsiTheme="minorHAnsi" w:cstheme="minorHAnsi"/>
          <w:sz w:val="20"/>
          <w:szCs w:val="20"/>
        </w:rPr>
      </w:r>
      <w:r w:rsidR="00E5047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II.1.3</w:t>
      </w:r>
      <w:r w:rsidR="00E5047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należy załączyć:</w:t>
      </w:r>
      <w:bookmarkEnd w:id="80"/>
      <w:r w:rsidRPr="00EB2E7B">
        <w:rPr>
          <w:rFonts w:asciiTheme="minorHAnsi" w:hAnsiTheme="minorHAnsi" w:cstheme="minorHAnsi"/>
          <w:sz w:val="20"/>
          <w:szCs w:val="20"/>
        </w:rPr>
        <w:t xml:space="preserve"> </w:t>
      </w:r>
    </w:p>
    <w:p w14:paraId="2B6C4CE3" w14:textId="7A29041E" w:rsidR="00473957" w:rsidRPr="00EB2E7B" w:rsidRDefault="001A0F4F" w:rsidP="00EF3C5D">
      <w:pPr>
        <w:pStyle w:val="1przed"/>
        <w:numPr>
          <w:ilvl w:val="0"/>
          <w:numId w:val="18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dokument </w:t>
      </w:r>
      <w:r w:rsidR="00094310" w:rsidRPr="00EB2E7B">
        <w:rPr>
          <w:rFonts w:asciiTheme="minorHAnsi" w:hAnsiTheme="minorHAnsi" w:cstheme="minorHAnsi"/>
          <w:sz w:val="20"/>
          <w:szCs w:val="20"/>
        </w:rPr>
        <w:t>potwierdzający tytuł prawny podmiotu do korzystania z nieruchomości, na której jest planowana inwestycja określona we wniosku, z wyłączeniem źródeł zlokalizowanych w polskim obszarze morskim</w:t>
      </w:r>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74CE78F4" w14:textId="556232C8"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plan </w:t>
      </w:r>
      <w:r w:rsidR="00094310" w:rsidRPr="00EB2E7B">
        <w:rPr>
          <w:rFonts w:asciiTheme="minorHAnsi" w:hAnsiTheme="minorHAnsi" w:cstheme="minorHAnsi"/>
          <w:sz w:val="20"/>
          <w:szCs w:val="20"/>
        </w:rPr>
        <w:t>zabudowy lub szkic sytuacyjny określający usytuowanie obiektu, w którym będą używane przyłączane urządzenia, instalacje lub sieci względem istniejącej sieci oraz usytuowanie sąsiednich obiektów</w:t>
      </w:r>
      <w:r w:rsidRPr="00EB2E7B">
        <w:rPr>
          <w:rFonts w:asciiTheme="minorHAnsi" w:hAnsiTheme="minorHAnsi" w:cstheme="minorHAnsi"/>
          <w:sz w:val="20"/>
          <w:szCs w:val="20"/>
        </w:rPr>
        <w:t xml:space="preserve">, </w:t>
      </w:r>
    </w:p>
    <w:p w14:paraId="30031656" w14:textId="01B6E29A"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w:t>
      </w:r>
      <w:r w:rsidR="00094310" w:rsidRPr="00EB2E7B">
        <w:rPr>
          <w:rFonts w:asciiTheme="minorHAnsi" w:hAnsiTheme="minorHAnsi" w:cstheme="minorHAnsi"/>
          <w:sz w:val="20"/>
          <w:szCs w:val="20"/>
        </w:rPr>
        <w:t xml:space="preserve">przypadku podmiotów ubiegających się o przyłączenie źródła energii elektrycznej do sieci elektroenergetycznej o napięciu znamionowym wyższym niż 1 </w:t>
      </w:r>
      <w:proofErr w:type="spellStart"/>
      <w:r w:rsidR="00094310" w:rsidRPr="00EB2E7B">
        <w:rPr>
          <w:rFonts w:asciiTheme="minorHAnsi" w:hAnsiTheme="minorHAnsi" w:cstheme="minorHAnsi"/>
          <w:sz w:val="20"/>
          <w:szCs w:val="20"/>
        </w:rPr>
        <w:t>kV</w:t>
      </w:r>
      <w:proofErr w:type="spellEnd"/>
      <w:r w:rsidR="00094310" w:rsidRPr="00EB2E7B">
        <w:rPr>
          <w:rFonts w:asciiTheme="minorHAnsi" w:hAnsiTheme="minorHAnsi" w:cstheme="minorHAnsi"/>
          <w:sz w:val="20"/>
          <w:szCs w:val="20"/>
        </w:rPr>
        <w:t xml:space="preserve"> (innych niż </w:t>
      </w:r>
      <w:proofErr w:type="spellStart"/>
      <w:r w:rsidR="00094310" w:rsidRPr="00EB2E7B">
        <w:rPr>
          <w:rFonts w:asciiTheme="minorHAnsi" w:hAnsiTheme="minorHAnsi" w:cstheme="minorHAnsi"/>
          <w:sz w:val="20"/>
          <w:szCs w:val="20"/>
        </w:rPr>
        <w:t>mikroinstalacje</w:t>
      </w:r>
      <w:proofErr w:type="spellEnd"/>
      <w:r w:rsidR="00094310" w:rsidRPr="00EB2E7B">
        <w:rPr>
          <w:rFonts w:asciiTheme="minorHAnsi" w:hAnsiTheme="minorHAnsi" w:cstheme="minorHAnsi"/>
          <w:sz w:val="20"/>
          <w:szCs w:val="20"/>
        </w:rPr>
        <w:t>):</w:t>
      </w:r>
    </w:p>
    <w:p w14:paraId="017CB817" w14:textId="64132288" w:rsidR="00F81F0F" w:rsidRPr="00EB2E7B" w:rsidRDefault="00094310" w:rsidP="003C4AE2">
      <w:pPr>
        <w:pStyle w:val="apo"/>
        <w:numPr>
          <w:ilvl w:val="0"/>
          <w:numId w:val="186"/>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wypis i </w:t>
      </w:r>
      <w:proofErr w:type="spellStart"/>
      <w:r w:rsidRPr="00EB2E7B">
        <w:rPr>
          <w:rFonts w:asciiTheme="minorHAnsi" w:hAnsiTheme="minorHAnsi" w:cstheme="minorHAnsi"/>
          <w:sz w:val="20"/>
          <w:szCs w:val="20"/>
        </w:rPr>
        <w:t>wyrys</w:t>
      </w:r>
      <w:proofErr w:type="spellEnd"/>
      <w:r w:rsidRPr="00EB2E7B">
        <w:rPr>
          <w:rFonts w:asciiTheme="minorHAnsi" w:hAnsiTheme="minorHAnsi" w:cstheme="minorHAnsi"/>
          <w:sz w:val="20"/>
          <w:szCs w:val="20"/>
        </w:rPr>
        <w:t xml:space="preserve"> z miejscowego planu zagospodarowania przestrzennego albo, w przypadku braku takiego planu, decyzję o warunkach zabudowy i zagospodarowania terenu dla nieruchomości określonej we wniosku, jeżeli jest ona wymagana na podstawie przepisów o planowaniu i zagospodarowaniu przestrzennym, albo</w:t>
      </w:r>
    </w:p>
    <w:p w14:paraId="28AEEB7A" w14:textId="7283BF8F" w:rsidR="00F81F0F" w:rsidRPr="00EB2E7B" w:rsidRDefault="00094310" w:rsidP="003C4AE2">
      <w:pPr>
        <w:pStyle w:val="apo"/>
        <w:numPr>
          <w:ilvl w:val="0"/>
          <w:numId w:val="186"/>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decyzję o ustaleniu lokalizacji inwestycji w zakresie budowy obiektu energetyki jądrowej wydaną zgodnie z przepisami ustawy z dnia 29 czerwca 2011 r. o przygotowaniu i realizacji inwestycji w zakresie obiektów energetyki jądrowej oraz inwestycji towarzyszących (Dz. U. z 2021 r., poz. 1484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w przypadku budowy obiektu energetyki jądrowej, albo</w:t>
      </w:r>
    </w:p>
    <w:p w14:paraId="598C65BC" w14:textId="38C59454" w:rsidR="00473957" w:rsidRPr="00EB2E7B" w:rsidRDefault="00094310" w:rsidP="003C4AE2">
      <w:pPr>
        <w:pStyle w:val="apo"/>
        <w:numPr>
          <w:ilvl w:val="0"/>
          <w:numId w:val="186"/>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pozwolenie na wznoszenie i wykorzystywanie sztucznych wysp, konstrukcji i urządzeń w polskich obszarach morskich wydane zgodnie z przepisami ustawy z dnia 21 marca 1991 r. o obszarach morskich Rzeczypospolitej Polskiej i administracji morskiej (Dz. U. z 2023 r. poz. 960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w przypadku budowy źródła w polskim obszarze morskim</w:t>
      </w:r>
      <w:r w:rsidR="001A0F4F"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23BB2D9F" w14:textId="292FE24C"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w:t>
      </w:r>
      <w:r w:rsidR="00094310" w:rsidRPr="00EB2E7B">
        <w:rPr>
          <w:rFonts w:asciiTheme="minorHAnsi" w:hAnsiTheme="minorHAnsi" w:cstheme="minorHAnsi"/>
          <w:sz w:val="20"/>
          <w:szCs w:val="20"/>
        </w:rPr>
        <w:t>przypadku podmiotów przyłączonych, schemat układu zasilania lub instalacji wnioskodawcy oraz krótki opis zainstalowanych w obiekcie/przewidzianych do zainstalowania urządzeń</w:t>
      </w:r>
      <w:r w:rsidRPr="00EB2E7B">
        <w:rPr>
          <w:rFonts w:asciiTheme="minorHAnsi" w:hAnsiTheme="minorHAnsi" w:cstheme="minorHAnsi"/>
          <w:sz w:val="20"/>
          <w:szCs w:val="20"/>
        </w:rPr>
        <w:t xml:space="preserve">, </w:t>
      </w:r>
    </w:p>
    <w:p w14:paraId="5ED1F90A" w14:textId="06F38237" w:rsidR="00473957" w:rsidRPr="00EB2E7B" w:rsidRDefault="3FE7975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przypadku podmiotów ubiegających się o przyłączenie źródła energii elektrycznej, parametry techniczne jednostki wytwórczej. Parametry należy przedstawić zgodnie z </w:t>
      </w:r>
      <w:r w:rsidR="00DB5397" w:rsidRPr="00EB2E7B">
        <w:rPr>
          <w:rFonts w:asciiTheme="minorHAnsi" w:hAnsiTheme="minorHAnsi" w:cstheme="minorHAnsi"/>
          <w:sz w:val="20"/>
          <w:szCs w:val="20"/>
        </w:rPr>
        <w:t xml:space="preserve">treścią </w:t>
      </w:r>
      <w:r w:rsidRPr="00EB2E7B">
        <w:rPr>
          <w:rFonts w:asciiTheme="minorHAnsi" w:hAnsiTheme="minorHAnsi" w:cstheme="minorHAnsi"/>
          <w:sz w:val="20"/>
          <w:szCs w:val="20"/>
        </w:rPr>
        <w:t>wniosku,</w:t>
      </w:r>
    </w:p>
    <w:p w14:paraId="384BCB07" w14:textId="0C1BCD3C"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w:t>
      </w:r>
      <w:r w:rsidR="00094310" w:rsidRPr="00EB2E7B">
        <w:rPr>
          <w:rFonts w:asciiTheme="minorHAnsi" w:hAnsiTheme="minorHAnsi" w:cstheme="minorHAnsi"/>
          <w:sz w:val="20"/>
          <w:szCs w:val="20"/>
        </w:rPr>
        <w:t>przypadku składania wniosku przez podmioty prawne: wypis z Krajowego Rejestru Sądowego, innego rejestru lub zaświadczenie o wpisie do ewidencji działalności gospodarczej,</w:t>
      </w:r>
    </w:p>
    <w:p w14:paraId="3DB1A702" w14:textId="77777777" w:rsidR="00922F94" w:rsidRPr="00EB2E7B" w:rsidRDefault="0009431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wykaz nieruchomości, na których jest planowana budowa przyłączanych do sieci urządzeń, instalacji lub sieci, oraz obiektów lub lokali, w których jest planowana ich budowa, wraz z planem zabudowy albo szkicem sytuacyjnym określającym ich usytuowanie względem istniejącej sieci oraz sąsiednich nieruchomości, a w przypadku urządzeń lub instalacji </w:t>
      </w:r>
      <w:r w:rsidRPr="00EB2E7B">
        <w:rPr>
          <w:rFonts w:asciiTheme="minorHAnsi" w:hAnsiTheme="minorHAnsi" w:cstheme="minorHAnsi"/>
          <w:sz w:val="20"/>
          <w:szCs w:val="20"/>
        </w:rPr>
        <w:lastRenderedPageBreak/>
        <w:t>lokalizowanych na polskim obszarze morskim – wskazanie współrzędnych geograficznych obszaru, na którym jest planowane ich usytuowanie</w:t>
      </w:r>
      <w:r w:rsidR="00922F94" w:rsidRPr="00EB2E7B">
        <w:rPr>
          <w:rFonts w:asciiTheme="minorHAnsi" w:hAnsiTheme="minorHAnsi" w:cstheme="minorHAnsi"/>
          <w:sz w:val="20"/>
          <w:szCs w:val="20"/>
        </w:rPr>
        <w:t>,</w:t>
      </w:r>
    </w:p>
    <w:p w14:paraId="57D166F7" w14:textId="59B729AD" w:rsidR="00094310" w:rsidRPr="00EB2E7B" w:rsidRDefault="00922F94"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pełnomocnictwa dla osób upoważnionych przez wnioskodawcę do występowania w jego imieniu</w:t>
      </w:r>
      <w:r w:rsidR="00D43894" w:rsidRPr="00EB2E7B">
        <w:rPr>
          <w:rFonts w:asciiTheme="minorHAnsi" w:hAnsiTheme="minorHAnsi" w:cstheme="minorHAnsi"/>
          <w:sz w:val="20"/>
          <w:szCs w:val="20"/>
        </w:rPr>
        <w:t xml:space="preserve"> (jeśli dotyczy)</w:t>
      </w:r>
      <w:r w:rsidRPr="00EB2E7B">
        <w:rPr>
          <w:rFonts w:asciiTheme="minorHAnsi" w:hAnsiTheme="minorHAnsi" w:cstheme="minorHAnsi"/>
          <w:sz w:val="20"/>
          <w:szCs w:val="20"/>
        </w:rPr>
        <w:t>.</w:t>
      </w:r>
    </w:p>
    <w:p w14:paraId="4EB88F94" w14:textId="42312119"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Zakres </w:t>
      </w:r>
      <w:r w:rsidR="00792FCF" w:rsidRPr="00EB2E7B">
        <w:rPr>
          <w:rFonts w:asciiTheme="minorHAnsi" w:hAnsiTheme="minorHAnsi" w:cstheme="minorHAnsi"/>
          <w:sz w:val="20"/>
          <w:szCs w:val="20"/>
        </w:rPr>
        <w:t>i warunki wykonania ekspertyzy wpływu przyłączanych urządzeń, instalacji i sieci, na system elektroenergetyczny, określa ACPRO. W przypadku:</w:t>
      </w:r>
      <w:r w:rsidRPr="00EB2E7B">
        <w:rPr>
          <w:rFonts w:asciiTheme="minorHAnsi" w:hAnsiTheme="minorHAnsi" w:cstheme="minorHAnsi"/>
          <w:sz w:val="20"/>
          <w:szCs w:val="20"/>
        </w:rPr>
        <w:t xml:space="preserve"> </w:t>
      </w:r>
    </w:p>
    <w:p w14:paraId="665A2D5D" w14:textId="77777777" w:rsidR="00DC0E9F" w:rsidRPr="00EB2E7B" w:rsidRDefault="0067365F" w:rsidP="00EF3C5D">
      <w:pPr>
        <w:pStyle w:val="1przed"/>
        <w:numPr>
          <w:ilvl w:val="0"/>
          <w:numId w:val="187"/>
        </w:numPr>
        <w:ind w:left="1701" w:hanging="567"/>
        <w:rPr>
          <w:rFonts w:asciiTheme="minorHAnsi" w:hAnsiTheme="minorHAnsi" w:cstheme="minorHAnsi"/>
          <w:sz w:val="20"/>
          <w:szCs w:val="20"/>
        </w:rPr>
      </w:pPr>
      <w:r w:rsidRPr="00EB2E7B">
        <w:rPr>
          <w:rFonts w:asciiTheme="minorHAnsi" w:hAnsiTheme="minorHAnsi" w:cstheme="minorHAnsi"/>
          <w:sz w:val="20"/>
          <w:szCs w:val="20"/>
        </w:rPr>
        <w:t>urządzeń, instalacji i sieci należących do podmiotów zaliczanych do grupy przyłączeniowej II,</w:t>
      </w:r>
    </w:p>
    <w:p w14:paraId="4612F53F" w14:textId="05F95087" w:rsidR="00792FCF" w:rsidRPr="00EB2E7B" w:rsidRDefault="00792FCF" w:rsidP="00EF3C5D">
      <w:pPr>
        <w:pStyle w:val="1przed"/>
        <w:numPr>
          <w:ilvl w:val="0"/>
          <w:numId w:val="187"/>
        </w:numPr>
        <w:ind w:left="1701" w:hanging="567"/>
        <w:rPr>
          <w:rFonts w:asciiTheme="minorHAnsi" w:hAnsiTheme="minorHAnsi" w:cstheme="minorHAnsi"/>
          <w:sz w:val="20"/>
          <w:szCs w:val="20"/>
        </w:rPr>
      </w:pPr>
      <w:r w:rsidRPr="00EB2E7B">
        <w:rPr>
          <w:rFonts w:asciiTheme="minorHAnsi" w:hAnsiTheme="minorHAnsi" w:cstheme="minorHAnsi"/>
          <w:sz w:val="20"/>
          <w:szCs w:val="20"/>
        </w:rPr>
        <w:t>instalacji odnawialnego źródła energii, należących do podmiotów zaliczanych do grupy przyłączeniowej III, o mocy zainstalowanej większej niż 2 MW,</w:t>
      </w:r>
    </w:p>
    <w:p w14:paraId="11226D3E" w14:textId="62C6A6AA" w:rsidR="00792FCF" w:rsidRPr="00EB2E7B" w:rsidRDefault="006F2B36" w:rsidP="003C4AE2">
      <w:pPr>
        <w:ind w:left="1134" w:firstLine="0"/>
        <w:rPr>
          <w:rFonts w:asciiTheme="minorHAnsi" w:hAnsiTheme="minorHAnsi" w:cstheme="minorHAnsi"/>
          <w:sz w:val="20"/>
          <w:szCs w:val="20"/>
        </w:rPr>
      </w:pPr>
      <w:r w:rsidRPr="00EB2E7B">
        <w:rPr>
          <w:rFonts w:asciiTheme="minorHAnsi" w:hAnsiTheme="minorHAnsi" w:cstheme="minorHAnsi"/>
          <w:sz w:val="20"/>
          <w:szCs w:val="20"/>
        </w:rPr>
        <w:t>Z</w:t>
      </w:r>
      <w:r w:rsidR="00792FCF" w:rsidRPr="00EB2E7B">
        <w:rPr>
          <w:rFonts w:asciiTheme="minorHAnsi" w:hAnsiTheme="minorHAnsi" w:cstheme="minorHAnsi"/>
          <w:sz w:val="20"/>
          <w:szCs w:val="20"/>
        </w:rPr>
        <w:t>akres i warunki wykonania ekspertyzy podlegają uzgodnieniu z OSP</w:t>
      </w:r>
      <w:r w:rsidR="00656D93" w:rsidRPr="00EB2E7B">
        <w:rPr>
          <w:rFonts w:asciiTheme="minorHAnsi" w:hAnsiTheme="minorHAnsi" w:cstheme="minorHAnsi"/>
          <w:sz w:val="20"/>
          <w:szCs w:val="20"/>
        </w:rPr>
        <w:t xml:space="preserve"> za pośrednictwem </w:t>
      </w:r>
      <w:proofErr w:type="spellStart"/>
      <w:r w:rsidR="00656D93" w:rsidRPr="00EB2E7B">
        <w:rPr>
          <w:rFonts w:asciiTheme="minorHAnsi" w:hAnsiTheme="minorHAnsi" w:cstheme="minorHAnsi"/>
          <w:sz w:val="20"/>
          <w:szCs w:val="20"/>
        </w:rPr>
        <w:t>OSDp</w:t>
      </w:r>
      <w:proofErr w:type="spellEnd"/>
      <w:r w:rsidR="00792FCF" w:rsidRPr="00EB2E7B">
        <w:rPr>
          <w:rFonts w:asciiTheme="minorHAnsi" w:hAnsiTheme="minorHAnsi" w:cstheme="minorHAnsi"/>
          <w:sz w:val="20"/>
          <w:szCs w:val="20"/>
        </w:rPr>
        <w:t>.</w:t>
      </w:r>
    </w:p>
    <w:p w14:paraId="1968F7E9" w14:textId="77777777" w:rsidR="00EB028E" w:rsidRPr="00EB2E7B" w:rsidRDefault="00EB028E" w:rsidP="003C4AE2">
      <w:pPr>
        <w:ind w:left="1134" w:firstLine="0"/>
        <w:rPr>
          <w:rFonts w:asciiTheme="minorHAnsi" w:hAnsiTheme="minorHAnsi" w:cstheme="minorHAnsi"/>
          <w:sz w:val="20"/>
          <w:szCs w:val="20"/>
        </w:rPr>
      </w:pPr>
      <w:r w:rsidRPr="00EB2E7B">
        <w:rPr>
          <w:rFonts w:asciiTheme="minorHAnsi" w:hAnsiTheme="minorHAnsi" w:cstheme="minorHAnsi"/>
          <w:sz w:val="20"/>
          <w:szCs w:val="20"/>
        </w:rPr>
        <w:t>Koszty wykonania ekspertyzy uwzględnia się w opłacie za przyłączenie.</w:t>
      </w:r>
    </w:p>
    <w:p w14:paraId="6AFB62A2" w14:textId="528EC046"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Warunki przyłączenia, w zależności od danych zawartych we wniosku o którym mowa w pkt. </w:t>
      </w:r>
      <w:r w:rsidR="00E50479" w:rsidRPr="00EB2E7B">
        <w:rPr>
          <w:rFonts w:asciiTheme="minorHAnsi" w:hAnsiTheme="minorHAnsi" w:cstheme="minorHAnsi"/>
          <w:sz w:val="20"/>
          <w:szCs w:val="20"/>
        </w:rPr>
        <w:fldChar w:fldCharType="begin"/>
      </w:r>
      <w:r w:rsidR="00E50479" w:rsidRPr="00EB2E7B">
        <w:rPr>
          <w:rFonts w:asciiTheme="minorHAnsi" w:hAnsiTheme="minorHAnsi" w:cstheme="minorHAnsi"/>
          <w:sz w:val="20"/>
          <w:szCs w:val="20"/>
        </w:rPr>
        <w:instrText xml:space="preserve"> REF _Ref75425552 \r \h </w:instrText>
      </w:r>
      <w:r w:rsidR="009A7B82" w:rsidRPr="00EB2E7B">
        <w:rPr>
          <w:rFonts w:asciiTheme="minorHAnsi" w:hAnsiTheme="minorHAnsi" w:cstheme="minorHAnsi"/>
          <w:sz w:val="20"/>
          <w:szCs w:val="20"/>
        </w:rPr>
        <w:instrText xml:space="preserve"> \* MERGEFORMAT </w:instrText>
      </w:r>
      <w:r w:rsidR="00E50479" w:rsidRPr="00EB2E7B">
        <w:rPr>
          <w:rFonts w:asciiTheme="minorHAnsi" w:hAnsiTheme="minorHAnsi" w:cstheme="minorHAnsi"/>
          <w:sz w:val="20"/>
          <w:szCs w:val="20"/>
        </w:rPr>
      </w:r>
      <w:r w:rsidR="00E5047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II.1.3</w:t>
      </w:r>
      <w:r w:rsidR="00E5047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zawierają w szczególności: </w:t>
      </w:r>
    </w:p>
    <w:p w14:paraId="4D84B7BA" w14:textId="77777777" w:rsidR="00792FCF" w:rsidRPr="00EB2E7B" w:rsidRDefault="00792FCF" w:rsidP="00EF3C5D">
      <w:pPr>
        <w:pStyle w:val="1przed"/>
        <w:numPr>
          <w:ilvl w:val="0"/>
          <w:numId w:val="192"/>
        </w:numPr>
        <w:ind w:left="1701" w:hanging="567"/>
        <w:rPr>
          <w:rFonts w:asciiTheme="minorHAnsi" w:hAnsiTheme="minorHAnsi" w:cstheme="minorHAnsi"/>
          <w:sz w:val="20"/>
          <w:szCs w:val="20"/>
        </w:rPr>
      </w:pPr>
      <w:r w:rsidRPr="00EB2E7B">
        <w:rPr>
          <w:rFonts w:asciiTheme="minorHAnsi" w:hAnsiTheme="minorHAnsi" w:cstheme="minorHAnsi"/>
          <w:sz w:val="20"/>
          <w:szCs w:val="20"/>
        </w:rPr>
        <w:t>miejsce przyłączenia,</w:t>
      </w:r>
    </w:p>
    <w:p w14:paraId="778939CD"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nieruchomość, obiekt lub lokal, do których energia elektryczna ma być dostarczana lub z których ma być odbierana,</w:t>
      </w:r>
    </w:p>
    <w:p w14:paraId="667B6881"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miejsce rozgraniczenia własności sieci ACPRO i urządzeń, instalacji lub sieci podmiotu, którego urządzenia, instalacje lub sieci będą przyłączane,</w:t>
      </w:r>
    </w:p>
    <w:p w14:paraId="27650098"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miejsce dostarczania energii elektrycznej,</w:t>
      </w:r>
    </w:p>
    <w:p w14:paraId="68D497FD"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moc przyłączeniową,</w:t>
      </w:r>
    </w:p>
    <w:p w14:paraId="3ED7BDC5"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rodzaj przyłącza,</w:t>
      </w:r>
    </w:p>
    <w:p w14:paraId="759807E1"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zakres niezbędnych zmian w sieci związanych z przyłączeniem,</w:t>
      </w:r>
    </w:p>
    <w:p w14:paraId="6473305B"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dane znamionowe urządzeń, instalacji i sieci oraz dopuszczalne graniczne parametry ich pracy,</w:t>
      </w:r>
    </w:p>
    <w:p w14:paraId="3213095F"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dopuszczalny poziom zmienności parametrów technicznych energii elektrycznej,</w:t>
      </w:r>
    </w:p>
    <w:p w14:paraId="1F5B5416"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miejsce zainstalowania układu pomiarowo-rozliczeniowego,</w:t>
      </w:r>
    </w:p>
    <w:p w14:paraId="0DB589EA"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wymagania dotyczące układu pomiarowo-rozliczeniowego i sposobu pozyskiwania danych z systemu pomiarowego,</w:t>
      </w:r>
    </w:p>
    <w:p w14:paraId="08789926"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rodzaj i usytuowanie zabezpieczenia głównego, dane znamionowe oraz niezbędne wymagania w zakresie elektroenergetycznej automatyki zabezpieczeniowej i systemowej,</w:t>
      </w:r>
    </w:p>
    <w:p w14:paraId="1597F0B1"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dane umożliwiające określenie w miejscu przyłączenia wartości prądów:</w:t>
      </w:r>
    </w:p>
    <w:p w14:paraId="00F97E63" w14:textId="77777777" w:rsidR="00792FCF" w:rsidRPr="00EB2E7B" w:rsidRDefault="00792FCF" w:rsidP="003C4AE2">
      <w:pPr>
        <w:pStyle w:val="apo"/>
        <w:numPr>
          <w:ilvl w:val="0"/>
          <w:numId w:val="193"/>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zwarć wielofazowych i czasów ich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w:t>
      </w:r>
    </w:p>
    <w:p w14:paraId="7E724566" w14:textId="77777777" w:rsidR="00792FCF" w:rsidRPr="00EB2E7B" w:rsidRDefault="00792FCF" w:rsidP="003C4AE2">
      <w:pPr>
        <w:pStyle w:val="apo"/>
        <w:numPr>
          <w:ilvl w:val="0"/>
          <w:numId w:val="193"/>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zwarć doziemnych i czasów ich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lub trwań,</w:t>
      </w:r>
    </w:p>
    <w:p w14:paraId="00DD450F"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wymagany stopień skompensowania mocy biernej,</w:t>
      </w:r>
    </w:p>
    <w:p w14:paraId="43AEF7C9"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wymagania w zakresie:</w:t>
      </w:r>
    </w:p>
    <w:p w14:paraId="2A64C1B9" w14:textId="77777777" w:rsidR="00792FCF" w:rsidRPr="00EB2E7B" w:rsidRDefault="00792FCF" w:rsidP="003C4AE2">
      <w:pPr>
        <w:pStyle w:val="apo"/>
        <w:numPr>
          <w:ilvl w:val="0"/>
          <w:numId w:val="194"/>
        </w:numPr>
        <w:ind w:left="2268" w:hanging="567"/>
        <w:rPr>
          <w:rFonts w:asciiTheme="minorHAnsi" w:hAnsiTheme="minorHAnsi" w:cstheme="minorHAnsi"/>
          <w:sz w:val="20"/>
          <w:szCs w:val="20"/>
        </w:rPr>
      </w:pPr>
      <w:r w:rsidRPr="00EB2E7B">
        <w:rPr>
          <w:rFonts w:asciiTheme="minorHAnsi" w:hAnsiTheme="minorHAnsi" w:cstheme="minorHAnsi"/>
          <w:sz w:val="20"/>
          <w:szCs w:val="20"/>
        </w:rPr>
        <w:lastRenderedPageBreak/>
        <w:t>dostosowania przyłączanych urządzeń, instalacji lub sieci do systemów sterowania dyspozytorskiego,</w:t>
      </w:r>
    </w:p>
    <w:p w14:paraId="7668A421" w14:textId="77777777" w:rsidR="00792FCF" w:rsidRPr="00EB2E7B" w:rsidRDefault="00792FCF" w:rsidP="003C4AE2">
      <w:pPr>
        <w:pStyle w:val="apo"/>
        <w:numPr>
          <w:ilvl w:val="0"/>
          <w:numId w:val="194"/>
        </w:numPr>
        <w:ind w:left="2268" w:hanging="567"/>
        <w:rPr>
          <w:rFonts w:asciiTheme="minorHAnsi" w:hAnsiTheme="minorHAnsi" w:cstheme="minorHAnsi"/>
          <w:sz w:val="20"/>
          <w:szCs w:val="20"/>
        </w:rPr>
      </w:pPr>
      <w:r w:rsidRPr="00EB2E7B">
        <w:rPr>
          <w:rFonts w:asciiTheme="minorHAnsi" w:hAnsiTheme="minorHAnsi" w:cstheme="minorHAnsi"/>
          <w:sz w:val="20"/>
          <w:szCs w:val="20"/>
        </w:rPr>
        <w:t>przystosowania układu pomiarowo-rozliczeniowego do systemów zdalnego odczytu danych pomiarowych,</w:t>
      </w:r>
    </w:p>
    <w:p w14:paraId="276D8299" w14:textId="77777777" w:rsidR="00792FCF" w:rsidRPr="00EB2E7B" w:rsidRDefault="00792FCF" w:rsidP="003C4AE2">
      <w:pPr>
        <w:pStyle w:val="apo"/>
        <w:numPr>
          <w:ilvl w:val="0"/>
          <w:numId w:val="194"/>
        </w:numPr>
        <w:ind w:left="2268" w:hanging="567"/>
        <w:rPr>
          <w:rFonts w:asciiTheme="minorHAnsi" w:hAnsiTheme="minorHAnsi" w:cstheme="minorHAnsi"/>
          <w:sz w:val="20"/>
          <w:szCs w:val="20"/>
        </w:rPr>
      </w:pPr>
      <w:r w:rsidRPr="00EB2E7B">
        <w:rPr>
          <w:rFonts w:asciiTheme="minorHAnsi" w:hAnsiTheme="minorHAnsi" w:cstheme="minorHAnsi"/>
          <w:sz w:val="20"/>
          <w:szCs w:val="20"/>
        </w:rPr>
        <w:t>zabezpieczenia sieci przed zakłóceniami elektrycznymi powodowanymi przez urządzenia, instalacje lub sieci podmiotu, którego urządzenia, instalacje lub sieci będą przyłączane,</w:t>
      </w:r>
    </w:p>
    <w:p w14:paraId="2F37DDC2" w14:textId="3BF553D7" w:rsidR="00792FCF" w:rsidRPr="00EB2E7B" w:rsidRDefault="00792FCF" w:rsidP="003C4AE2">
      <w:pPr>
        <w:pStyle w:val="apo"/>
        <w:numPr>
          <w:ilvl w:val="0"/>
          <w:numId w:val="194"/>
        </w:numPr>
        <w:ind w:left="2268" w:hanging="567"/>
        <w:rPr>
          <w:rFonts w:asciiTheme="minorHAnsi" w:hAnsiTheme="minorHAnsi" w:cstheme="minorHAnsi"/>
          <w:sz w:val="20"/>
          <w:szCs w:val="20"/>
        </w:rPr>
      </w:pPr>
      <w:r w:rsidRPr="00EB2E7B">
        <w:rPr>
          <w:rFonts w:asciiTheme="minorHAnsi" w:hAnsiTheme="minorHAnsi" w:cstheme="minorHAnsi"/>
          <w:sz w:val="20"/>
          <w:szCs w:val="20"/>
        </w:rPr>
        <w:t>wyposażenia urządzeń, instalacji lub sieci niezbędnego do współpracy z siecią, do której ma nastąpić przyłączenie,</w:t>
      </w:r>
    </w:p>
    <w:p w14:paraId="0D431B78"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możliwości dostarczania energii elektrycznej w warunkach odmiennych od standardowych,</w:t>
      </w:r>
    </w:p>
    <w:p w14:paraId="628182B7"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dane i informacje dotyczące sieci niezbędne w celu doboru systemu ochrony przed porażeniami w instalacji lub sieci podmiotu, którego instalacje lub sieci będą przyłączane,</w:t>
      </w:r>
    </w:p>
    <w:p w14:paraId="14621F48" w14:textId="083D92B1" w:rsidR="00D83E55" w:rsidRPr="00EB2E7B" w:rsidRDefault="00C9149B"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schemat elektryczny z zaznaczeniem miejsca przyłączenia oraz miejsca rozgraniczenia własności sieci</w:t>
      </w:r>
      <w:r w:rsidR="007E4D69"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i urządzeń, instalacji lub sieci podmiotu, którego urządzenia, instalacje lub sieci będą przyłączane – w przypadku podmiotów zaliczanych do grupy przyłączeniowej I, II lub III,</w:t>
      </w:r>
    </w:p>
    <w:p w14:paraId="1D808232" w14:textId="494375DD"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ustalone, dla poszczególnych grup przyłączeniowych, dopuszczalne poziomy zaburzeń parametrów technicznych i jakościowych energii elektrycznej nie powodujących pogorszenia parametrów określonych w aktach wykonawczych do Ustawy albo ustalonych w umowie dystrybucji albo w umowie kompleksowej,</w:t>
      </w:r>
    </w:p>
    <w:p w14:paraId="660F783A" w14:textId="77777777" w:rsidR="00792FCF"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przewidywany harmonogram przyłączenia instalacji odnawialnego źródła energii uwzględniający poszczególne etapy rozbudowy sieci, a także zestawienie planowanych prac,</w:t>
      </w:r>
    </w:p>
    <w:p w14:paraId="6D7B3239" w14:textId="7A842E85" w:rsidR="00473957" w:rsidRPr="00EB2E7B" w:rsidRDefault="00792FC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wymagany stopień skompensowania mocy biernej podczas postoju wymagającego zasilania potrzeb własnych oraz wprowadzania przez wytwórcę lub posiadacza magazynu energii elektrycznej do sieci wyprodukowanej lub zmagazynowanej energii elektrycznej czynnej oraz podczas ładowania magazynu energii elektrycznej - w przypadku przyłączenia wytwórcy lub posiadacza magazynu energii elektrycznej jako odbiorcy mocy i energii czynnej na potrzeby własne.</w:t>
      </w:r>
    </w:p>
    <w:p w14:paraId="5B8AC752" w14:textId="77777777" w:rsidR="006E1123" w:rsidRPr="00EB2E7B" w:rsidRDefault="00232DA9" w:rsidP="003C4AE2">
      <w:pPr>
        <w:pStyle w:val="Nagwek3"/>
        <w:ind w:left="1134" w:hanging="1134"/>
        <w:rPr>
          <w:rFonts w:asciiTheme="minorHAnsi" w:hAnsiTheme="minorHAnsi" w:cstheme="minorHAnsi"/>
          <w:sz w:val="20"/>
          <w:szCs w:val="20"/>
        </w:rPr>
      </w:pPr>
      <w:bookmarkStart w:id="81" w:name="_Ref75426579"/>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wydaje warunki przyłączenia w następujących terminach:</w:t>
      </w:r>
      <w:bookmarkEnd w:id="81"/>
      <w:r w:rsidR="0077111A" w:rsidRPr="00EB2E7B">
        <w:rPr>
          <w:rFonts w:asciiTheme="minorHAnsi" w:hAnsiTheme="minorHAnsi" w:cstheme="minorHAnsi"/>
          <w:sz w:val="20"/>
          <w:szCs w:val="20"/>
        </w:rPr>
        <w:t xml:space="preserve"> </w:t>
      </w:r>
    </w:p>
    <w:p w14:paraId="760D7059" w14:textId="4BD01488" w:rsidR="006E1123" w:rsidRPr="00EB2E7B" w:rsidRDefault="009E5633" w:rsidP="00EF3C5D">
      <w:pPr>
        <w:pStyle w:val="1przed"/>
        <w:numPr>
          <w:ilvl w:val="0"/>
          <w:numId w:val="14"/>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21 dni od dnia złożenia wniosku przez wnioskodawcę zaliczonego do V lub VI grupy przyłączeniowej przyłączanego do sieci o napięciu nie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7C9C052F" w14:textId="34200A5C" w:rsidR="006E1123" w:rsidRPr="00EB2E7B" w:rsidRDefault="009E5633"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30 dni od dnia złożenia wniosku przez wnioskodawcę zaliczonego do IV grupy przyłączeniowej przyłączanego do sieci o napięciu nie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087FC9D9" w14:textId="44B42E67" w:rsidR="006E1123" w:rsidRPr="00EB2E7B" w:rsidRDefault="009E5633"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60 dni od dnia złożenia wniosku przez wnioskodawcę zaliczonego do III lub VI grupy przyłączeniowej przyłączanego do sieci o napięciu powyżej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niewyposażonego w źródło ani w magazyn energii elektrycznej;</w:t>
      </w:r>
    </w:p>
    <w:p w14:paraId="296F415B" w14:textId="515573A4" w:rsidR="006E1123" w:rsidRPr="00EB2E7B" w:rsidRDefault="009E5633" w:rsidP="00EF3C5D">
      <w:pPr>
        <w:pStyle w:val="1przed"/>
        <w:ind w:left="1701" w:hanging="567"/>
        <w:rPr>
          <w:rFonts w:asciiTheme="minorHAnsi" w:hAnsiTheme="minorHAnsi" w:cstheme="minorHAnsi"/>
          <w:sz w:val="20"/>
          <w:szCs w:val="20"/>
        </w:rPr>
      </w:pPr>
      <w:bookmarkStart w:id="82" w:name="_Ref99039012"/>
      <w:r w:rsidRPr="00EB2E7B">
        <w:rPr>
          <w:rFonts w:asciiTheme="minorHAnsi" w:hAnsiTheme="minorHAnsi" w:cstheme="minorHAnsi"/>
          <w:sz w:val="20"/>
          <w:szCs w:val="20"/>
        </w:rPr>
        <w:t xml:space="preserve">120 dni od dnia złożenia wniosku przez wnioskodawcę zaliczonego do III lub VI grupy przyłączeniowej - dla obiektu przyłączanego do sieci o napięciu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wyposażonego w źródło lub magazyn energii elektrycznej;</w:t>
      </w:r>
      <w:bookmarkEnd w:id="82"/>
    </w:p>
    <w:p w14:paraId="2C2B0A64" w14:textId="49AF3705" w:rsidR="006E1123" w:rsidRPr="00EB2E7B" w:rsidRDefault="007E186D" w:rsidP="00EF3C5D">
      <w:pPr>
        <w:pStyle w:val="1przed"/>
        <w:ind w:left="1701" w:hanging="567"/>
        <w:rPr>
          <w:rFonts w:asciiTheme="minorHAnsi" w:hAnsiTheme="minorHAnsi" w:cstheme="minorHAnsi"/>
          <w:sz w:val="20"/>
          <w:szCs w:val="20"/>
        </w:rPr>
      </w:pPr>
      <w:bookmarkStart w:id="83" w:name="_Ref99039021"/>
      <w:r w:rsidRPr="00EB2E7B">
        <w:rPr>
          <w:rFonts w:asciiTheme="minorHAnsi" w:hAnsiTheme="minorHAnsi" w:cstheme="minorHAnsi"/>
          <w:sz w:val="20"/>
          <w:szCs w:val="20"/>
        </w:rPr>
        <w:lastRenderedPageBreak/>
        <w:t>150 dni od dnia złożenia wniosku przez wnioskodawcę zaliczonego do II grupy przyłączeniowej.</w:t>
      </w:r>
      <w:bookmarkEnd w:id="83"/>
    </w:p>
    <w:p w14:paraId="733C0A37" w14:textId="4CA7BA0D" w:rsidR="009E5633" w:rsidRPr="00EB2E7B" w:rsidRDefault="009E5633"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wniosku o wydanie warunków przyłączenia źródła lub magazynu energii elektrycznej do sieci elektroenergetycznej o napięciu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terminy określone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_Ref99039012 \r \h </w:instrText>
      </w:r>
      <w:r w:rsidR="00CA093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_Ref99039021 \r \h </w:instrText>
      </w:r>
      <w:r w:rsidR="00CA093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liczone są od dnia wniesienia zaliczki.</w:t>
      </w:r>
    </w:p>
    <w:p w14:paraId="006A1E52" w14:textId="60DC9860" w:rsidR="009E5633" w:rsidRPr="00EB2E7B" w:rsidRDefault="009E5633"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Do terminów na wydanie warunków przyłączenia do sieci nie wlicza się terminów przewidzianych w przepisach prawa do dokonania określonych czynności, terminów na uzupełnienie wniosku o wydanie warunków przyłączenia do sieci, okresów opóźnień spowodowanych z winy podmiotu wnioskującego o przyłączenie albo z przyczyn niezależnych od przedsiębiorstwa energetycznego.</w:t>
      </w:r>
    </w:p>
    <w:p w14:paraId="09CE764B" w14:textId="5E7C0F6E" w:rsidR="009E5633" w:rsidRPr="00EB2E7B" w:rsidRDefault="009E5633"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W szczególnie uzasadnionych przypadkach ACPRO może przedłużyć terminy określone powyżej o maksymalnie połowę terminu, w jakim obowiązane jest wydać warunki przyłączenia do sieci elektroenergetycznej dla poszczególnych grup przyłączeniowych za uprzednim zawiadomieniem podmiotu wnioskującego o przyłączenie do sieci z podaniem uzasadnienia przyczyn tego przedłużenia.</w:t>
      </w:r>
    </w:p>
    <w:p w14:paraId="0A3A5900" w14:textId="344D1163" w:rsidR="00473957" w:rsidRPr="00EB2E7B" w:rsidRDefault="009E5633"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Warunki przyłączenia są ważne dwa lata od dnia ich doręczenia. W okresie ważności warunki przyłączenia stanowią warunkowe zobowiązanie ACPRO do zawarcia umowy o przyłączenie do sieci elektroenergetycznej.</w:t>
      </w:r>
      <w:r w:rsidR="0077111A" w:rsidRPr="00EB2E7B">
        <w:rPr>
          <w:rFonts w:asciiTheme="minorHAnsi" w:hAnsiTheme="minorHAnsi" w:cstheme="minorHAnsi"/>
          <w:sz w:val="20"/>
          <w:szCs w:val="20"/>
        </w:rPr>
        <w:t xml:space="preserve"> </w:t>
      </w:r>
    </w:p>
    <w:p w14:paraId="0BA0CE7F" w14:textId="7CC7D2B8" w:rsidR="009E5633" w:rsidRPr="00EB2E7B" w:rsidRDefault="009E5633" w:rsidP="008475C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Wnioskodawca może </w:t>
      </w:r>
      <w:r w:rsidR="00F01E38" w:rsidRPr="00EB2E7B">
        <w:rPr>
          <w:rFonts w:asciiTheme="minorHAnsi" w:hAnsiTheme="minorHAnsi" w:cstheme="minorHAnsi"/>
          <w:sz w:val="20"/>
          <w:szCs w:val="20"/>
        </w:rPr>
        <w:t xml:space="preserve">zrezygnować </w:t>
      </w:r>
      <w:r w:rsidR="008475C5" w:rsidRPr="00EB2E7B">
        <w:rPr>
          <w:rFonts w:asciiTheme="minorHAnsi" w:hAnsiTheme="minorHAnsi" w:cstheme="minorHAnsi"/>
          <w:sz w:val="20"/>
          <w:szCs w:val="20"/>
        </w:rPr>
        <w:t>z realizacji warunków przyłączenia przed upływem terminu ważności warunków przyłączenia, o czym wnioskodawca informuje ACPRO</w:t>
      </w:r>
      <w:r w:rsidRPr="00EB2E7B">
        <w:rPr>
          <w:rFonts w:asciiTheme="minorHAnsi" w:hAnsiTheme="minorHAnsi" w:cstheme="minorHAnsi"/>
          <w:sz w:val="20"/>
          <w:szCs w:val="20"/>
        </w:rPr>
        <w:t>.</w:t>
      </w:r>
      <w:r w:rsidR="00167E98" w:rsidRPr="00EB2E7B">
        <w:rPr>
          <w:rFonts w:asciiTheme="minorHAnsi" w:hAnsiTheme="minorHAnsi" w:cstheme="minorHAnsi"/>
          <w:sz w:val="20"/>
          <w:szCs w:val="20"/>
        </w:rPr>
        <w:t xml:space="preserve"> W przypadku rezygnacji z warunków przyłączenia tracą one ważność z dniem poinformowania ACPRO o rezygnacji z ich realizacji. </w:t>
      </w:r>
    </w:p>
    <w:p w14:paraId="7B751117" w14:textId="77777777" w:rsidR="00473957" w:rsidRPr="00EB2E7B" w:rsidRDefault="0077111A"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Wraz z określonymi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warunkami przyłączenia wnioskodawca otrzymuje projekt umowy o przyłączenie do sieci. </w:t>
      </w:r>
    </w:p>
    <w:p w14:paraId="551D931E" w14:textId="1EF09526" w:rsidR="00473957" w:rsidRPr="00EB2E7B" w:rsidRDefault="0077111A" w:rsidP="003C4AE2">
      <w:pPr>
        <w:pStyle w:val="Nagwek3"/>
        <w:ind w:left="1134" w:hanging="1134"/>
        <w:rPr>
          <w:rFonts w:asciiTheme="minorHAnsi" w:hAnsiTheme="minorHAnsi" w:cstheme="minorHAnsi"/>
          <w:sz w:val="20"/>
          <w:szCs w:val="20"/>
        </w:rPr>
      </w:pPr>
      <w:bookmarkStart w:id="84" w:name="_Ref75426261"/>
      <w:r w:rsidRPr="00EB2E7B">
        <w:rPr>
          <w:rFonts w:asciiTheme="minorHAnsi" w:hAnsiTheme="minorHAnsi" w:cstheme="minorHAnsi"/>
          <w:sz w:val="20"/>
          <w:szCs w:val="20"/>
        </w:rPr>
        <w:t xml:space="preserve">W przypadkach, gdy przyłączenie do sieci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r w:rsidR="004B12D0" w:rsidRPr="00EB2E7B">
        <w:rPr>
          <w:rFonts w:asciiTheme="minorHAnsi" w:hAnsiTheme="minorHAnsi" w:cstheme="minorHAnsi"/>
          <w:sz w:val="20"/>
          <w:szCs w:val="20"/>
        </w:rPr>
        <w:t>na podstawie opracowanej ekspertyzy</w:t>
      </w:r>
      <w:r w:rsidR="00E220ED"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wpłynie na warunki pracy sieci sąsiedniego operatora systemu dystrybucyjnego,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występuje do tego ACPRO z wnioskiem o ustalenie czy zakres przebudowy sieci elektroenergetycznych sąsiedniego OSD, wynikający z ekspertyzy został ujęty w planie rozwoju tego ACPRO lub czy ACPRO planuje realizację tych inwestycji.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oczekuje na odpowiedź sąsiedniego OSD min. 14 dni kalendarzowych od daty wysłania wniosku.</w:t>
      </w:r>
      <w:bookmarkEnd w:id="84"/>
      <w:r w:rsidRPr="00EB2E7B">
        <w:rPr>
          <w:rFonts w:asciiTheme="minorHAnsi" w:hAnsiTheme="minorHAnsi" w:cstheme="minorHAnsi"/>
          <w:sz w:val="20"/>
          <w:szCs w:val="20"/>
        </w:rPr>
        <w:t xml:space="preserve"> </w:t>
      </w:r>
    </w:p>
    <w:p w14:paraId="6AA1D829" w14:textId="6A1E5F62" w:rsidR="00473957" w:rsidRPr="00EB2E7B" w:rsidRDefault="00232DA9" w:rsidP="003C4AE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wydając warunki przyłączenia jest odpowiedzialny za dokonanie uzgodnień pomiędzy operatorami, o których mowa w pkt. </w:t>
      </w:r>
      <w:r w:rsidR="005751E2" w:rsidRPr="00EB2E7B">
        <w:rPr>
          <w:rFonts w:asciiTheme="minorHAnsi" w:hAnsiTheme="minorHAnsi" w:cstheme="minorHAnsi"/>
          <w:sz w:val="20"/>
          <w:szCs w:val="20"/>
        </w:rPr>
        <w:fldChar w:fldCharType="begin"/>
      </w:r>
      <w:r w:rsidR="005751E2" w:rsidRPr="00EB2E7B">
        <w:rPr>
          <w:rFonts w:asciiTheme="minorHAnsi" w:hAnsiTheme="minorHAnsi" w:cstheme="minorHAnsi"/>
          <w:sz w:val="20"/>
          <w:szCs w:val="20"/>
        </w:rPr>
        <w:instrText xml:space="preserve"> REF _Ref75426261 \r \h </w:instrText>
      </w:r>
      <w:r w:rsidR="009B08E0" w:rsidRPr="00EB2E7B">
        <w:rPr>
          <w:rFonts w:asciiTheme="minorHAnsi" w:hAnsiTheme="minorHAnsi" w:cstheme="minorHAnsi"/>
          <w:sz w:val="20"/>
          <w:szCs w:val="20"/>
        </w:rPr>
        <w:instrText xml:space="preserve"> \* MERGEFORMAT </w:instrText>
      </w:r>
      <w:r w:rsidR="005751E2" w:rsidRPr="00EB2E7B">
        <w:rPr>
          <w:rFonts w:asciiTheme="minorHAnsi" w:hAnsiTheme="minorHAnsi" w:cstheme="minorHAnsi"/>
          <w:sz w:val="20"/>
          <w:szCs w:val="20"/>
        </w:rPr>
      </w:r>
      <w:r w:rsidR="005751E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II.1.13</w:t>
      </w:r>
      <w:r w:rsidR="005751E2"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t>
      </w:r>
    </w:p>
    <w:p w14:paraId="5631029D" w14:textId="768D681F" w:rsidR="006E6020" w:rsidRPr="00EB2E7B" w:rsidRDefault="00792FCF" w:rsidP="003C4AE2">
      <w:pPr>
        <w:pStyle w:val="Nagwek3"/>
        <w:ind w:left="1134" w:hanging="1134"/>
        <w:rPr>
          <w:rFonts w:asciiTheme="minorHAnsi" w:hAnsiTheme="minorHAnsi" w:cstheme="minorHAnsi"/>
          <w:sz w:val="20"/>
          <w:szCs w:val="20"/>
        </w:rPr>
      </w:pPr>
      <w:bookmarkStart w:id="85" w:name="_Ref99051736"/>
      <w:r w:rsidRPr="00EB2E7B">
        <w:rPr>
          <w:rFonts w:asciiTheme="minorHAnsi" w:hAnsiTheme="minorHAnsi" w:cstheme="minorHAnsi"/>
          <w:sz w:val="20"/>
          <w:szCs w:val="20"/>
        </w:rPr>
        <w:t>Warunki przyłączenia do sieci dystrybucyjnej ACPRO lub połączenia sieci dystrybucyjnych uzgadnia się z OSP w przypadku</w:t>
      </w:r>
      <w:r w:rsidR="006E6020" w:rsidRPr="00EB2E7B">
        <w:rPr>
          <w:rFonts w:asciiTheme="minorHAnsi" w:hAnsiTheme="minorHAnsi" w:cstheme="minorHAnsi"/>
          <w:sz w:val="20"/>
          <w:szCs w:val="20"/>
        </w:rPr>
        <w:t>:</w:t>
      </w:r>
      <w:bookmarkEnd w:id="85"/>
    </w:p>
    <w:p w14:paraId="3537EE7F" w14:textId="7108EF48" w:rsidR="003010B9" w:rsidRPr="00EB2E7B" w:rsidRDefault="003010B9" w:rsidP="00EF3C5D">
      <w:pPr>
        <w:pStyle w:val="1przed"/>
        <w:numPr>
          <w:ilvl w:val="0"/>
          <w:numId w:val="142"/>
        </w:numPr>
        <w:ind w:left="1701" w:hanging="567"/>
        <w:rPr>
          <w:rFonts w:asciiTheme="minorHAnsi" w:hAnsiTheme="minorHAnsi" w:cstheme="minorHAnsi"/>
          <w:sz w:val="20"/>
          <w:szCs w:val="20"/>
        </w:rPr>
      </w:pPr>
      <w:r w:rsidRPr="00EB2E7B">
        <w:rPr>
          <w:rFonts w:asciiTheme="minorHAnsi" w:hAnsiTheme="minorHAnsi" w:cstheme="minorHAnsi"/>
          <w:sz w:val="20"/>
          <w:szCs w:val="20"/>
        </w:rPr>
        <w:t>urządzeń, instalacji i sieci należących do podmiotów zaliczanych do grupy przyłączeniowej II,</w:t>
      </w:r>
    </w:p>
    <w:p w14:paraId="5DEE9D2C" w14:textId="70C28533" w:rsidR="00473957" w:rsidRPr="00EB2E7B" w:rsidRDefault="00792FCF" w:rsidP="00D97091">
      <w:pPr>
        <w:pStyle w:val="1przed"/>
        <w:numPr>
          <w:ilvl w:val="0"/>
          <w:numId w:val="142"/>
        </w:numPr>
        <w:ind w:left="1701" w:hanging="567"/>
        <w:rPr>
          <w:rFonts w:asciiTheme="minorHAnsi" w:hAnsiTheme="minorHAnsi" w:cstheme="minorHAnsi"/>
          <w:sz w:val="20"/>
          <w:szCs w:val="20"/>
        </w:rPr>
      </w:pPr>
      <w:r w:rsidRPr="00EB2E7B">
        <w:rPr>
          <w:rFonts w:asciiTheme="minorHAnsi" w:hAnsiTheme="minorHAnsi" w:cstheme="minorHAnsi"/>
          <w:sz w:val="20"/>
          <w:szCs w:val="20"/>
        </w:rPr>
        <w:t>instalacji odnawialnego źródła energii, należących do podmiotów zaliczanych do grupy przyłączeniowej III, o mocy zainstalowanej większej niż 2 MW.</w:t>
      </w:r>
    </w:p>
    <w:p w14:paraId="79B002D5" w14:textId="77777777" w:rsidR="00792FCF" w:rsidRPr="00EB2E7B" w:rsidRDefault="00792FCF" w:rsidP="00FB6CB7">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zakresie uzgodnień z OSP mają zastosowanie odpowiednie zapisy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w:t>
      </w:r>
    </w:p>
    <w:p w14:paraId="26225E83" w14:textId="5F47189A" w:rsidR="00792FCF" w:rsidRPr="00EB2E7B" w:rsidRDefault="00792FCF" w:rsidP="00FB6CB7">
      <w:pPr>
        <w:ind w:left="1134" w:firstLine="0"/>
        <w:rPr>
          <w:rFonts w:asciiTheme="minorHAnsi" w:hAnsiTheme="minorHAnsi" w:cstheme="minorHAnsi"/>
          <w:sz w:val="20"/>
          <w:szCs w:val="20"/>
        </w:rPr>
      </w:pPr>
      <w:r w:rsidRPr="00EB2E7B">
        <w:rPr>
          <w:rFonts w:asciiTheme="minorHAnsi" w:hAnsiTheme="minorHAnsi" w:cstheme="minorHAnsi"/>
          <w:sz w:val="20"/>
          <w:szCs w:val="20"/>
        </w:rPr>
        <w:t>OSDn albo przedsiębiorstwa energetyczne niebędące operatorem, w przypadk</w:t>
      </w:r>
      <w:r w:rsidR="000B3826" w:rsidRPr="00EB2E7B">
        <w:rPr>
          <w:rFonts w:asciiTheme="minorHAnsi" w:hAnsiTheme="minorHAnsi" w:cstheme="minorHAnsi"/>
          <w:sz w:val="20"/>
          <w:szCs w:val="20"/>
        </w:rPr>
        <w:t>ach</w:t>
      </w:r>
      <w:r w:rsidRPr="00EB2E7B">
        <w:rPr>
          <w:rFonts w:asciiTheme="minorHAnsi" w:hAnsiTheme="minorHAnsi" w:cstheme="minorHAnsi"/>
          <w:sz w:val="20"/>
          <w:szCs w:val="20"/>
        </w:rPr>
        <w:t>, o który</w:t>
      </w:r>
      <w:r w:rsidR="000B3826" w:rsidRPr="00EB2E7B">
        <w:rPr>
          <w:rFonts w:asciiTheme="minorHAnsi" w:hAnsiTheme="minorHAnsi" w:cstheme="minorHAnsi"/>
          <w:sz w:val="20"/>
          <w:szCs w:val="20"/>
        </w:rPr>
        <w:t>ch</w:t>
      </w:r>
      <w:r w:rsidRPr="00EB2E7B">
        <w:rPr>
          <w:rFonts w:asciiTheme="minorHAnsi" w:hAnsiTheme="minorHAnsi" w:cstheme="minorHAnsi"/>
          <w:sz w:val="20"/>
          <w:szCs w:val="20"/>
        </w:rPr>
        <w:t xml:space="preserve"> mowa powyżej, dokonują uzgodnień z OSP za pośrednictwem ACPRO i/lub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do którego sieci są połączeni.</w:t>
      </w:r>
    </w:p>
    <w:p w14:paraId="0F907CF1" w14:textId="77777777" w:rsidR="00792FCF" w:rsidRPr="00EB2E7B" w:rsidRDefault="00792FCF" w:rsidP="00FB6CB7">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Uzgodnienie obejmuje:</w:t>
      </w:r>
    </w:p>
    <w:p w14:paraId="3515E99E" w14:textId="77777777" w:rsidR="00792FCF" w:rsidRPr="00EB2E7B" w:rsidRDefault="00792FCF" w:rsidP="00EF3C5D">
      <w:pPr>
        <w:pStyle w:val="1przed"/>
        <w:numPr>
          <w:ilvl w:val="0"/>
          <w:numId w:val="195"/>
        </w:numPr>
        <w:ind w:left="1701" w:hanging="567"/>
        <w:rPr>
          <w:rFonts w:asciiTheme="minorHAnsi" w:hAnsiTheme="minorHAnsi" w:cstheme="minorHAnsi"/>
          <w:sz w:val="20"/>
          <w:szCs w:val="20"/>
        </w:rPr>
      </w:pPr>
      <w:r w:rsidRPr="00EB2E7B">
        <w:rPr>
          <w:rFonts w:asciiTheme="minorHAnsi" w:hAnsiTheme="minorHAnsi" w:cstheme="minorHAnsi"/>
          <w:sz w:val="20"/>
          <w:szCs w:val="20"/>
        </w:rPr>
        <w:t>uzgodnienie zakresu oraz przekazanie wykonanej ekspertyzy wpływu przyłączanych instalacji lub sieci na KSE,</w:t>
      </w:r>
    </w:p>
    <w:p w14:paraId="24B0117D" w14:textId="77777777" w:rsidR="00792FCF" w:rsidRPr="00EB2E7B" w:rsidRDefault="00792FCF">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uzgodnienie technicznych ustaleń zawartych w warunkach przyłączenia.</w:t>
      </w:r>
    </w:p>
    <w:p w14:paraId="19908919" w14:textId="55B1AE32" w:rsidR="00E41753" w:rsidRPr="00EB2E7B" w:rsidRDefault="00731578" w:rsidP="00EF3C5D">
      <w:pPr>
        <w:ind w:left="1134" w:firstLine="0"/>
        <w:rPr>
          <w:rFonts w:asciiTheme="minorHAnsi" w:hAnsiTheme="minorHAnsi" w:cstheme="minorHAnsi"/>
          <w:sz w:val="20"/>
          <w:szCs w:val="20"/>
        </w:rPr>
      </w:pPr>
      <w:r w:rsidRPr="00EB2E7B">
        <w:rPr>
          <w:rFonts w:asciiTheme="minorHAnsi" w:hAnsiTheme="minorHAnsi" w:cstheme="minorHAnsi"/>
          <w:sz w:val="20"/>
          <w:szCs w:val="20"/>
        </w:rPr>
        <w:t>Przedsiębiorstwo energetyczne niebędące operatorem, przed wydaniem warunków przyłączenia dla podmiotu zaliczanego do grupy przyłączeniowej I lub II, uzgadnia je z operatorem, do którego sieci przedsiębiorstwo to jest przyłączone.</w:t>
      </w:r>
    </w:p>
    <w:p w14:paraId="09C2138C" w14:textId="77777777" w:rsidR="00792FCF" w:rsidRPr="00EB2E7B" w:rsidRDefault="00792FCF" w:rsidP="00706C9E">
      <w:pPr>
        <w:pStyle w:val="Nagwek3"/>
        <w:ind w:left="1134" w:hanging="1134"/>
        <w:rPr>
          <w:rFonts w:asciiTheme="minorHAnsi" w:hAnsiTheme="minorHAnsi" w:cstheme="minorHAnsi"/>
          <w:sz w:val="20"/>
          <w:szCs w:val="20"/>
        </w:rPr>
      </w:pPr>
      <w:bookmarkStart w:id="86" w:name="_Ref189081342"/>
      <w:r w:rsidRPr="00EB2E7B">
        <w:rPr>
          <w:rFonts w:asciiTheme="minorHAnsi" w:hAnsiTheme="minorHAnsi" w:cstheme="minorHAnsi"/>
          <w:sz w:val="20"/>
          <w:szCs w:val="20"/>
        </w:rPr>
        <w:t xml:space="preserve">OSDn oraz przedsiębiorstwa energetyczne niebędące operatorem, przed wydaniem warunków przyłączenia dla wytwórcy należącego do grupy przyłączeniowej III, IV lub V, uzgadniają je z ACPRO i/lub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(załączając do nich komplet dokumentacji, na podstawie której przygotowano warunki przyłączenia, w tym ekspertyzę wpływu przyłączanego źródła na KSE, o której mowa w art. 7 ust. 8e Ustawy), z którego siecią ten OSDn lub to przedsiębiorstwo są połączeni.</w:t>
      </w:r>
      <w:bookmarkEnd w:id="86"/>
    </w:p>
    <w:p w14:paraId="6116C464" w14:textId="75748CA5" w:rsidR="0013163C" w:rsidRPr="00EB2E7B" w:rsidRDefault="00792FCF" w:rsidP="00706C9E">
      <w:pPr>
        <w:ind w:left="1134"/>
        <w:rPr>
          <w:rFonts w:asciiTheme="minorHAnsi" w:hAnsiTheme="minorHAnsi" w:cstheme="minorHAnsi"/>
          <w:sz w:val="20"/>
          <w:szCs w:val="20"/>
        </w:rPr>
      </w:pPr>
      <w:r w:rsidRPr="00EB2E7B">
        <w:rPr>
          <w:rFonts w:asciiTheme="minorHAnsi" w:hAnsiTheme="minorHAnsi" w:cstheme="minorHAnsi"/>
          <w:sz w:val="20"/>
          <w:szCs w:val="20"/>
        </w:rPr>
        <w:t>Uzgodnienie przez ACPRO następowało będzie po pozytywnej ocenie istnienia warunków technicznych i ekonomicznych przyłączenia źródła energii elektrycznej przeprowadzonej na moment otrzymania projektu warunków przyłączenia.</w:t>
      </w:r>
    </w:p>
    <w:p w14:paraId="4179254B" w14:textId="596A44BE" w:rsidR="00884DA4" w:rsidRPr="00EB2E7B" w:rsidRDefault="00884DA4" w:rsidP="00706C9E">
      <w:pPr>
        <w:pStyle w:val="Nagwek3"/>
        <w:ind w:left="1134" w:hanging="1134"/>
        <w:rPr>
          <w:rFonts w:asciiTheme="minorHAnsi" w:hAnsiTheme="minorHAnsi" w:cstheme="minorHAnsi"/>
          <w:sz w:val="20"/>
          <w:szCs w:val="20"/>
        </w:rPr>
      </w:pPr>
      <w:bookmarkStart w:id="87" w:name="_Ref190076084"/>
      <w:r w:rsidRPr="00EB2E7B">
        <w:rPr>
          <w:rFonts w:asciiTheme="minorHAnsi" w:hAnsiTheme="minorHAnsi" w:cstheme="minorHAnsi"/>
          <w:sz w:val="20"/>
          <w:szCs w:val="20"/>
        </w:rPr>
        <w:t>Uzgodnienie, o którym mowa w pkt.</w:t>
      </w:r>
      <w:r w:rsidR="005751E2" w:rsidRPr="00EB2E7B">
        <w:rPr>
          <w:rFonts w:asciiTheme="minorHAnsi" w:hAnsiTheme="minorHAnsi" w:cstheme="minorHAnsi"/>
          <w:sz w:val="20"/>
          <w:szCs w:val="20"/>
        </w:rPr>
        <w:t xml:space="preserve"> </w:t>
      </w:r>
      <w:r w:rsidR="0024172B" w:rsidRPr="00EB2E7B">
        <w:rPr>
          <w:rFonts w:asciiTheme="minorHAnsi" w:hAnsiTheme="minorHAnsi" w:cstheme="minorHAnsi"/>
          <w:sz w:val="20"/>
          <w:szCs w:val="20"/>
        </w:rPr>
        <w:fldChar w:fldCharType="begin"/>
      </w:r>
      <w:r w:rsidR="0024172B" w:rsidRPr="00EB2E7B">
        <w:rPr>
          <w:rFonts w:asciiTheme="minorHAnsi" w:hAnsiTheme="minorHAnsi" w:cstheme="minorHAnsi"/>
          <w:sz w:val="20"/>
          <w:szCs w:val="20"/>
        </w:rPr>
        <w:instrText xml:space="preserve"> REF _Ref99051736 \r \h </w:instrText>
      </w:r>
      <w:r w:rsidR="00EB635B" w:rsidRPr="00EB2E7B">
        <w:rPr>
          <w:rFonts w:asciiTheme="minorHAnsi" w:hAnsiTheme="minorHAnsi" w:cstheme="minorHAnsi"/>
          <w:sz w:val="20"/>
          <w:szCs w:val="20"/>
        </w:rPr>
        <w:instrText xml:space="preserve"> \* MERGEFORMAT </w:instrText>
      </w:r>
      <w:r w:rsidR="0024172B" w:rsidRPr="00EB2E7B">
        <w:rPr>
          <w:rFonts w:asciiTheme="minorHAnsi" w:hAnsiTheme="minorHAnsi" w:cstheme="minorHAnsi"/>
          <w:sz w:val="20"/>
          <w:szCs w:val="20"/>
        </w:rPr>
      </w:r>
      <w:r w:rsidR="0024172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II.1.15</w:t>
      </w:r>
      <w:r w:rsidR="0024172B" w:rsidRPr="00EB2E7B">
        <w:rPr>
          <w:rFonts w:asciiTheme="minorHAnsi" w:hAnsiTheme="minorHAnsi" w:cstheme="minorHAnsi"/>
          <w:sz w:val="20"/>
          <w:szCs w:val="20"/>
        </w:rPr>
        <w:fldChar w:fldCharType="end"/>
      </w:r>
      <w:r w:rsidR="000A1852" w:rsidRPr="00EB2E7B">
        <w:rPr>
          <w:rFonts w:asciiTheme="minorHAnsi" w:hAnsiTheme="minorHAnsi" w:cstheme="minorHAnsi"/>
          <w:sz w:val="20"/>
          <w:szCs w:val="20"/>
        </w:rPr>
        <w:t xml:space="preserve"> </w:t>
      </w:r>
      <w:r w:rsidR="00241D3D" w:rsidRPr="00EB2E7B">
        <w:rPr>
          <w:rFonts w:asciiTheme="minorHAnsi" w:hAnsiTheme="minorHAnsi" w:cstheme="minorHAnsi"/>
          <w:sz w:val="20"/>
          <w:szCs w:val="20"/>
        </w:rPr>
        <w:t xml:space="preserve">jest realizowane po przekazaniu przez ACPRO do OSP za pośrednictwem </w:t>
      </w:r>
      <w:proofErr w:type="spellStart"/>
      <w:r w:rsidR="00241D3D" w:rsidRPr="00EB2E7B">
        <w:rPr>
          <w:rFonts w:asciiTheme="minorHAnsi" w:hAnsiTheme="minorHAnsi" w:cstheme="minorHAnsi"/>
          <w:sz w:val="20"/>
          <w:szCs w:val="20"/>
        </w:rPr>
        <w:t>OSDp</w:t>
      </w:r>
      <w:proofErr w:type="spellEnd"/>
      <w:r w:rsidR="00241D3D" w:rsidRPr="00EB2E7B">
        <w:rPr>
          <w:rFonts w:asciiTheme="minorHAnsi" w:hAnsiTheme="minorHAnsi" w:cstheme="minorHAnsi"/>
          <w:sz w:val="20"/>
          <w:szCs w:val="20"/>
        </w:rPr>
        <w:t>, projektu warunków przyłączenia wraz z dokumentami:</w:t>
      </w:r>
      <w:bookmarkEnd w:id="87"/>
    </w:p>
    <w:p w14:paraId="5F98767A" w14:textId="08701281" w:rsidR="00473957" w:rsidRPr="00EB2E7B" w:rsidRDefault="0077111A" w:rsidP="00EF3C5D">
      <w:pPr>
        <w:pStyle w:val="1przed"/>
        <w:numPr>
          <w:ilvl w:val="0"/>
          <w:numId w:val="1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kopią </w:t>
      </w:r>
      <w:r w:rsidR="00241D3D" w:rsidRPr="00EB2E7B">
        <w:rPr>
          <w:rFonts w:asciiTheme="minorHAnsi" w:hAnsiTheme="minorHAnsi" w:cstheme="minorHAnsi"/>
          <w:sz w:val="20"/>
          <w:szCs w:val="20"/>
        </w:rPr>
        <w:t>wniosku podmiotu ACPRO o określenie warunków przyłączenia</w:t>
      </w:r>
      <w:r w:rsidRPr="00EB2E7B">
        <w:rPr>
          <w:rFonts w:asciiTheme="minorHAnsi" w:hAnsiTheme="minorHAnsi" w:cstheme="minorHAnsi"/>
          <w:sz w:val="20"/>
          <w:szCs w:val="20"/>
        </w:rPr>
        <w:t xml:space="preserve">, </w:t>
      </w:r>
    </w:p>
    <w:p w14:paraId="7706040D" w14:textId="4DB48147"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ekspertyzą </w:t>
      </w:r>
      <w:r w:rsidR="00241D3D" w:rsidRPr="00EB2E7B">
        <w:rPr>
          <w:rFonts w:asciiTheme="minorHAnsi" w:hAnsiTheme="minorHAnsi" w:cstheme="minorHAnsi"/>
          <w:sz w:val="20"/>
          <w:szCs w:val="20"/>
        </w:rPr>
        <w:t>wpływu przyłączanych instalacji lub sieci na KSE.</w:t>
      </w:r>
    </w:p>
    <w:p w14:paraId="3CD66FD8" w14:textId="352E68E7" w:rsidR="00473957" w:rsidRPr="00EB2E7B" w:rsidRDefault="0077111A" w:rsidP="00706C9E">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Dopuszcza </w:t>
      </w:r>
      <w:r w:rsidR="00241D3D" w:rsidRPr="00EB2E7B">
        <w:rPr>
          <w:rFonts w:asciiTheme="minorHAnsi" w:hAnsiTheme="minorHAnsi" w:cstheme="minorHAnsi"/>
          <w:sz w:val="20"/>
          <w:szCs w:val="20"/>
        </w:rPr>
        <w:t>się przesłanie ekspertyzy w wersji elektronicznej na nośniku danych</w:t>
      </w:r>
      <w:r w:rsidRPr="00EB2E7B">
        <w:rPr>
          <w:rFonts w:asciiTheme="minorHAnsi" w:hAnsiTheme="minorHAnsi" w:cstheme="minorHAnsi"/>
          <w:sz w:val="20"/>
          <w:szCs w:val="20"/>
        </w:rPr>
        <w:t xml:space="preserve">. </w:t>
      </w:r>
    </w:p>
    <w:p w14:paraId="098D7489" w14:textId="77777777" w:rsidR="00473957" w:rsidRPr="00EB2E7B" w:rsidRDefault="0077111A" w:rsidP="00706C9E">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zakresie uzgodnień z OSP mają zastosowanie odpowiednie zapisy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w:t>
      </w:r>
    </w:p>
    <w:p w14:paraId="12BC4EB0" w14:textId="77777777" w:rsidR="008645E2" w:rsidRPr="00EB2E7B" w:rsidRDefault="0077111A" w:rsidP="00657A2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gdy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odmówi przyłączenia do sieci odnawialnego źródła energii z powodu braku technicznych warunków przyłączenia wynikających z</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braku niezbędnych zdolności przesyłowych sieci w terminie proponowanym przez podmiot ubiegający się o przyłączenie odnawialnego źródła energii,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określa planowany termin oraz warunki wykonania niezbędnej rozbudowy lub modernizacji sieci, a także określa termin przyłączenia. </w:t>
      </w:r>
    </w:p>
    <w:p w14:paraId="5D238223" w14:textId="77777777" w:rsidR="00473957" w:rsidRPr="00EB2E7B" w:rsidRDefault="0077111A" w:rsidP="00657A2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braku technicznych lub ekonomicznych warunków przyłączenia w zakresie mocy przyłączeniowej określonej we wniosku o określenie warunków przyłączenia odnawialnego źródła energii,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powiadamia podmiot ubiegający się o przyłączenie o wielkości dostępnej mocy przyłączeniowej, dla jakiej mogą być spełnione te warunki. Jeżeli podmiot ten, w terminie 30 dni kalendarzowych od dnia otrzymania powiadomienia: </w:t>
      </w:r>
    </w:p>
    <w:p w14:paraId="36446E81" w14:textId="77777777" w:rsidR="00473957" w:rsidRPr="00EB2E7B" w:rsidRDefault="0077111A" w:rsidP="00EF3C5D">
      <w:pPr>
        <w:pStyle w:val="1przed"/>
        <w:numPr>
          <w:ilvl w:val="0"/>
          <w:numId w:val="1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wyraził zgodę na taką wielkość mocy przyłączeniowej,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wydaje warunki przyłączenia; </w:t>
      </w:r>
    </w:p>
    <w:p w14:paraId="7A501304" w14:textId="77777777"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nie wyraził zgody na taką wielkość mocy przyłączeniowej,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odmawia wydania warunków przyłączenia. </w:t>
      </w:r>
    </w:p>
    <w:p w14:paraId="6CF67D95" w14:textId="2A059600" w:rsidR="00473957" w:rsidRPr="00EB2E7B" w:rsidRDefault="0077111A"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Bieg terminu, o którym mowa w pkt. </w:t>
      </w:r>
      <w:r w:rsidR="005751E2" w:rsidRPr="00EB2E7B">
        <w:rPr>
          <w:rFonts w:asciiTheme="minorHAnsi" w:hAnsiTheme="minorHAnsi" w:cstheme="minorHAnsi"/>
          <w:sz w:val="20"/>
          <w:szCs w:val="20"/>
        </w:rPr>
        <w:fldChar w:fldCharType="begin"/>
      </w:r>
      <w:r w:rsidR="005751E2" w:rsidRPr="00EB2E7B">
        <w:rPr>
          <w:rFonts w:asciiTheme="minorHAnsi" w:hAnsiTheme="minorHAnsi" w:cstheme="minorHAnsi"/>
          <w:sz w:val="20"/>
          <w:szCs w:val="20"/>
        </w:rPr>
        <w:instrText xml:space="preserve"> REF _Ref75426579 \r \h </w:instrText>
      </w:r>
      <w:r w:rsidR="00F42985" w:rsidRPr="00EB2E7B">
        <w:rPr>
          <w:rFonts w:asciiTheme="minorHAnsi" w:hAnsiTheme="minorHAnsi" w:cstheme="minorHAnsi"/>
          <w:sz w:val="20"/>
          <w:szCs w:val="20"/>
        </w:rPr>
        <w:instrText xml:space="preserve"> \* MERGEFORMAT </w:instrText>
      </w:r>
      <w:r w:rsidR="005751E2" w:rsidRPr="00EB2E7B">
        <w:rPr>
          <w:rFonts w:asciiTheme="minorHAnsi" w:hAnsiTheme="minorHAnsi" w:cstheme="minorHAnsi"/>
          <w:sz w:val="20"/>
          <w:szCs w:val="20"/>
        </w:rPr>
      </w:r>
      <w:r w:rsidR="005751E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II.1.10</w:t>
      </w:r>
      <w:r w:rsidR="005751E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ulega zawieszeniu do czasu otrzymania zgody od podmiotu ubiegającego się o przyłączenie. </w:t>
      </w:r>
    </w:p>
    <w:p w14:paraId="3D8B70FD" w14:textId="50F8AF9F" w:rsidR="00C44458" w:rsidRPr="00EB2E7B" w:rsidRDefault="00FD2C0D" w:rsidP="00657A2C">
      <w:pPr>
        <w:pStyle w:val="Nagwek3"/>
        <w:ind w:left="1134" w:hanging="1134"/>
        <w:rPr>
          <w:rFonts w:asciiTheme="minorHAnsi" w:hAnsiTheme="minorHAnsi" w:cstheme="minorHAnsi"/>
          <w:sz w:val="20"/>
          <w:szCs w:val="20"/>
        </w:rPr>
      </w:pPr>
      <w:bookmarkStart w:id="88" w:name="_Ref75425456"/>
      <w:r w:rsidRPr="00EB2E7B">
        <w:rPr>
          <w:rFonts w:asciiTheme="minorHAnsi" w:hAnsiTheme="minorHAnsi" w:cstheme="minorHAnsi"/>
          <w:sz w:val="20"/>
          <w:szCs w:val="20"/>
        </w:rPr>
        <w:t xml:space="preserve">W przypadku, gdy ACPRO odmówi przyłączenia do sieci dystrybucyjnej z braku ekonomicznych warunków przyłączenia, o których mowa w </w:t>
      </w:r>
      <w:r w:rsidR="00B24C98" w:rsidRPr="00EB2E7B">
        <w:rPr>
          <w:rFonts w:asciiTheme="minorHAnsi" w:hAnsiTheme="minorHAnsi" w:cstheme="minorHAnsi"/>
          <w:sz w:val="20"/>
          <w:szCs w:val="20"/>
        </w:rPr>
        <w:t>U</w:t>
      </w:r>
      <w:r w:rsidRPr="00EB2E7B">
        <w:rPr>
          <w:rFonts w:asciiTheme="minorHAnsi" w:hAnsiTheme="minorHAnsi" w:cstheme="minorHAnsi"/>
          <w:sz w:val="20"/>
          <w:szCs w:val="20"/>
        </w:rPr>
        <w:t xml:space="preserve">stawie, za przyłączenie do sieci </w:t>
      </w:r>
      <w:r w:rsidR="00710F1B"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może ustalić </w:t>
      </w:r>
      <w:r w:rsidRPr="00EB2E7B">
        <w:rPr>
          <w:rFonts w:asciiTheme="minorHAnsi" w:hAnsiTheme="minorHAnsi" w:cstheme="minorHAnsi"/>
          <w:sz w:val="20"/>
          <w:szCs w:val="20"/>
        </w:rPr>
        <w:lastRenderedPageBreak/>
        <w:t xml:space="preserve">opłatę w wysokości uzgodnionej z podmiotem ubiegającym się o przyłączenie do sieci w umowie o przyłączenie do sieci - zgodnie z postanowieniami </w:t>
      </w:r>
      <w:r w:rsidR="000535F1" w:rsidRPr="00EB2E7B">
        <w:rPr>
          <w:rFonts w:asciiTheme="minorHAnsi" w:hAnsiTheme="minorHAnsi" w:cstheme="minorHAnsi"/>
          <w:sz w:val="20"/>
          <w:szCs w:val="20"/>
        </w:rPr>
        <w:t>U</w:t>
      </w:r>
      <w:r w:rsidRPr="00EB2E7B">
        <w:rPr>
          <w:rFonts w:asciiTheme="minorHAnsi" w:hAnsiTheme="minorHAnsi" w:cstheme="minorHAnsi"/>
          <w:sz w:val="20"/>
          <w:szCs w:val="20"/>
        </w:rPr>
        <w:t>stawy.</w:t>
      </w:r>
    </w:p>
    <w:p w14:paraId="220EFE45" w14:textId="5095EDD6" w:rsidR="003805F0" w:rsidRPr="00EB2E7B" w:rsidRDefault="00AD7D58" w:rsidP="00657A2C">
      <w:pPr>
        <w:pStyle w:val="Nagwek3"/>
        <w:ind w:left="1134" w:hanging="1134"/>
        <w:rPr>
          <w:rFonts w:asciiTheme="minorHAnsi" w:hAnsiTheme="minorHAnsi" w:cstheme="minorHAnsi"/>
          <w:sz w:val="20"/>
          <w:szCs w:val="20"/>
        </w:rPr>
      </w:pPr>
      <w:bookmarkStart w:id="89" w:name="_Ref189081881"/>
      <w:r w:rsidRPr="00EB2E7B">
        <w:rPr>
          <w:rFonts w:asciiTheme="minorHAnsi" w:hAnsiTheme="minorHAnsi" w:cstheme="minorHAnsi"/>
          <w:sz w:val="20"/>
          <w:szCs w:val="20"/>
        </w:rPr>
        <w:t xml:space="preserve">W przypadku, gdy podmiot ubiegający się o przyłączenie mikroinstalacji do sieci dystrybucyjnej ACPRO, jest przyłączony do sieci jako odbiorca końcowy, a moc zainstalowana mikroinstalacji, o przyłączenie której ubiega się ten podmiot, nie jest większa niż określona w wydanych warunkach przyłączenia, przyłączenie do sieci odbywa się na podstawie zgłoszenia przyłączenia mikroinstalacji, złożonego </w:t>
      </w:r>
      <w:r w:rsidR="00420FE4" w:rsidRPr="00EB2E7B">
        <w:rPr>
          <w:rFonts w:asciiTheme="minorHAnsi" w:hAnsiTheme="minorHAnsi" w:cstheme="minorHAnsi"/>
          <w:sz w:val="20"/>
          <w:szCs w:val="20"/>
        </w:rPr>
        <w:t>do</w:t>
      </w:r>
      <w:r w:rsidRPr="00EB2E7B">
        <w:rPr>
          <w:rFonts w:asciiTheme="minorHAnsi" w:hAnsiTheme="minorHAnsi" w:cstheme="minorHAnsi"/>
          <w:sz w:val="20"/>
          <w:szCs w:val="20"/>
        </w:rPr>
        <w:t xml:space="preserve"> ACPRO, po zainstalowaniu odpowiednich układów zabezpieczających i układu pomiarowo-rozliczeniowego. </w:t>
      </w:r>
      <w:bookmarkStart w:id="90" w:name="_Hlk127280959"/>
      <w:r w:rsidRPr="00EB2E7B">
        <w:rPr>
          <w:rFonts w:asciiTheme="minorHAnsi" w:hAnsiTheme="minorHAnsi" w:cstheme="minorHAnsi"/>
          <w:sz w:val="20"/>
          <w:szCs w:val="20"/>
        </w:rPr>
        <w:t xml:space="preserve">Do zgłoszenia przyłączenia mikroinstalacji stosuje się zapisy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_Ref130807867 \r \h </w:instrText>
      </w:r>
      <w:r w:rsidR="00F8384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_Ref130807877 \r \h </w:instrText>
      </w:r>
      <w:r w:rsidR="00EA33AA"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90"/>
      <w:r w:rsidRPr="00EB2E7B">
        <w:rPr>
          <w:rFonts w:asciiTheme="minorHAnsi" w:hAnsiTheme="minorHAnsi" w:cstheme="minorHAnsi"/>
          <w:sz w:val="20"/>
          <w:szCs w:val="20"/>
        </w:rPr>
        <w:t xml:space="preserve"> W innym przypadku przyłączenie mikroinstalacji do sieci dystrybucyjnej ACPRO odbywa się na podstawie umowy o przyłączenie do sieci.</w:t>
      </w:r>
      <w:bookmarkEnd w:id="89"/>
      <w:r w:rsidRPr="00EB2E7B">
        <w:rPr>
          <w:rFonts w:asciiTheme="minorHAnsi" w:hAnsiTheme="minorHAnsi" w:cstheme="minorHAnsi"/>
          <w:sz w:val="20"/>
          <w:szCs w:val="20"/>
        </w:rPr>
        <w:t xml:space="preserve"> </w:t>
      </w:r>
    </w:p>
    <w:p w14:paraId="0F2043E4" w14:textId="7E15B6B3" w:rsidR="00AD7D58" w:rsidRPr="00EB2E7B" w:rsidRDefault="00AD7D58" w:rsidP="00EF3C5D">
      <w:pPr>
        <w:ind w:left="1134"/>
        <w:rPr>
          <w:rFonts w:asciiTheme="minorHAnsi" w:hAnsiTheme="minorHAnsi" w:cstheme="minorHAnsi"/>
          <w:sz w:val="20"/>
          <w:szCs w:val="20"/>
        </w:rPr>
      </w:pPr>
      <w:r w:rsidRPr="00EB2E7B">
        <w:rPr>
          <w:rFonts w:asciiTheme="minorHAnsi" w:hAnsiTheme="minorHAnsi" w:cstheme="minorHAnsi"/>
          <w:sz w:val="20"/>
          <w:szCs w:val="20"/>
        </w:rPr>
        <w:t>Koszt instalacji układu zabezpieczającego i układu pomiarowo-rozliczeniowego ponosi ACPRO.</w:t>
      </w:r>
      <w:bookmarkEnd w:id="88"/>
      <w:r w:rsidRPr="00EB2E7B">
        <w:rPr>
          <w:rFonts w:asciiTheme="minorHAnsi" w:hAnsiTheme="minorHAnsi" w:cstheme="minorHAnsi"/>
          <w:sz w:val="20"/>
          <w:szCs w:val="20"/>
        </w:rPr>
        <w:t xml:space="preserve"> </w:t>
      </w:r>
    </w:p>
    <w:p w14:paraId="63D93DB2" w14:textId="3ACDEE5B" w:rsidR="00AD7D58" w:rsidRPr="00EB2E7B" w:rsidRDefault="00AD7D58"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Przyłączane </w:t>
      </w:r>
      <w:proofErr w:type="spellStart"/>
      <w:r w:rsidRPr="00EB2E7B">
        <w:rPr>
          <w:rFonts w:asciiTheme="minorHAnsi" w:hAnsiTheme="minorHAnsi" w:cstheme="minorHAnsi"/>
          <w:sz w:val="20"/>
          <w:szCs w:val="20"/>
        </w:rPr>
        <w:t>mikroinstalacje</w:t>
      </w:r>
      <w:proofErr w:type="spellEnd"/>
      <w:r w:rsidRPr="00EB2E7B">
        <w:rPr>
          <w:rFonts w:asciiTheme="minorHAnsi" w:hAnsiTheme="minorHAnsi" w:cstheme="minorHAnsi"/>
          <w:sz w:val="20"/>
          <w:szCs w:val="20"/>
        </w:rPr>
        <w:t xml:space="preserve"> muszą spełniać wymagania techniczne i eksploatacyjne określone w art. 7a ust. 1. Ustawy oraz niniejszej </w:t>
      </w:r>
      <w:proofErr w:type="spellStart"/>
      <w:r w:rsidRPr="00EB2E7B">
        <w:rPr>
          <w:rFonts w:asciiTheme="minorHAnsi" w:hAnsiTheme="minorHAnsi" w:cstheme="minorHAnsi"/>
          <w:sz w:val="20"/>
          <w:szCs w:val="20"/>
        </w:rPr>
        <w:t>IRiESD</w:t>
      </w:r>
      <w:proofErr w:type="spellEnd"/>
      <w:r w:rsidR="006933D8" w:rsidRPr="00EB2E7B">
        <w:rPr>
          <w:rFonts w:asciiTheme="minorHAnsi" w:hAnsiTheme="minorHAnsi" w:cstheme="minorHAnsi"/>
          <w:sz w:val="20"/>
          <w:szCs w:val="20"/>
        </w:rPr>
        <w:t xml:space="preserve">, w szczególności Załącznika </w:t>
      </w:r>
      <w:r w:rsidR="00FB2071" w:rsidRPr="00EB2E7B">
        <w:rPr>
          <w:rFonts w:asciiTheme="minorHAnsi" w:hAnsiTheme="minorHAnsi" w:cstheme="minorHAnsi"/>
          <w:sz w:val="20"/>
          <w:szCs w:val="20"/>
        </w:rPr>
        <w:t>nr 1</w:t>
      </w:r>
      <w:r w:rsidRPr="00EB2E7B">
        <w:rPr>
          <w:rFonts w:asciiTheme="minorHAnsi" w:hAnsiTheme="minorHAnsi" w:cstheme="minorHAnsi"/>
          <w:sz w:val="20"/>
          <w:szCs w:val="20"/>
        </w:rPr>
        <w:t xml:space="preserve">. </w:t>
      </w:r>
    </w:p>
    <w:p w14:paraId="2624C53E" w14:textId="49013206" w:rsidR="00CA79E5" w:rsidRPr="00EB2E7B" w:rsidRDefault="00AD7D58"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ACPRO publikuje na swojej stronie internetowej </w:t>
      </w:r>
      <w:r w:rsidR="00CA79E5" w:rsidRPr="00EB2E7B">
        <w:rPr>
          <w:rFonts w:asciiTheme="minorHAnsi" w:hAnsiTheme="minorHAnsi" w:cstheme="minorHAnsi"/>
          <w:sz w:val="20"/>
          <w:szCs w:val="20"/>
        </w:rPr>
        <w:t xml:space="preserve">oraz </w:t>
      </w:r>
      <w:r w:rsidRPr="00EB2E7B">
        <w:rPr>
          <w:rFonts w:asciiTheme="minorHAnsi" w:hAnsiTheme="minorHAnsi" w:cstheme="minorHAnsi"/>
          <w:sz w:val="20"/>
          <w:szCs w:val="20"/>
        </w:rPr>
        <w:t xml:space="preserve">udostępnia w swojej siedzibie wzór zgłoszenia przyłączenia mikroinstalacji do sieci dystrybucyjnej ACPRO. </w:t>
      </w:r>
    </w:p>
    <w:p w14:paraId="43555050" w14:textId="112D98AF" w:rsidR="008F6CCE" w:rsidRPr="00EB2E7B" w:rsidRDefault="006A6982"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ACPRO potwierdza złożenie zgłoszenia, odnotowując datę jego złożenia oraz dokonuje przyłączenia do sieci mikroinstalacji w terminie 30 dni od dokonania tego zgłoszenia.</w:t>
      </w:r>
    </w:p>
    <w:p w14:paraId="2020B487" w14:textId="5BBF0C5A" w:rsidR="00AD7D58" w:rsidRPr="00EB2E7B" w:rsidRDefault="00AD7D58" w:rsidP="00EF3C5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Zgłoszenie</w:t>
      </w:r>
      <w:r w:rsidR="006E7E24" w:rsidRPr="00EB2E7B">
        <w:rPr>
          <w:rFonts w:asciiTheme="minorHAnsi" w:hAnsiTheme="minorHAnsi" w:cstheme="minorHAnsi"/>
          <w:sz w:val="20"/>
          <w:szCs w:val="20"/>
        </w:rPr>
        <w:t>, o którym mowa w pkt</w:t>
      </w:r>
      <w:r w:rsidR="00D3657E" w:rsidRPr="00EB2E7B">
        <w:rPr>
          <w:rFonts w:asciiTheme="minorHAnsi" w:hAnsiTheme="minorHAnsi" w:cstheme="minorHAnsi"/>
          <w:sz w:val="20"/>
          <w:szCs w:val="20"/>
        </w:rPr>
        <w:t xml:space="preserve"> </w:t>
      </w:r>
      <w:r w:rsidR="00D3657E" w:rsidRPr="00EB2E7B">
        <w:rPr>
          <w:rFonts w:asciiTheme="minorHAnsi" w:hAnsiTheme="minorHAnsi" w:cstheme="minorHAnsi"/>
          <w:sz w:val="20"/>
          <w:szCs w:val="20"/>
        </w:rPr>
        <w:fldChar w:fldCharType="begin"/>
      </w:r>
      <w:r w:rsidR="00D3657E" w:rsidRPr="00EB2E7B">
        <w:rPr>
          <w:rFonts w:asciiTheme="minorHAnsi" w:hAnsiTheme="minorHAnsi" w:cstheme="minorHAnsi"/>
          <w:sz w:val="20"/>
          <w:szCs w:val="20"/>
        </w:rPr>
        <w:instrText xml:space="preserve"> REF _Ref189081881 \r \h </w:instrText>
      </w:r>
      <w:r w:rsidR="005710CF" w:rsidRPr="00EB2E7B">
        <w:rPr>
          <w:rFonts w:asciiTheme="minorHAnsi" w:hAnsiTheme="minorHAnsi" w:cstheme="minorHAnsi"/>
          <w:sz w:val="20"/>
          <w:szCs w:val="20"/>
        </w:rPr>
        <w:instrText xml:space="preserve"> \* MERGEFORMAT </w:instrText>
      </w:r>
      <w:r w:rsidR="00D3657E" w:rsidRPr="00EB2E7B">
        <w:rPr>
          <w:rFonts w:asciiTheme="minorHAnsi" w:hAnsiTheme="minorHAnsi" w:cstheme="minorHAnsi"/>
          <w:sz w:val="20"/>
          <w:szCs w:val="20"/>
        </w:rPr>
      </w:r>
      <w:r w:rsidR="00D3657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II.1.21</w:t>
      </w:r>
      <w:r w:rsidR="00D3657E"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zawiera w szczególności: </w:t>
      </w:r>
    </w:p>
    <w:p w14:paraId="21BA50DF" w14:textId="77777777" w:rsidR="00AD7D58" w:rsidRPr="00EB2E7B" w:rsidRDefault="00AD7D58" w:rsidP="00EF3C5D">
      <w:pPr>
        <w:pStyle w:val="1przed"/>
        <w:numPr>
          <w:ilvl w:val="0"/>
          <w:numId w:val="266"/>
        </w:numPr>
        <w:ind w:left="1701" w:hanging="567"/>
        <w:rPr>
          <w:rFonts w:asciiTheme="minorHAnsi" w:hAnsiTheme="minorHAnsi" w:cstheme="minorHAnsi"/>
          <w:sz w:val="20"/>
          <w:szCs w:val="20"/>
        </w:rPr>
      </w:pPr>
      <w:bookmarkStart w:id="91" w:name="_Hlk127281009"/>
      <w:r w:rsidRPr="00EB2E7B">
        <w:rPr>
          <w:rFonts w:asciiTheme="minorHAnsi" w:hAnsiTheme="minorHAnsi" w:cstheme="minorHAnsi"/>
          <w:sz w:val="20"/>
          <w:szCs w:val="20"/>
        </w:rPr>
        <w:t>oznaczenie podmiotu ubiegającego się o przyłączenie mikroinstalacji do sieci dystrybucyjnej, dane osoby do kontaktu oraz adres korespondencyjny</w:t>
      </w:r>
      <w:bookmarkEnd w:id="91"/>
      <w:r w:rsidRPr="00EB2E7B">
        <w:rPr>
          <w:rFonts w:asciiTheme="minorHAnsi" w:hAnsiTheme="minorHAnsi" w:cstheme="minorHAnsi"/>
          <w:sz w:val="20"/>
          <w:szCs w:val="20"/>
        </w:rPr>
        <w:t xml:space="preserve">, </w:t>
      </w:r>
    </w:p>
    <w:p w14:paraId="03BD4CD6" w14:textId="77777777" w:rsidR="00AD7D58" w:rsidRPr="00EB2E7B" w:rsidRDefault="00AD7D58" w:rsidP="00EF3C5D">
      <w:pPr>
        <w:pStyle w:val="1przed"/>
        <w:ind w:left="1701" w:hanging="567"/>
        <w:rPr>
          <w:rFonts w:asciiTheme="minorHAnsi" w:hAnsiTheme="minorHAnsi" w:cstheme="minorHAnsi"/>
          <w:sz w:val="20"/>
          <w:szCs w:val="20"/>
        </w:rPr>
      </w:pPr>
      <w:bookmarkStart w:id="92" w:name="_Hlk127281021"/>
      <w:r w:rsidRPr="00EB2E7B">
        <w:rPr>
          <w:rFonts w:asciiTheme="minorHAnsi" w:hAnsiTheme="minorHAnsi" w:cstheme="minorHAnsi"/>
          <w:sz w:val="20"/>
          <w:szCs w:val="20"/>
        </w:rPr>
        <w:t xml:space="preserve">dane dotyczące lokalizacji obiektu w którym zainstalowano </w:t>
      </w:r>
      <w:proofErr w:type="spellStart"/>
      <w:r w:rsidRPr="00EB2E7B">
        <w:rPr>
          <w:rFonts w:asciiTheme="minorHAnsi" w:hAnsiTheme="minorHAnsi" w:cstheme="minorHAnsi"/>
          <w:sz w:val="20"/>
          <w:szCs w:val="20"/>
        </w:rPr>
        <w:t>mikroinstalację</w:t>
      </w:r>
      <w:proofErr w:type="spellEnd"/>
      <w:r w:rsidRPr="00EB2E7B">
        <w:rPr>
          <w:rFonts w:asciiTheme="minorHAnsi" w:hAnsiTheme="minorHAnsi" w:cstheme="minorHAnsi"/>
          <w:sz w:val="20"/>
          <w:szCs w:val="20"/>
        </w:rPr>
        <w:t>, w tym numer licznika lub kod punktu poboru energii (PPE)</w:t>
      </w:r>
      <w:bookmarkEnd w:id="92"/>
      <w:r w:rsidRPr="00EB2E7B">
        <w:rPr>
          <w:rFonts w:asciiTheme="minorHAnsi" w:hAnsiTheme="minorHAnsi" w:cstheme="minorHAnsi"/>
          <w:sz w:val="20"/>
          <w:szCs w:val="20"/>
        </w:rPr>
        <w:t xml:space="preserve">, </w:t>
      </w:r>
    </w:p>
    <w:p w14:paraId="10396EB5" w14:textId="77777777" w:rsidR="00AD7D58" w:rsidRPr="00EB2E7B" w:rsidRDefault="00AD7D58"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rodzaj mikroinstalacji, </w:t>
      </w:r>
    </w:p>
    <w:p w14:paraId="0658DBBE" w14:textId="77777777" w:rsidR="00AD7D58" w:rsidRPr="00EB2E7B" w:rsidRDefault="00AD7D58"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moc zainstalowaną elektryczną, </w:t>
      </w:r>
    </w:p>
    <w:p w14:paraId="19F2AE2A" w14:textId="77777777" w:rsidR="00AD7D58" w:rsidRPr="00EB2E7B" w:rsidRDefault="3FE7975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moc znamionową falownika po stronie AC - w przypadku przyłączenia poprzez falownik,  </w:t>
      </w:r>
    </w:p>
    <w:p w14:paraId="0E104632" w14:textId="77777777" w:rsidR="00AD7D58" w:rsidRPr="00EB2E7B" w:rsidRDefault="00AD7D58" w:rsidP="00EF3C5D">
      <w:pPr>
        <w:pStyle w:val="1przed"/>
        <w:ind w:left="1701" w:hanging="567"/>
        <w:rPr>
          <w:rFonts w:asciiTheme="minorHAnsi" w:hAnsiTheme="minorHAnsi" w:cstheme="minorHAnsi"/>
          <w:sz w:val="20"/>
          <w:szCs w:val="20"/>
        </w:rPr>
      </w:pPr>
      <w:bookmarkStart w:id="93" w:name="_Hlk127281056"/>
      <w:r w:rsidRPr="00EB2E7B">
        <w:rPr>
          <w:rFonts w:asciiTheme="minorHAnsi" w:hAnsiTheme="minorHAnsi" w:cstheme="minorHAnsi"/>
          <w:sz w:val="20"/>
          <w:szCs w:val="20"/>
        </w:rPr>
        <w:t xml:space="preserve">typ instalacji, w której ma być zainstalowana </w:t>
      </w:r>
      <w:proofErr w:type="spellStart"/>
      <w:r w:rsidRPr="00EB2E7B">
        <w:rPr>
          <w:rFonts w:asciiTheme="minorHAnsi" w:hAnsiTheme="minorHAnsi" w:cstheme="minorHAnsi"/>
          <w:sz w:val="20"/>
          <w:szCs w:val="20"/>
        </w:rPr>
        <w:t>mikroinstalacja</w:t>
      </w:r>
      <w:bookmarkEnd w:id="93"/>
      <w:proofErr w:type="spellEnd"/>
      <w:r w:rsidRPr="00EB2E7B">
        <w:rPr>
          <w:rFonts w:asciiTheme="minorHAnsi" w:hAnsiTheme="minorHAnsi" w:cstheme="minorHAnsi"/>
          <w:sz w:val="20"/>
          <w:szCs w:val="20"/>
        </w:rPr>
        <w:t>,</w:t>
      </w:r>
    </w:p>
    <w:p w14:paraId="2161A3D7" w14:textId="77777777" w:rsidR="00AD7D58" w:rsidRPr="00EB2E7B" w:rsidRDefault="00AD7D58" w:rsidP="00EF3C5D">
      <w:pPr>
        <w:pStyle w:val="1przed"/>
        <w:ind w:left="1701" w:hanging="567"/>
        <w:rPr>
          <w:rFonts w:asciiTheme="minorHAnsi" w:hAnsiTheme="minorHAnsi" w:cstheme="minorHAnsi"/>
          <w:sz w:val="20"/>
          <w:szCs w:val="20"/>
        </w:rPr>
      </w:pPr>
      <w:bookmarkStart w:id="94" w:name="_Hlk127281064"/>
      <w:r w:rsidRPr="00EB2E7B">
        <w:rPr>
          <w:rFonts w:asciiTheme="minorHAnsi" w:hAnsiTheme="minorHAnsi" w:cstheme="minorHAnsi"/>
          <w:sz w:val="20"/>
          <w:szCs w:val="20"/>
        </w:rPr>
        <w:t>dane techniczne zainstalowanej mikroinstalacji</w:t>
      </w:r>
      <w:bookmarkEnd w:id="94"/>
      <w:r w:rsidRPr="00EB2E7B">
        <w:rPr>
          <w:rFonts w:asciiTheme="minorHAnsi" w:hAnsiTheme="minorHAnsi" w:cstheme="minorHAnsi"/>
          <w:sz w:val="20"/>
          <w:szCs w:val="20"/>
        </w:rPr>
        <w:t xml:space="preserve">, </w:t>
      </w:r>
    </w:p>
    <w:p w14:paraId="39D72102" w14:textId="77777777" w:rsidR="00AD7D58" w:rsidRPr="00EB2E7B" w:rsidRDefault="00AD7D58" w:rsidP="00EF3C5D">
      <w:pPr>
        <w:pStyle w:val="1przed"/>
        <w:ind w:left="1701" w:hanging="567"/>
        <w:rPr>
          <w:rFonts w:asciiTheme="minorHAnsi" w:hAnsiTheme="minorHAnsi" w:cstheme="minorHAnsi"/>
          <w:sz w:val="20"/>
          <w:szCs w:val="20"/>
        </w:rPr>
      </w:pPr>
      <w:bookmarkStart w:id="95" w:name="_Hlk127281076"/>
      <w:r w:rsidRPr="00EB2E7B">
        <w:rPr>
          <w:rFonts w:asciiTheme="minorHAnsi" w:hAnsiTheme="minorHAnsi" w:cstheme="minorHAnsi"/>
          <w:sz w:val="20"/>
          <w:szCs w:val="20"/>
        </w:rPr>
        <w:t xml:space="preserve">oświadczenie, że </w:t>
      </w:r>
      <w:proofErr w:type="spellStart"/>
      <w:r w:rsidRPr="00EB2E7B">
        <w:rPr>
          <w:rFonts w:asciiTheme="minorHAnsi" w:hAnsiTheme="minorHAnsi" w:cstheme="minorHAnsi"/>
          <w:sz w:val="20"/>
          <w:szCs w:val="20"/>
        </w:rPr>
        <w:t>mikroinstalacja</w:t>
      </w:r>
      <w:proofErr w:type="spellEnd"/>
      <w:r w:rsidRPr="00EB2E7B">
        <w:rPr>
          <w:rFonts w:asciiTheme="minorHAnsi" w:hAnsiTheme="minorHAnsi" w:cstheme="minorHAnsi"/>
          <w:sz w:val="20"/>
          <w:szCs w:val="20"/>
        </w:rPr>
        <w:t xml:space="preserve"> jest wybudowana zgodnie z obowiązującymi przepisami i zasadami wiedzy technicznej oraz spełnia wymogi techniczne i eksploatacyjne zawarte w art. 7a Ustawy</w:t>
      </w:r>
      <w:bookmarkEnd w:id="95"/>
      <w:r w:rsidRPr="00EB2E7B">
        <w:rPr>
          <w:rFonts w:asciiTheme="minorHAnsi" w:hAnsiTheme="minorHAnsi" w:cstheme="minorHAnsi"/>
          <w:sz w:val="20"/>
          <w:szCs w:val="20"/>
        </w:rPr>
        <w:t xml:space="preserve">, </w:t>
      </w:r>
    </w:p>
    <w:p w14:paraId="0D1A2285" w14:textId="77777777" w:rsidR="00AD7D58" w:rsidRPr="00EB2E7B" w:rsidRDefault="3FE7975F"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oświadczenie podmiotu ubiegającego się o przyłączenie mikroinstalacji do sieci dystrybucyjnej o treści: „Świadomy odpowiedzialności karnej za złożenie fałszywego oświadczenia wynikającej z art. 233 § 6 ustawy z dnia 6 czerwca 1997 r. – Kodeks karny oświadczam, że posiadam tytuł prawny do nieruchomości na której jest planowana inwestycja oraz do mikroinstalacji określonej w zgłoszeniu.”. Klauzula ta zastępuje pouczenie o odpowiedzialności karnej za składanie fałszywych zeznań,</w:t>
      </w:r>
    </w:p>
    <w:p w14:paraId="3EAB0529" w14:textId="77777777" w:rsidR="00AD7D58" w:rsidRPr="00EB2E7B" w:rsidRDefault="00AD7D58"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planowany termin przyłączenia,</w:t>
      </w:r>
    </w:p>
    <w:p w14:paraId="41F1BC41" w14:textId="77777777" w:rsidR="00AD7D58" w:rsidRPr="00EB2E7B" w:rsidRDefault="00AD7D58"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potwierdzenie spełnienia wymagań dotyczących wymaganych certyfikatów.</w:t>
      </w:r>
    </w:p>
    <w:p w14:paraId="1309AA42" w14:textId="2FB4B78E" w:rsidR="00473957" w:rsidRPr="00EB2E7B" w:rsidRDefault="000271FB" w:rsidP="00574BFD">
      <w:pPr>
        <w:pStyle w:val="Nagwek3"/>
        <w:ind w:left="1134" w:hanging="1134"/>
        <w:rPr>
          <w:rFonts w:asciiTheme="minorHAnsi" w:hAnsiTheme="minorHAnsi" w:cstheme="minorHAnsi"/>
          <w:sz w:val="20"/>
          <w:szCs w:val="20"/>
        </w:rPr>
      </w:pPr>
      <w:bookmarkStart w:id="96" w:name="_Ref99051737"/>
      <w:r w:rsidRPr="00EB2E7B">
        <w:rPr>
          <w:rFonts w:asciiTheme="minorHAnsi" w:hAnsiTheme="minorHAnsi" w:cstheme="minorHAnsi"/>
          <w:sz w:val="20"/>
          <w:szCs w:val="20"/>
        </w:rPr>
        <w:lastRenderedPageBreak/>
        <w:t>Wytwórca energii elektrycznej z odnawialnych źródeł energii w mikroinstalacji, będący:</w:t>
      </w:r>
      <w:bookmarkEnd w:id="96"/>
      <w:r w:rsidR="0077111A" w:rsidRPr="00EB2E7B">
        <w:rPr>
          <w:rFonts w:asciiTheme="minorHAnsi" w:hAnsiTheme="minorHAnsi" w:cstheme="minorHAnsi"/>
          <w:sz w:val="20"/>
          <w:szCs w:val="20"/>
        </w:rPr>
        <w:t xml:space="preserve"> </w:t>
      </w:r>
    </w:p>
    <w:p w14:paraId="74D57326" w14:textId="258BEBA3" w:rsidR="00473957" w:rsidRPr="00EB2E7B" w:rsidRDefault="007E186D" w:rsidP="00EF3C5D">
      <w:pPr>
        <w:pStyle w:val="1przed"/>
        <w:numPr>
          <w:ilvl w:val="0"/>
          <w:numId w:val="18"/>
        </w:numPr>
        <w:ind w:left="1701" w:hanging="567"/>
        <w:rPr>
          <w:rFonts w:asciiTheme="minorHAnsi" w:hAnsiTheme="minorHAnsi" w:cstheme="minorHAnsi"/>
          <w:sz w:val="20"/>
          <w:szCs w:val="20"/>
        </w:rPr>
      </w:pPr>
      <w:r w:rsidRPr="00EB2E7B">
        <w:rPr>
          <w:rFonts w:asciiTheme="minorHAnsi" w:hAnsiTheme="minorHAnsi" w:cstheme="minorHAnsi"/>
          <w:sz w:val="20"/>
          <w:szCs w:val="20"/>
        </w:rPr>
        <w:t>P</w:t>
      </w:r>
      <w:r w:rsidR="0077111A" w:rsidRPr="00EB2E7B">
        <w:rPr>
          <w:rFonts w:asciiTheme="minorHAnsi" w:hAnsiTheme="minorHAnsi" w:cstheme="minorHAnsi"/>
          <w:sz w:val="20"/>
          <w:szCs w:val="20"/>
        </w:rPr>
        <w:t xml:space="preserve">rosumentem, </w:t>
      </w:r>
    </w:p>
    <w:p w14:paraId="3BAF7C74" w14:textId="79C82305" w:rsidR="006D1A7C" w:rsidRPr="00EB2E7B" w:rsidRDefault="000271FB"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przedsiębiorcą w rozumieniu ustawy z dnia 6 marca 2018 r. Prawo przedsiębiorców – zwanej dalej „ustawą Prawo przedsiębiorców” (Dz. U. z 2021 r., poz. 162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niebędąc</w:t>
      </w:r>
      <w:r w:rsidR="00636D89" w:rsidRPr="00EB2E7B">
        <w:rPr>
          <w:rFonts w:asciiTheme="minorHAnsi" w:hAnsiTheme="minorHAnsi" w:cstheme="minorHAnsi"/>
          <w:sz w:val="20"/>
          <w:szCs w:val="20"/>
        </w:rPr>
        <w:t>y</w:t>
      </w:r>
      <w:r w:rsidRPr="00EB2E7B">
        <w:rPr>
          <w:rFonts w:asciiTheme="minorHAnsi" w:hAnsiTheme="minorHAnsi" w:cstheme="minorHAnsi"/>
          <w:sz w:val="20"/>
          <w:szCs w:val="20"/>
        </w:rPr>
        <w:t xml:space="preserve"> </w:t>
      </w:r>
      <w:r w:rsidR="007E186D" w:rsidRPr="00EB2E7B">
        <w:rPr>
          <w:rFonts w:asciiTheme="minorHAnsi" w:hAnsiTheme="minorHAnsi" w:cstheme="minorHAnsi"/>
          <w:sz w:val="20"/>
          <w:szCs w:val="20"/>
        </w:rPr>
        <w:t>P</w:t>
      </w:r>
      <w:r w:rsidRPr="00EB2E7B">
        <w:rPr>
          <w:rFonts w:asciiTheme="minorHAnsi" w:hAnsiTheme="minorHAnsi" w:cstheme="minorHAnsi"/>
          <w:sz w:val="20"/>
          <w:szCs w:val="20"/>
        </w:rPr>
        <w:t>rosumentem,</w:t>
      </w:r>
    </w:p>
    <w:p w14:paraId="56464D86" w14:textId="64840CC0" w:rsidR="00473957" w:rsidRPr="00EB2E7B" w:rsidRDefault="000271FB"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informuje ACPRO o terminie przyłączenia mikroinstalacji, lokalizacji przyłączenia mikroinstalacji, rodzaju odnawialnego źródła energii i magazynu energii elektrycznej użytego w tej mikroinstalacji oraz łącznej mocy zainstalowanej elektrycznej mikroinstalacji, w zgłoszeniu przyłączenia mikroinstalacji o którym mowa w pkt.</w:t>
      </w:r>
      <w:r w:rsidR="00456226" w:rsidRPr="00EB2E7B">
        <w:rPr>
          <w:rFonts w:asciiTheme="minorHAnsi" w:hAnsiTheme="minorHAnsi" w:cstheme="minorHAnsi"/>
          <w:sz w:val="20"/>
          <w:szCs w:val="20"/>
        </w:rPr>
        <w:t xml:space="preserve"> </w:t>
      </w:r>
      <w:r w:rsidR="00456226" w:rsidRPr="00EB2E7B">
        <w:rPr>
          <w:rFonts w:asciiTheme="minorHAnsi" w:hAnsiTheme="minorHAnsi" w:cstheme="minorHAnsi"/>
          <w:sz w:val="20"/>
          <w:szCs w:val="20"/>
        </w:rPr>
        <w:fldChar w:fldCharType="begin"/>
      </w:r>
      <w:r w:rsidR="00456226" w:rsidRPr="00EB2E7B">
        <w:rPr>
          <w:rFonts w:asciiTheme="minorHAnsi" w:hAnsiTheme="minorHAnsi" w:cstheme="minorHAnsi"/>
          <w:sz w:val="20"/>
          <w:szCs w:val="20"/>
        </w:rPr>
        <w:instrText xml:space="preserve"> REF _Ref189081881 \w \h </w:instrText>
      </w:r>
      <w:r w:rsidR="000443CB" w:rsidRPr="00EB2E7B">
        <w:rPr>
          <w:rFonts w:asciiTheme="minorHAnsi" w:hAnsiTheme="minorHAnsi" w:cstheme="minorHAnsi"/>
          <w:sz w:val="20"/>
          <w:szCs w:val="20"/>
        </w:rPr>
        <w:instrText xml:space="preserve"> \* MERGEFORMAT </w:instrText>
      </w:r>
      <w:r w:rsidR="00456226" w:rsidRPr="00EB2E7B">
        <w:rPr>
          <w:rFonts w:asciiTheme="minorHAnsi" w:hAnsiTheme="minorHAnsi" w:cstheme="minorHAnsi"/>
          <w:sz w:val="20"/>
          <w:szCs w:val="20"/>
        </w:rPr>
      </w:r>
      <w:r w:rsidR="0045622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II.1.21</w:t>
      </w:r>
      <w:r w:rsidR="0045622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nie później niż w terminie 30 dni przed dniem planowanego przyłączenia mikroinstalacji do sieci ACPRO</w:t>
      </w:r>
      <w:r w:rsidR="0077111A" w:rsidRPr="00EB2E7B">
        <w:rPr>
          <w:rFonts w:asciiTheme="minorHAnsi" w:hAnsiTheme="minorHAnsi" w:cstheme="minorHAnsi"/>
          <w:sz w:val="20"/>
          <w:szCs w:val="20"/>
        </w:rPr>
        <w:t xml:space="preserve">. </w:t>
      </w:r>
    </w:p>
    <w:p w14:paraId="6218F049" w14:textId="5FCB34AD" w:rsidR="00473957" w:rsidRPr="00EB2E7B" w:rsidRDefault="007E186D" w:rsidP="00574BFD">
      <w:pPr>
        <w:pStyle w:val="Nagwek3"/>
        <w:ind w:left="1134" w:hanging="1134"/>
        <w:rPr>
          <w:rFonts w:asciiTheme="minorHAnsi" w:hAnsiTheme="minorHAnsi" w:cstheme="minorHAnsi"/>
          <w:sz w:val="20"/>
          <w:szCs w:val="20"/>
        </w:rPr>
      </w:pPr>
      <w:bookmarkStart w:id="97" w:name="_Ref151916053"/>
      <w:r w:rsidRPr="00EB2E7B">
        <w:rPr>
          <w:rFonts w:asciiTheme="minorHAnsi" w:hAnsiTheme="minorHAnsi" w:cstheme="minorHAnsi"/>
          <w:sz w:val="20"/>
          <w:szCs w:val="20"/>
        </w:rPr>
        <w:t xml:space="preserve">Wytwórca,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_Ref99051737 \r \h </w:instrText>
      </w:r>
      <w:r w:rsidR="00C501A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Reprezentant prosumentów,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_Ref151916031 \r \h </w:instrText>
      </w:r>
      <w:r w:rsidR="006252E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II.1.43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_Ref151916037 \r \h </w:instrText>
      </w:r>
      <w:r w:rsidR="006252E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II.1.44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informuje ACPRO o:</w:t>
      </w:r>
      <w:bookmarkEnd w:id="97"/>
    </w:p>
    <w:p w14:paraId="71C6FBDB" w14:textId="2AFDC32F" w:rsidR="00473957" w:rsidRPr="00EB2E7B" w:rsidRDefault="007E186D" w:rsidP="00EF3C5D">
      <w:pPr>
        <w:pStyle w:val="1przed"/>
        <w:numPr>
          <w:ilvl w:val="0"/>
          <w:numId w:val="19"/>
        </w:numPr>
        <w:ind w:left="1701" w:hanging="567"/>
        <w:rPr>
          <w:rFonts w:asciiTheme="minorHAnsi" w:hAnsiTheme="minorHAnsi" w:cstheme="minorHAnsi"/>
          <w:sz w:val="20"/>
          <w:szCs w:val="20"/>
        </w:rPr>
      </w:pPr>
      <w:r w:rsidRPr="00EB2E7B">
        <w:rPr>
          <w:rFonts w:asciiTheme="minorHAnsi" w:hAnsiTheme="minorHAnsi" w:cstheme="minorHAnsi"/>
          <w:sz w:val="20"/>
          <w:szCs w:val="20"/>
        </w:rPr>
        <w:t>zmianie rodzaju odnawialnego źródła energii użytego w mikroinstalacji, małej instalacji lub magazynu energii elektrycznej lub ich łącznej mocy zainstalowanej elektrycznej – w terminie 14 dni od dnia zmiany;</w:t>
      </w:r>
    </w:p>
    <w:p w14:paraId="79B8EA81" w14:textId="08BBF5B2" w:rsidR="00473957" w:rsidRPr="00EB2E7B" w:rsidRDefault="007E186D"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trwającym dłużej niż 30 dni zawieszeniu lub zakończeniu wytwarzania energii elektrycznej z odnawialnych źródeł energii w mikroinstalacji lub w małej instalacji – w terminie 14 dni od dnia zawieszenia lub zakończenia wytwarzania energii elektrycznej z odnawialnych źródeł energii w mikroinstalacji lub małej instalacji.</w:t>
      </w:r>
    </w:p>
    <w:p w14:paraId="46095112" w14:textId="6ACD84ED" w:rsidR="00884DA4" w:rsidRPr="00EB2E7B" w:rsidRDefault="007E186D"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Zapisów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_Ref99051737 \r \h </w:instrText>
      </w:r>
      <w:r w:rsidR="00FA2C50"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_Ref151916053 \r \h </w:instrText>
      </w:r>
      <w:r w:rsidR="00FA2C50"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nie stosuje się do wytwórców energii elektrycznej wytwarzających energię z biogazu rolniczego niebędących Prosumentami, Prosumentami zbiorowymi lub Prosumentami wirtualnymi.</w:t>
      </w:r>
    </w:p>
    <w:p w14:paraId="6E780344" w14:textId="77777777" w:rsidR="00473957" w:rsidRPr="00EB2E7B" w:rsidRDefault="0077111A" w:rsidP="00B130B3">
      <w:pPr>
        <w:pStyle w:val="Nagwek3"/>
        <w:ind w:left="1134" w:hanging="1134"/>
        <w:rPr>
          <w:rFonts w:asciiTheme="minorHAnsi" w:hAnsiTheme="minorHAnsi" w:cstheme="minorHAnsi"/>
          <w:sz w:val="20"/>
          <w:szCs w:val="20"/>
        </w:rPr>
      </w:pPr>
      <w:bookmarkStart w:id="98" w:name="_Ref75426890"/>
      <w:r w:rsidRPr="00EB2E7B">
        <w:rPr>
          <w:rFonts w:asciiTheme="minorHAnsi" w:hAnsiTheme="minorHAnsi" w:cstheme="minorHAnsi"/>
          <w:sz w:val="20"/>
          <w:szCs w:val="20"/>
        </w:rPr>
        <w:t xml:space="preserve">Wytwórca energii elektrycznej z biogazu rolniczego w mikroinstalacji będący osobą fizyczną wpisaną do ewidencji producentów, o której mowa w przepisach o krajowym systemie ewidencji producentów, ewidencji gospodarstw rolnych oraz ewidencji wniosków o przyznanie płatności lub wytwórca będący przedsiębiorcą w rozumieniu ustawy Prawo przedsiębiorców wykonujący działalność, o której mowa powyżej, nie później niż na 30 dni przed dniem planowanego przyłączenia mikroinstalacji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pisemnie informuje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 planowanym terminie jej przyłączenia, planowanej lokalizacji oraz rodzaju i mocy zainstalowanej elektrycznej mikroinstalacji.</w:t>
      </w:r>
      <w:bookmarkEnd w:id="98"/>
      <w:r w:rsidRPr="00EB2E7B">
        <w:rPr>
          <w:rFonts w:asciiTheme="minorHAnsi" w:hAnsiTheme="minorHAnsi" w:cstheme="minorHAnsi"/>
          <w:sz w:val="20"/>
          <w:szCs w:val="20"/>
        </w:rPr>
        <w:t xml:space="preserve">  </w:t>
      </w:r>
    </w:p>
    <w:p w14:paraId="0D223ED8" w14:textId="3D977C62" w:rsidR="00473957" w:rsidRPr="00EB2E7B" w:rsidRDefault="0077111A"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Wytwórca, o którym mowa w pkt. </w:t>
      </w:r>
      <w:r w:rsidR="00F60354" w:rsidRPr="00EB2E7B">
        <w:rPr>
          <w:rFonts w:asciiTheme="minorHAnsi" w:hAnsiTheme="minorHAnsi" w:cstheme="minorHAnsi"/>
          <w:sz w:val="20"/>
          <w:szCs w:val="20"/>
        </w:rPr>
        <w:fldChar w:fldCharType="begin"/>
      </w:r>
      <w:r w:rsidR="00F60354" w:rsidRPr="00EB2E7B">
        <w:rPr>
          <w:rFonts w:asciiTheme="minorHAnsi" w:hAnsiTheme="minorHAnsi" w:cstheme="minorHAnsi"/>
          <w:sz w:val="20"/>
          <w:szCs w:val="20"/>
        </w:rPr>
        <w:instrText xml:space="preserve"> REF _Ref75426890 \r \h </w:instrText>
      </w:r>
      <w:r w:rsidR="00BA5EC6" w:rsidRPr="00EB2E7B">
        <w:rPr>
          <w:rFonts w:asciiTheme="minorHAnsi" w:hAnsiTheme="minorHAnsi" w:cstheme="minorHAnsi"/>
          <w:sz w:val="20"/>
          <w:szCs w:val="20"/>
        </w:rPr>
        <w:instrText xml:space="preserve"> \* MERGEFORMAT </w:instrText>
      </w:r>
      <w:r w:rsidR="00F60354" w:rsidRPr="00EB2E7B">
        <w:rPr>
          <w:rFonts w:asciiTheme="minorHAnsi" w:hAnsiTheme="minorHAnsi" w:cstheme="minorHAnsi"/>
          <w:sz w:val="20"/>
          <w:szCs w:val="20"/>
        </w:rPr>
      </w:r>
      <w:r w:rsidR="00F6035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II.1.26</w:t>
      </w:r>
      <w:r w:rsidR="00F6035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jest obowiązany informować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 </w:t>
      </w:r>
    </w:p>
    <w:p w14:paraId="75D190C0" w14:textId="77777777" w:rsidR="00473957" w:rsidRPr="00EB2E7B" w:rsidRDefault="0077111A" w:rsidP="00EF3C5D">
      <w:pPr>
        <w:pStyle w:val="1przed"/>
        <w:numPr>
          <w:ilvl w:val="0"/>
          <w:numId w:val="20"/>
        </w:numPr>
        <w:ind w:left="1701" w:hanging="567"/>
        <w:rPr>
          <w:rFonts w:asciiTheme="minorHAnsi" w:hAnsiTheme="minorHAnsi" w:cstheme="minorHAnsi"/>
          <w:sz w:val="20"/>
          <w:szCs w:val="20"/>
        </w:rPr>
      </w:pPr>
      <w:r w:rsidRPr="00EB2E7B">
        <w:rPr>
          <w:rFonts w:asciiTheme="minorHAnsi" w:hAnsiTheme="minorHAnsi" w:cstheme="minorHAnsi"/>
          <w:sz w:val="20"/>
          <w:szCs w:val="20"/>
        </w:rPr>
        <w:t>zmianie mocy zainstalowanej elektrycznej mikroinstalacji – w terminie 14</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dni od dnia zmiany; </w:t>
      </w:r>
    </w:p>
    <w:p w14:paraId="03AAFD01" w14:textId="77777777"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zawieszeniu trwającym od 30 dni do 24 miesięcy lub zakończeniu wytwarzania energii elektrycznej w mikroinstalacji – w terminie 45 dni od dnia zawieszenia lub zakończenia wytwarzania energii elektrycznej; </w:t>
      </w:r>
    </w:p>
    <w:p w14:paraId="51B8CE87" w14:textId="77777777" w:rsidR="00473957" w:rsidRPr="00EB2E7B" w:rsidRDefault="0077111A" w:rsidP="00EF3C5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terminie wytworzenia po raz pierwszy energii elektrycznej w mikroinstalacji – w terminie 14 dni od dnia jej wytworzenia. </w:t>
      </w:r>
    </w:p>
    <w:p w14:paraId="04981B94" w14:textId="18EBC7C5" w:rsidR="00357676" w:rsidRPr="00EB2E7B" w:rsidRDefault="00357676" w:rsidP="00357676">
      <w:pPr>
        <w:pStyle w:val="Nagwek3"/>
        <w:ind w:left="1134" w:hanging="1134"/>
        <w:rPr>
          <w:rFonts w:asciiTheme="minorHAnsi" w:hAnsiTheme="minorHAnsi" w:cstheme="minorHAnsi"/>
          <w:sz w:val="20"/>
          <w:szCs w:val="20"/>
        </w:rPr>
      </w:pPr>
      <w:bookmarkStart w:id="99" w:name="_Ref75426934"/>
      <w:r w:rsidRPr="00EB2E7B">
        <w:rPr>
          <w:rFonts w:asciiTheme="minorHAnsi" w:hAnsiTheme="minorHAnsi" w:cstheme="minorHAnsi"/>
          <w:sz w:val="20"/>
          <w:szCs w:val="20"/>
        </w:rPr>
        <w:t xml:space="preserve">Umowa o przyłączenie stanowi podstawę do rozpoczęcia przez ACPRO realizacji prac projektowych i budowlano-montażowych na zasadach </w:t>
      </w:r>
      <w:r w:rsidR="00880EBF" w:rsidRPr="00EB2E7B">
        <w:rPr>
          <w:rFonts w:asciiTheme="minorHAnsi" w:hAnsiTheme="minorHAnsi" w:cstheme="minorHAnsi"/>
          <w:sz w:val="20"/>
          <w:szCs w:val="20"/>
        </w:rPr>
        <w:t xml:space="preserve">w niej </w:t>
      </w:r>
      <w:r w:rsidRPr="00EB2E7B">
        <w:rPr>
          <w:rFonts w:asciiTheme="minorHAnsi" w:hAnsiTheme="minorHAnsi" w:cstheme="minorHAnsi"/>
          <w:sz w:val="20"/>
          <w:szCs w:val="20"/>
        </w:rPr>
        <w:t>określonych</w:t>
      </w:r>
      <w:r w:rsidR="00B21336" w:rsidRPr="00EB2E7B">
        <w:rPr>
          <w:rFonts w:asciiTheme="minorHAnsi" w:hAnsiTheme="minorHAnsi" w:cstheme="minorHAnsi"/>
          <w:sz w:val="20"/>
          <w:szCs w:val="20"/>
        </w:rPr>
        <w:t xml:space="preserve"> w tej umowie</w:t>
      </w:r>
      <w:r w:rsidRPr="00EB2E7B">
        <w:rPr>
          <w:rFonts w:asciiTheme="minorHAnsi" w:hAnsiTheme="minorHAnsi" w:cstheme="minorHAnsi"/>
          <w:sz w:val="20"/>
          <w:szCs w:val="20"/>
        </w:rPr>
        <w:t xml:space="preserve">. </w:t>
      </w:r>
    </w:p>
    <w:p w14:paraId="5A66AFDE" w14:textId="77777777" w:rsidR="00357676" w:rsidRPr="00EB2E7B" w:rsidRDefault="00357676" w:rsidP="00357676">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Umowa o przyłączenie do sieci dystrybucyjnej ACPRO powinna zawierać co najmniej: </w:t>
      </w:r>
    </w:p>
    <w:p w14:paraId="3075ACD8" w14:textId="77777777" w:rsidR="00357676" w:rsidRPr="00EB2E7B" w:rsidRDefault="00357676" w:rsidP="00357676">
      <w:pPr>
        <w:pStyle w:val="1przed"/>
        <w:numPr>
          <w:ilvl w:val="0"/>
          <w:numId w:val="1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strony zawierające umowę, </w:t>
      </w:r>
    </w:p>
    <w:p w14:paraId="2D74A21A"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przedmiot umowy wynikający z warunków przyłączenia,</w:t>
      </w:r>
    </w:p>
    <w:p w14:paraId="6E7B8BCB"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termin realizacji przyłączenia,  </w:t>
      </w:r>
    </w:p>
    <w:p w14:paraId="14AEEE79"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wysokość opłaty za przyłączenie oraz sposób jej regulowania,  </w:t>
      </w:r>
    </w:p>
    <w:p w14:paraId="15FF5806"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miejsce rozgraniczenia własności sieci ACPRO i instalacji podmiotu przyłączanego, </w:t>
      </w:r>
    </w:p>
    <w:p w14:paraId="7FE09D44"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zakres robót niezbędnych przy realizacji przyłączenia, </w:t>
      </w:r>
    </w:p>
    <w:p w14:paraId="66FE37A8"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wymagania dotyczące lokalizacji układu pomiarowo-rozliczeniowego i jego parametrów,</w:t>
      </w:r>
    </w:p>
    <w:p w14:paraId="41AA0EE8"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harmonogram przyłączenia, </w:t>
      </w:r>
    </w:p>
    <w:p w14:paraId="340AC32F"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warunki udostępnienia ACPRO nieruchomości należącej do podmiotu przyłączanego w celu budowy lub rozbudowy sieci niezbędnej do realizacji przyłączenia, </w:t>
      </w:r>
    </w:p>
    <w:p w14:paraId="1BEEA0F1"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przewidywany termin zawarcia umowy, na podstawie której nastąpi dostarczanie lub pobieranie energii,  </w:t>
      </w:r>
    </w:p>
    <w:p w14:paraId="2CA1003D"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planowane ilości energii elektrycznej wprowadzanej do i/lub pobieranej z sieci,  </w:t>
      </w:r>
    </w:p>
    <w:p w14:paraId="3792F0F6"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moc przyłączeniową,  </w:t>
      </w:r>
    </w:p>
    <w:p w14:paraId="1B32EE2D" w14:textId="5FF9CABA"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ustalenia dotyczące opracowania dokumentu regulującego zasady współpracy ruchowej z ACPRO, </w:t>
      </w:r>
    </w:p>
    <w:p w14:paraId="0BE801E7"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odpowiedzialność stron za niedotrzymanie warunków umowy, a w szczególności za opóźnienie terminu realizacji prac w stosunku do ustalonego w umowie, </w:t>
      </w:r>
    </w:p>
    <w:p w14:paraId="62354A7E" w14:textId="77777777" w:rsidR="00357676" w:rsidRPr="00EB2E7B" w:rsidRDefault="00357676" w:rsidP="0035767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okres obowiązywania umowy i warunki jej rozwiązania. </w:t>
      </w:r>
    </w:p>
    <w:p w14:paraId="39D7EF9A" w14:textId="0A151299" w:rsidR="00AE2FCC" w:rsidRPr="00EB2E7B" w:rsidRDefault="00232DA9" w:rsidP="00B130B3">
      <w:pPr>
        <w:pStyle w:val="Nagwek3"/>
        <w:ind w:left="1134" w:hanging="1134"/>
        <w:rPr>
          <w:rFonts w:asciiTheme="minorHAnsi" w:hAnsiTheme="minorHAnsi" w:cstheme="minorHAnsi"/>
          <w:sz w:val="20"/>
          <w:szCs w:val="20"/>
        </w:rPr>
      </w:pPr>
      <w:bookmarkStart w:id="100" w:name="_Ref183613135"/>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 zakresie przyłączanych oraz przyłączonych do sieci dystrybucyjnej urządzeń, instalacji, sieci ma prawo do kontroli legalności pobierania</w:t>
      </w:r>
      <w:r w:rsidR="008D4447" w:rsidRPr="00EB2E7B">
        <w:rPr>
          <w:rFonts w:asciiTheme="minorHAnsi" w:hAnsiTheme="minorHAnsi" w:cstheme="minorHAnsi"/>
          <w:sz w:val="20"/>
          <w:szCs w:val="20"/>
        </w:rPr>
        <w:t xml:space="preserve"> i wprowadzania</w:t>
      </w:r>
      <w:r w:rsidR="0077111A" w:rsidRPr="00EB2E7B">
        <w:rPr>
          <w:rFonts w:asciiTheme="minorHAnsi" w:hAnsiTheme="minorHAnsi" w:cstheme="minorHAnsi"/>
          <w:sz w:val="20"/>
          <w:szCs w:val="20"/>
        </w:rPr>
        <w:t xml:space="preserve"> energii elektrycznej, kontroli układów pomiarowo – rozliczeniowych, dotrzymania zawartych umów oraz prawidłowości rozliczeń.</w:t>
      </w:r>
      <w:bookmarkEnd w:id="99"/>
      <w:bookmarkEnd w:id="100"/>
    </w:p>
    <w:p w14:paraId="2C0FC9A1" w14:textId="3FF10D3C" w:rsidR="00AE2FCC" w:rsidRPr="00EB2E7B" w:rsidRDefault="00AE2FCC"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Szczegółowe zasady przeprowadzania kontroli, o których mowa w pkt.</w:t>
      </w:r>
      <w:r w:rsidR="006C6BA2" w:rsidRPr="00EB2E7B">
        <w:rPr>
          <w:rFonts w:asciiTheme="minorHAnsi" w:hAnsiTheme="minorHAnsi" w:cstheme="minorHAnsi"/>
          <w:sz w:val="20"/>
          <w:szCs w:val="20"/>
        </w:rPr>
        <w:t xml:space="preserve"> </w:t>
      </w:r>
      <w:r w:rsidR="006C6BA2" w:rsidRPr="00EB2E7B">
        <w:rPr>
          <w:rFonts w:asciiTheme="minorHAnsi" w:hAnsiTheme="minorHAnsi" w:cstheme="minorHAnsi"/>
          <w:sz w:val="20"/>
          <w:szCs w:val="20"/>
        </w:rPr>
        <w:fldChar w:fldCharType="begin"/>
      </w:r>
      <w:r w:rsidR="006C6BA2" w:rsidRPr="00EB2E7B">
        <w:rPr>
          <w:rFonts w:asciiTheme="minorHAnsi" w:hAnsiTheme="minorHAnsi" w:cstheme="minorHAnsi"/>
          <w:sz w:val="20"/>
          <w:szCs w:val="20"/>
        </w:rPr>
        <w:instrText xml:space="preserve"> REF _Ref183613135 \w \h  \* MERGEFORMAT </w:instrText>
      </w:r>
      <w:r w:rsidR="006C6BA2" w:rsidRPr="00EB2E7B">
        <w:rPr>
          <w:rFonts w:asciiTheme="minorHAnsi" w:hAnsiTheme="minorHAnsi" w:cstheme="minorHAnsi"/>
          <w:sz w:val="20"/>
          <w:szCs w:val="20"/>
        </w:rPr>
      </w:r>
      <w:r w:rsidR="006C6BA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II.1.30</w:t>
      </w:r>
      <w:r w:rsidR="006C6BA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reguluje </w:t>
      </w:r>
      <w:r w:rsidR="00856766" w:rsidRPr="00EB2E7B">
        <w:rPr>
          <w:rFonts w:asciiTheme="minorHAnsi" w:hAnsiTheme="minorHAnsi" w:cstheme="minorHAnsi"/>
          <w:sz w:val="20"/>
          <w:szCs w:val="20"/>
        </w:rPr>
        <w:t xml:space="preserve">ustawa – Prawo energetyczne </w:t>
      </w:r>
      <w:r w:rsidRPr="00EB2E7B">
        <w:rPr>
          <w:rFonts w:asciiTheme="minorHAnsi" w:hAnsiTheme="minorHAnsi" w:cstheme="minorHAnsi"/>
          <w:sz w:val="20"/>
          <w:szCs w:val="20"/>
        </w:rPr>
        <w:t xml:space="preserve">oraz akty wykonawcze do </w:t>
      </w:r>
      <w:r w:rsidR="00856766" w:rsidRPr="00EB2E7B">
        <w:rPr>
          <w:rFonts w:asciiTheme="minorHAnsi" w:hAnsiTheme="minorHAnsi" w:cstheme="minorHAnsi"/>
          <w:sz w:val="20"/>
          <w:szCs w:val="20"/>
        </w:rPr>
        <w:t>niej</w:t>
      </w:r>
      <w:r w:rsidRPr="00EB2E7B">
        <w:rPr>
          <w:rFonts w:asciiTheme="minorHAnsi" w:hAnsiTheme="minorHAnsi" w:cstheme="minorHAnsi"/>
          <w:sz w:val="20"/>
          <w:szCs w:val="20"/>
        </w:rPr>
        <w:t xml:space="preserve">. </w:t>
      </w:r>
    </w:p>
    <w:p w14:paraId="74B6E16E" w14:textId="16E91A84" w:rsidR="00473957" w:rsidRPr="00EB2E7B" w:rsidRDefault="006D1A7C"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 sprawach nieuregulowanych w niniejszym rozdziale stosuje się bezpośrednio przepisy prawa</w:t>
      </w:r>
      <w:r w:rsidR="0077111A"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p w14:paraId="26F31ECA" w14:textId="26E15826" w:rsidR="00473957" w:rsidRPr="00EB2E7B" w:rsidRDefault="0077111A"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Szczegółowe warunki techniczne jakie powinny spełniać przyłączane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urządzenia, instalacje i sieci, w tym jednostki wytwórcze, określają pkt. </w:t>
      </w:r>
      <w:r w:rsidR="00F60354" w:rsidRPr="00EB2E7B">
        <w:rPr>
          <w:rFonts w:asciiTheme="minorHAnsi" w:hAnsiTheme="minorHAnsi" w:cstheme="minorHAnsi"/>
          <w:sz w:val="20"/>
          <w:szCs w:val="20"/>
        </w:rPr>
        <w:fldChar w:fldCharType="begin"/>
      </w:r>
      <w:r w:rsidR="00F60354" w:rsidRPr="00EB2E7B">
        <w:rPr>
          <w:rFonts w:asciiTheme="minorHAnsi" w:hAnsiTheme="minorHAnsi" w:cstheme="minorHAnsi"/>
          <w:sz w:val="20"/>
          <w:szCs w:val="20"/>
        </w:rPr>
        <w:instrText xml:space="preserve"> REF _Ref75427010 \r \h </w:instrText>
      </w:r>
      <w:r w:rsidR="00546E6F" w:rsidRPr="00EB2E7B">
        <w:rPr>
          <w:rFonts w:asciiTheme="minorHAnsi" w:hAnsiTheme="minorHAnsi" w:cstheme="minorHAnsi"/>
          <w:sz w:val="20"/>
          <w:szCs w:val="20"/>
        </w:rPr>
        <w:instrText xml:space="preserve"> \* MERGEFORMAT </w:instrText>
      </w:r>
      <w:r w:rsidR="00F60354" w:rsidRPr="00EB2E7B">
        <w:rPr>
          <w:rFonts w:asciiTheme="minorHAnsi" w:hAnsiTheme="minorHAnsi" w:cstheme="minorHAnsi"/>
          <w:sz w:val="20"/>
          <w:szCs w:val="20"/>
        </w:rPr>
      </w:r>
      <w:r w:rsidR="00F6035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II.2</w:t>
      </w:r>
      <w:r w:rsidR="00F6035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F60354" w:rsidRPr="00EB2E7B">
        <w:rPr>
          <w:rFonts w:asciiTheme="minorHAnsi" w:hAnsiTheme="minorHAnsi" w:cstheme="minorHAnsi"/>
          <w:sz w:val="20"/>
          <w:szCs w:val="20"/>
        </w:rPr>
        <w:fldChar w:fldCharType="begin"/>
      </w:r>
      <w:r w:rsidR="00F60354" w:rsidRPr="00EB2E7B">
        <w:rPr>
          <w:rFonts w:asciiTheme="minorHAnsi" w:hAnsiTheme="minorHAnsi" w:cstheme="minorHAnsi"/>
          <w:sz w:val="20"/>
          <w:szCs w:val="20"/>
        </w:rPr>
        <w:instrText xml:space="preserve"> REF _Ref75427026 \r \h </w:instrText>
      </w:r>
      <w:r w:rsidR="00546E6F" w:rsidRPr="00EB2E7B">
        <w:rPr>
          <w:rFonts w:asciiTheme="minorHAnsi" w:hAnsiTheme="minorHAnsi" w:cstheme="minorHAnsi"/>
          <w:sz w:val="20"/>
          <w:szCs w:val="20"/>
        </w:rPr>
        <w:instrText xml:space="preserve"> \* MERGEFORMAT </w:instrText>
      </w:r>
      <w:r w:rsidR="00F60354" w:rsidRPr="00EB2E7B">
        <w:rPr>
          <w:rFonts w:asciiTheme="minorHAnsi" w:hAnsiTheme="minorHAnsi" w:cstheme="minorHAnsi"/>
          <w:sz w:val="20"/>
          <w:szCs w:val="20"/>
        </w:rPr>
      </w:r>
      <w:r w:rsidR="00F6035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w:t>
      </w:r>
      <w:r w:rsidR="00F6035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oraz załączniki do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57F0FF87" w14:textId="3CF47EED" w:rsidR="00802239" w:rsidRPr="00EB2E7B" w:rsidRDefault="007E186D"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Podmioty zaliczone do </w:t>
      </w:r>
      <w:r w:rsidR="00C75AC2" w:rsidRPr="00EB2E7B">
        <w:rPr>
          <w:rFonts w:asciiTheme="minorHAnsi" w:hAnsiTheme="minorHAnsi" w:cstheme="minorHAnsi"/>
          <w:sz w:val="20"/>
          <w:szCs w:val="20"/>
        </w:rPr>
        <w:t xml:space="preserve">I, II, </w:t>
      </w:r>
      <w:r w:rsidRPr="00EB2E7B">
        <w:rPr>
          <w:rFonts w:asciiTheme="minorHAnsi" w:hAnsiTheme="minorHAnsi" w:cstheme="minorHAnsi"/>
          <w:sz w:val="20"/>
          <w:szCs w:val="20"/>
        </w:rPr>
        <w:t>III i VI grupy przyłączeniowej, przyłączane</w:t>
      </w:r>
      <w:r w:rsidR="00CF7F49" w:rsidRPr="00EB2E7B">
        <w:rPr>
          <w:rFonts w:asciiTheme="minorHAnsi" w:hAnsiTheme="minorHAnsi" w:cstheme="minorHAnsi"/>
          <w:sz w:val="20"/>
          <w:szCs w:val="20"/>
        </w:rPr>
        <w:t xml:space="preserve"> bezpośrednio</w:t>
      </w:r>
      <w:r w:rsidRPr="00EB2E7B">
        <w:rPr>
          <w:rFonts w:asciiTheme="minorHAnsi" w:hAnsiTheme="minorHAnsi" w:cstheme="minorHAnsi"/>
          <w:sz w:val="20"/>
          <w:szCs w:val="20"/>
        </w:rPr>
        <w:t xml:space="preserve"> do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oraz wytwórcy niezależnie od poziomu napięcia sieci, z wyłączeniem mikroinstalacji, opracowują instrukcję, o której mowa w pkt</w:t>
      </w:r>
      <w:r w:rsidR="000E1BE8" w:rsidRPr="00EB2E7B">
        <w:rPr>
          <w:rFonts w:asciiTheme="minorHAnsi" w:hAnsiTheme="minorHAnsi" w:cstheme="minorHAnsi"/>
          <w:sz w:val="20"/>
          <w:szCs w:val="20"/>
        </w:rPr>
        <w:t xml:space="preserve"> </w:t>
      </w:r>
      <w:r w:rsidR="000E1BE8" w:rsidRPr="00EB2E7B">
        <w:rPr>
          <w:rFonts w:asciiTheme="minorHAnsi" w:hAnsiTheme="minorHAnsi" w:cstheme="minorHAnsi"/>
          <w:sz w:val="20"/>
          <w:szCs w:val="20"/>
        </w:rPr>
        <w:fldChar w:fldCharType="begin"/>
      </w:r>
      <w:r w:rsidR="000E1BE8" w:rsidRPr="00EB2E7B">
        <w:rPr>
          <w:rFonts w:asciiTheme="minorHAnsi" w:hAnsiTheme="minorHAnsi" w:cstheme="minorHAnsi"/>
          <w:sz w:val="20"/>
          <w:szCs w:val="20"/>
        </w:rPr>
        <w:instrText xml:space="preserve"> REF _Ref183607039 \r \h </w:instrText>
      </w:r>
      <w:r w:rsidR="00F74A0D" w:rsidRPr="00EB2E7B">
        <w:rPr>
          <w:rFonts w:asciiTheme="minorHAnsi" w:hAnsiTheme="minorHAnsi" w:cstheme="minorHAnsi"/>
          <w:sz w:val="20"/>
          <w:szCs w:val="20"/>
        </w:rPr>
        <w:instrText xml:space="preserve"> \* MERGEFORMAT </w:instrText>
      </w:r>
      <w:r w:rsidR="000E1BE8" w:rsidRPr="00EB2E7B">
        <w:rPr>
          <w:rFonts w:asciiTheme="minorHAnsi" w:hAnsiTheme="minorHAnsi" w:cstheme="minorHAnsi"/>
          <w:sz w:val="20"/>
          <w:szCs w:val="20"/>
        </w:rPr>
      </w:r>
      <w:r w:rsidR="000E1BE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V.9</w:t>
      </w:r>
      <w:r w:rsidR="000E1BE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podlegającą uzgodnieniu z ACPRO przed przyłączeniem podmiotu do sieci.</w:t>
      </w:r>
    </w:p>
    <w:p w14:paraId="5387B735" w14:textId="77777777" w:rsidR="00473957" w:rsidRPr="00EB2E7B" w:rsidRDefault="0077111A"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Podmioty ubiegające się o przyłączenie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urządzeń, instalacji i sieci są zobowiązane do projektowania obiektów, urządzeń, instalacji i sieci zgodnie z powszechnie obowiązującymi przepisami oraz w oparciu o</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otrzymane warunki przyłączenia. </w:t>
      </w:r>
    </w:p>
    <w:p w14:paraId="188C4BF1" w14:textId="0A7A79B9" w:rsidR="00473957" w:rsidRPr="00EB2E7B" w:rsidRDefault="0077111A"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W celu umożliwienia wykonania analiz stanu i rozwoju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wskazane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podmioty ubiegające się o przyłączenie oraz przyłączone do sieci dystrybucyjnej przekazują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dane określone w</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rozdziale </w:t>
      </w:r>
      <w:r w:rsidR="00F60354" w:rsidRPr="00EB2E7B">
        <w:rPr>
          <w:rFonts w:asciiTheme="minorHAnsi" w:hAnsiTheme="minorHAnsi" w:cstheme="minorHAnsi"/>
          <w:sz w:val="20"/>
          <w:szCs w:val="20"/>
        </w:rPr>
        <w:fldChar w:fldCharType="begin"/>
      </w:r>
      <w:r w:rsidR="00F60354" w:rsidRPr="00EB2E7B">
        <w:rPr>
          <w:rFonts w:asciiTheme="minorHAnsi" w:hAnsiTheme="minorHAnsi" w:cstheme="minorHAnsi"/>
          <w:sz w:val="20"/>
          <w:szCs w:val="20"/>
        </w:rPr>
        <w:instrText xml:space="preserve"> REF _Ref75427149 \r \h </w:instrText>
      </w:r>
      <w:r w:rsidR="002A6993" w:rsidRPr="00EB2E7B">
        <w:rPr>
          <w:rFonts w:asciiTheme="minorHAnsi" w:hAnsiTheme="minorHAnsi" w:cstheme="minorHAnsi"/>
          <w:sz w:val="20"/>
          <w:szCs w:val="20"/>
        </w:rPr>
        <w:instrText xml:space="preserve"> \* MERGEFORMAT </w:instrText>
      </w:r>
      <w:r w:rsidR="00F60354" w:rsidRPr="00EB2E7B">
        <w:rPr>
          <w:rFonts w:asciiTheme="minorHAnsi" w:hAnsiTheme="minorHAnsi" w:cstheme="minorHAnsi"/>
          <w:sz w:val="20"/>
          <w:szCs w:val="20"/>
        </w:rPr>
      </w:r>
      <w:r w:rsidR="00F6035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II.5</w:t>
      </w:r>
      <w:r w:rsidR="00F60354" w:rsidRPr="00EB2E7B">
        <w:rPr>
          <w:rFonts w:asciiTheme="minorHAnsi" w:hAnsiTheme="minorHAnsi" w:cstheme="minorHAnsi"/>
          <w:sz w:val="20"/>
          <w:szCs w:val="20"/>
        </w:rPr>
        <w:fldChar w:fldCharType="end"/>
      </w:r>
      <w:r w:rsidR="00B55B83" w:rsidRPr="00EB2E7B">
        <w:rPr>
          <w:rFonts w:asciiTheme="minorHAnsi" w:hAnsiTheme="minorHAnsi" w:cstheme="minorHAnsi"/>
          <w:sz w:val="20"/>
          <w:szCs w:val="20"/>
        </w:rPr>
        <w:t xml:space="preserve"> oraz dane określone w art. 16 ust. </w:t>
      </w:r>
      <w:r w:rsidR="00474E55" w:rsidRPr="00EB2E7B">
        <w:rPr>
          <w:rFonts w:asciiTheme="minorHAnsi" w:hAnsiTheme="minorHAnsi" w:cstheme="minorHAnsi"/>
          <w:sz w:val="20"/>
          <w:szCs w:val="20"/>
        </w:rPr>
        <w:t xml:space="preserve">8 </w:t>
      </w:r>
      <w:r w:rsidR="002E6CEA" w:rsidRPr="00EB2E7B">
        <w:rPr>
          <w:rFonts w:asciiTheme="minorHAnsi" w:hAnsiTheme="minorHAnsi" w:cstheme="minorHAnsi"/>
          <w:sz w:val="20"/>
          <w:szCs w:val="20"/>
        </w:rPr>
        <w:t>U</w:t>
      </w:r>
      <w:r w:rsidR="00D078BF" w:rsidRPr="00EB2E7B">
        <w:rPr>
          <w:rFonts w:asciiTheme="minorHAnsi" w:hAnsiTheme="minorHAnsi" w:cstheme="minorHAnsi"/>
          <w:sz w:val="20"/>
          <w:szCs w:val="20"/>
        </w:rPr>
        <w:t>stawy</w:t>
      </w:r>
      <w:r w:rsidRPr="00EB2E7B">
        <w:rPr>
          <w:rFonts w:asciiTheme="minorHAnsi" w:hAnsiTheme="minorHAnsi" w:cstheme="minorHAnsi"/>
          <w:sz w:val="20"/>
          <w:szCs w:val="20"/>
        </w:rPr>
        <w:t>.</w:t>
      </w:r>
    </w:p>
    <w:p w14:paraId="594A0E4D" w14:textId="52D7538E" w:rsidR="00802239" w:rsidRPr="00EB2E7B" w:rsidRDefault="000271FB"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ACPRO uczestniczy w aktualizacji danych w Centralnym rejestrze jednostek wytwórczych i farm wiatrowych przyłączonych do KSE o mocy osiągalnej równej 5 MW i wyższej (dalej „Centralny rejestr jednostek wytwórczych”), zgodnie z zapisami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w:t>
      </w:r>
    </w:p>
    <w:p w14:paraId="6EDCD213" w14:textId="3DC8AA82" w:rsidR="000271FB" w:rsidRPr="00EB2E7B" w:rsidRDefault="000271FB"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Wytwórcy posiadający jednostki wytwórcze lub farmy wiatrowe o mocy osiągalnej równej 5 MW i wyższej oraz poniżej 50 MW dokonują zgłoszeń nowych jednostek wytwórczych oraz zmian w zakresie zarejestrowanych danych do OSP za pośrednictwem ACPRO.</w:t>
      </w:r>
    </w:p>
    <w:p w14:paraId="1407569A" w14:textId="5B961399" w:rsidR="00A63092" w:rsidRPr="00EB2E7B" w:rsidRDefault="00B201F7" w:rsidP="00B130B3">
      <w:pPr>
        <w:pStyle w:val="Nagwek3"/>
        <w:ind w:left="1134" w:hanging="1134"/>
        <w:rPr>
          <w:rFonts w:asciiTheme="minorHAnsi" w:hAnsiTheme="minorHAnsi" w:cstheme="minorHAnsi"/>
          <w:sz w:val="20"/>
          <w:szCs w:val="20"/>
        </w:rPr>
      </w:pPr>
      <w:bookmarkStart w:id="101" w:name="_Ref189083311"/>
      <w:bookmarkStart w:id="102" w:name="_Ref151916103"/>
      <w:r w:rsidRPr="00EB2E7B">
        <w:rPr>
          <w:rFonts w:asciiTheme="minorHAnsi" w:hAnsiTheme="minorHAnsi" w:cstheme="minorHAnsi"/>
          <w:sz w:val="20"/>
          <w:szCs w:val="20"/>
        </w:rPr>
        <w:t xml:space="preserve">Wytwórcy posiadający JWCD, JWCK lub farmy wiatrowe o mocy osiągalnej równej 50 MW lub wyższej, zobowiązani są dokonać zgłoszenia nowych jednostek wytwórczych oraz zmian w zakresie zarejestrowanych danych bezpośrednio do OSP, zgodnie z zapisami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Kopie zgłoszeń przesyłane są do </w:t>
      </w:r>
      <w:r w:rsidR="00B11D84" w:rsidRPr="00EB2E7B">
        <w:rPr>
          <w:rFonts w:asciiTheme="minorHAnsi" w:hAnsiTheme="minorHAnsi" w:cstheme="minorHAnsi"/>
          <w:sz w:val="20"/>
          <w:szCs w:val="20"/>
        </w:rPr>
        <w:t>ACPRO</w:t>
      </w:r>
      <w:r w:rsidRPr="00EB2E7B">
        <w:rPr>
          <w:rFonts w:asciiTheme="minorHAnsi" w:hAnsiTheme="minorHAnsi" w:cstheme="minorHAnsi"/>
          <w:sz w:val="20"/>
          <w:szCs w:val="20"/>
        </w:rPr>
        <w:t>.</w:t>
      </w:r>
      <w:bookmarkEnd w:id="101"/>
    </w:p>
    <w:p w14:paraId="0971C571" w14:textId="63625F01" w:rsidR="00B201F7" w:rsidRPr="00EB2E7B" w:rsidRDefault="002E0BDB"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wytwórców posiadających JWCD, JWCK lub farmy wiatrowe o mocy osiągalnej równej 50 MW lub wyższej, przyłączone do sieci dystrybucyjnej </w:t>
      </w:r>
      <w:r w:rsidR="00B11D84"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obowiązkiem wytwórcy jest informowanie </w:t>
      </w:r>
      <w:r w:rsidR="006E058D"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 zgłoszeniu do zarejestrowania mocy osiągalnej i zainstalowanej lub o zgłoszeniu zmiany danych w Centralnym rejestrze jednostek wytwórczych. Informowanie </w:t>
      </w:r>
      <w:r w:rsidR="006E058D"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odbywa się poprzez przesłanie do </w:t>
      </w:r>
      <w:r w:rsidR="006E058D"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kopii zgłoszenia, o którym mowa w pkt </w:t>
      </w:r>
      <w:r w:rsidR="00145437" w:rsidRPr="00EB2E7B">
        <w:rPr>
          <w:rFonts w:asciiTheme="minorHAnsi" w:hAnsiTheme="minorHAnsi" w:cstheme="minorHAnsi"/>
          <w:sz w:val="20"/>
          <w:szCs w:val="20"/>
        </w:rPr>
        <w:fldChar w:fldCharType="begin"/>
      </w:r>
      <w:r w:rsidR="00145437" w:rsidRPr="00EB2E7B">
        <w:rPr>
          <w:rFonts w:asciiTheme="minorHAnsi" w:hAnsiTheme="minorHAnsi" w:cstheme="minorHAnsi"/>
          <w:sz w:val="20"/>
          <w:szCs w:val="20"/>
        </w:rPr>
        <w:instrText xml:space="preserve"> REF _Ref189083311 \r \h </w:instrText>
      </w:r>
      <w:r w:rsidR="00B32B5C" w:rsidRPr="00EB2E7B">
        <w:rPr>
          <w:rFonts w:asciiTheme="minorHAnsi" w:hAnsiTheme="minorHAnsi" w:cstheme="minorHAnsi"/>
          <w:sz w:val="20"/>
          <w:szCs w:val="20"/>
        </w:rPr>
        <w:instrText xml:space="preserve"> \* MERGEFORMAT </w:instrText>
      </w:r>
      <w:r w:rsidR="00145437" w:rsidRPr="00EB2E7B">
        <w:rPr>
          <w:rFonts w:asciiTheme="minorHAnsi" w:hAnsiTheme="minorHAnsi" w:cstheme="minorHAnsi"/>
          <w:sz w:val="20"/>
          <w:szCs w:val="20"/>
        </w:rPr>
      </w:r>
      <w:r w:rsidR="0014543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II.1.39</w:t>
      </w:r>
      <w:r w:rsidR="00145437"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56420A7A" w14:textId="450FC7D3" w:rsidR="007E186D" w:rsidRPr="00EB2E7B" w:rsidRDefault="007E186D" w:rsidP="00B130B3">
      <w:pPr>
        <w:pStyle w:val="Nagwek3"/>
        <w:ind w:left="1134" w:hanging="1134"/>
        <w:rPr>
          <w:rFonts w:asciiTheme="minorHAnsi" w:hAnsiTheme="minorHAnsi" w:cstheme="minorHAnsi"/>
          <w:sz w:val="20"/>
          <w:szCs w:val="20"/>
        </w:rPr>
      </w:pPr>
      <w:bookmarkStart w:id="103" w:name="_Ref189083398"/>
      <w:r w:rsidRPr="00EB2E7B">
        <w:rPr>
          <w:rFonts w:asciiTheme="minorHAnsi" w:hAnsiTheme="minorHAnsi" w:cstheme="minorHAnsi"/>
          <w:sz w:val="20"/>
          <w:szCs w:val="20"/>
        </w:rPr>
        <w:t xml:space="preserve">Prosument zbiorowy lub Prosument wirtualny może przypisać do jednego PPE, w którym pobiera energię elektryczną, moc zainstalowaną elektryczną instalacji odnawialnych źródeł energii, która nie przekracza mocy umownej ustalonej dla tego punktu poboru energii, nie większą niż 50 </w:t>
      </w:r>
      <w:proofErr w:type="spellStart"/>
      <w:r w:rsidRPr="00EB2E7B">
        <w:rPr>
          <w:rFonts w:asciiTheme="minorHAnsi" w:hAnsiTheme="minorHAnsi" w:cstheme="minorHAnsi"/>
          <w:sz w:val="20"/>
          <w:szCs w:val="20"/>
        </w:rPr>
        <w:t>kW.</w:t>
      </w:r>
      <w:bookmarkEnd w:id="102"/>
      <w:bookmarkEnd w:id="103"/>
      <w:proofErr w:type="spellEnd"/>
    </w:p>
    <w:p w14:paraId="700DB5FD" w14:textId="6B51B854" w:rsidR="007E186D" w:rsidRPr="00EB2E7B" w:rsidRDefault="007E186D"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Moc zainstalowaną elektryczną, o której mowa w pkt</w:t>
      </w:r>
      <w:r w:rsidR="009A6C67" w:rsidRPr="00EB2E7B">
        <w:rPr>
          <w:rFonts w:asciiTheme="minorHAnsi" w:hAnsiTheme="minorHAnsi" w:cstheme="minorHAnsi"/>
          <w:sz w:val="20"/>
          <w:szCs w:val="20"/>
        </w:rPr>
        <w:t xml:space="preserve"> </w:t>
      </w:r>
      <w:r w:rsidR="006D5DA3" w:rsidRPr="00EB2E7B">
        <w:rPr>
          <w:rFonts w:asciiTheme="minorHAnsi" w:hAnsiTheme="minorHAnsi" w:cstheme="minorHAnsi"/>
          <w:sz w:val="20"/>
          <w:szCs w:val="20"/>
        </w:rPr>
        <w:fldChar w:fldCharType="begin"/>
      </w:r>
      <w:r w:rsidR="006D5DA3" w:rsidRPr="00EB2E7B">
        <w:rPr>
          <w:rFonts w:asciiTheme="minorHAnsi" w:hAnsiTheme="minorHAnsi" w:cstheme="minorHAnsi"/>
          <w:sz w:val="20"/>
          <w:szCs w:val="20"/>
        </w:rPr>
        <w:instrText xml:space="preserve"> REF _Ref189083398 \r \h </w:instrText>
      </w:r>
      <w:r w:rsidR="00F63B68" w:rsidRPr="00EB2E7B">
        <w:rPr>
          <w:rFonts w:asciiTheme="minorHAnsi" w:hAnsiTheme="minorHAnsi" w:cstheme="minorHAnsi"/>
          <w:sz w:val="20"/>
          <w:szCs w:val="20"/>
        </w:rPr>
        <w:instrText xml:space="preserve"> \* MERGEFORMAT </w:instrText>
      </w:r>
      <w:r w:rsidR="006D5DA3" w:rsidRPr="00EB2E7B">
        <w:rPr>
          <w:rFonts w:asciiTheme="minorHAnsi" w:hAnsiTheme="minorHAnsi" w:cstheme="minorHAnsi"/>
          <w:sz w:val="20"/>
          <w:szCs w:val="20"/>
        </w:rPr>
      </w:r>
      <w:r w:rsidR="006D5DA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II.1.41</w:t>
      </w:r>
      <w:r w:rsidR="006D5DA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ustala się na podstawie:</w:t>
      </w:r>
    </w:p>
    <w:p w14:paraId="2B423116" w14:textId="7F11A89A" w:rsidR="007E186D" w:rsidRPr="00EB2E7B" w:rsidRDefault="007E186D" w:rsidP="001A3305">
      <w:pPr>
        <w:pStyle w:val="1przed"/>
        <w:numPr>
          <w:ilvl w:val="0"/>
          <w:numId w:val="170"/>
        </w:numPr>
        <w:ind w:left="1701" w:hanging="567"/>
        <w:rPr>
          <w:rFonts w:asciiTheme="minorHAnsi" w:hAnsiTheme="minorHAnsi" w:cstheme="minorHAnsi"/>
          <w:sz w:val="20"/>
          <w:szCs w:val="20"/>
        </w:rPr>
      </w:pPr>
      <w:r w:rsidRPr="00EB2E7B">
        <w:rPr>
          <w:rFonts w:asciiTheme="minorHAnsi" w:hAnsiTheme="minorHAnsi" w:cstheme="minorHAnsi"/>
          <w:sz w:val="20"/>
          <w:szCs w:val="20"/>
        </w:rPr>
        <w:t>mocy zainstalowanej elektrycznej instalacji odnawialnego źródła energii wykorzystywanej przez Prosumenta zbiorowego lub Prosumenta wirtualnego;</w:t>
      </w:r>
    </w:p>
    <w:p w14:paraId="637E2B22" w14:textId="7D532044" w:rsidR="007E186D" w:rsidRPr="00EB2E7B" w:rsidRDefault="007E186D" w:rsidP="001A3305">
      <w:pPr>
        <w:pStyle w:val="1przed"/>
        <w:numPr>
          <w:ilvl w:val="0"/>
          <w:numId w:val="170"/>
        </w:numPr>
        <w:ind w:left="1701" w:hanging="567"/>
        <w:rPr>
          <w:rFonts w:asciiTheme="minorHAnsi" w:hAnsiTheme="minorHAnsi" w:cstheme="minorHAnsi"/>
          <w:sz w:val="20"/>
          <w:szCs w:val="20"/>
        </w:rPr>
      </w:pPr>
      <w:r w:rsidRPr="00EB2E7B">
        <w:rPr>
          <w:rFonts w:asciiTheme="minorHAnsi" w:hAnsiTheme="minorHAnsi" w:cstheme="minorHAnsi"/>
          <w:sz w:val="20"/>
          <w:szCs w:val="20"/>
        </w:rPr>
        <w:t>udziału w mocy zainstalowanej elektrycznej przysługującej:</w:t>
      </w:r>
    </w:p>
    <w:p w14:paraId="7909CA3C" w14:textId="35E254E2" w:rsidR="007E186D" w:rsidRPr="00EB2E7B" w:rsidRDefault="007E186D" w:rsidP="00B130B3">
      <w:pPr>
        <w:pStyle w:val="apo"/>
        <w:numPr>
          <w:ilvl w:val="0"/>
          <w:numId w:val="171"/>
        </w:numPr>
        <w:ind w:left="2268" w:hanging="567"/>
        <w:rPr>
          <w:rFonts w:asciiTheme="minorHAnsi" w:hAnsiTheme="minorHAnsi" w:cstheme="minorHAnsi"/>
          <w:sz w:val="20"/>
          <w:szCs w:val="20"/>
        </w:rPr>
      </w:pPr>
      <w:r w:rsidRPr="00EB2E7B">
        <w:rPr>
          <w:rFonts w:asciiTheme="minorHAnsi" w:hAnsiTheme="minorHAnsi" w:cstheme="minorHAnsi"/>
          <w:sz w:val="20"/>
          <w:szCs w:val="20"/>
        </w:rPr>
        <w:t>Prosumentowi zbiorowemu lub</w:t>
      </w:r>
    </w:p>
    <w:p w14:paraId="46DF357F" w14:textId="0598278E" w:rsidR="007E186D" w:rsidRPr="00EB2E7B" w:rsidRDefault="007E186D" w:rsidP="00B130B3">
      <w:pPr>
        <w:pStyle w:val="apo"/>
        <w:numPr>
          <w:ilvl w:val="0"/>
          <w:numId w:val="171"/>
        </w:numPr>
        <w:ind w:left="2268" w:hanging="567"/>
        <w:rPr>
          <w:rFonts w:asciiTheme="minorHAnsi" w:hAnsiTheme="minorHAnsi" w:cstheme="minorHAnsi"/>
          <w:sz w:val="20"/>
          <w:szCs w:val="20"/>
        </w:rPr>
      </w:pPr>
      <w:r w:rsidRPr="00EB2E7B">
        <w:rPr>
          <w:rFonts w:asciiTheme="minorHAnsi" w:hAnsiTheme="minorHAnsi" w:cstheme="minorHAnsi"/>
          <w:sz w:val="20"/>
          <w:szCs w:val="20"/>
        </w:rPr>
        <w:t>Prosumentowi wirtualnemu.</w:t>
      </w:r>
    </w:p>
    <w:p w14:paraId="393235A6" w14:textId="750E0892" w:rsidR="007E186D" w:rsidRPr="00EB2E7B" w:rsidRDefault="007E186D" w:rsidP="00B130B3">
      <w:pPr>
        <w:pStyle w:val="Nagwek3"/>
        <w:ind w:left="1134" w:hanging="1134"/>
        <w:rPr>
          <w:rFonts w:asciiTheme="minorHAnsi" w:hAnsiTheme="minorHAnsi" w:cstheme="minorHAnsi"/>
          <w:sz w:val="20"/>
          <w:szCs w:val="20"/>
        </w:rPr>
      </w:pPr>
      <w:bookmarkStart w:id="104" w:name="_Ref151916031"/>
      <w:r w:rsidRPr="00EB2E7B">
        <w:rPr>
          <w:rFonts w:asciiTheme="minorHAnsi" w:hAnsiTheme="minorHAnsi" w:cstheme="minorHAnsi"/>
          <w:sz w:val="20"/>
          <w:szCs w:val="20"/>
        </w:rPr>
        <w:t xml:space="preserve">Reprezentant prosumentów, działając w imieniu i na rzecz Prosumentów zbiorowych lub Prosumentów wirtualnych, informuje ACPRO, do sieci którego ma zostać przyłączona </w:t>
      </w:r>
      <w:proofErr w:type="spellStart"/>
      <w:r w:rsidRPr="00EB2E7B">
        <w:rPr>
          <w:rFonts w:asciiTheme="minorHAnsi" w:hAnsiTheme="minorHAnsi" w:cstheme="minorHAnsi"/>
          <w:sz w:val="20"/>
          <w:szCs w:val="20"/>
        </w:rPr>
        <w:t>mikroinstalacja</w:t>
      </w:r>
      <w:proofErr w:type="spellEnd"/>
      <w:r w:rsidRPr="00EB2E7B">
        <w:rPr>
          <w:rFonts w:asciiTheme="minorHAnsi" w:hAnsiTheme="minorHAnsi" w:cstheme="minorHAnsi"/>
          <w:sz w:val="20"/>
          <w:szCs w:val="20"/>
        </w:rPr>
        <w:t>, o terminie jej przyłączenia, lokalizacji przyłączenia, rodzaju odnawialnego źródła energii lub magazynu energii elektrycznej użytego w tej mikroinstalacji oraz jej mocy zainstalowanej elektrycznej, nie później niż w terminie 30 dni przed dniem planowanego przyłączenia mikroinstalacji do sieci ACPRO, zgodnie z zasadami określonymi w pkt</w:t>
      </w:r>
      <w:r w:rsidR="00F524A8" w:rsidRPr="00EB2E7B">
        <w:rPr>
          <w:rFonts w:asciiTheme="minorHAnsi" w:hAnsiTheme="minorHAnsi" w:cstheme="minorHAnsi"/>
          <w:sz w:val="20"/>
          <w:szCs w:val="20"/>
        </w:rPr>
        <w:t xml:space="preserve"> </w:t>
      </w:r>
      <w:r w:rsidR="00E05334" w:rsidRPr="00EB2E7B">
        <w:rPr>
          <w:rFonts w:asciiTheme="minorHAnsi" w:hAnsiTheme="minorHAnsi" w:cstheme="minorHAnsi"/>
          <w:sz w:val="20"/>
          <w:szCs w:val="20"/>
        </w:rPr>
        <w:fldChar w:fldCharType="begin"/>
      </w:r>
      <w:r w:rsidR="00E05334" w:rsidRPr="00EB2E7B">
        <w:rPr>
          <w:rFonts w:asciiTheme="minorHAnsi" w:hAnsiTheme="minorHAnsi" w:cstheme="minorHAnsi"/>
          <w:sz w:val="20"/>
          <w:szCs w:val="20"/>
        </w:rPr>
        <w:instrText xml:space="preserve"> REF _Ref189081881 \w \h  \* MERGEFORMAT </w:instrText>
      </w:r>
      <w:r w:rsidR="00E05334" w:rsidRPr="00EB2E7B">
        <w:rPr>
          <w:rFonts w:asciiTheme="minorHAnsi" w:hAnsiTheme="minorHAnsi" w:cstheme="minorHAnsi"/>
          <w:sz w:val="20"/>
          <w:szCs w:val="20"/>
        </w:rPr>
      </w:r>
      <w:r w:rsidR="00E0533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II.1.21</w:t>
      </w:r>
      <w:r w:rsidR="00E0533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dotyczącymi zgłoszenia przyłączenia mikroinstalacji. W przypadku mikroinstalacji wykorzystywanej przez Prosumenta wirtualnego, jej przyłączenie w trybie opisanym w zdaniu pierwszym może zostać zrealizowane jedynie, jeżeli w miejscu przyłączenia tej mikroinstalacji istnieje już przyłącze do sieci dystrybucyjnej i moc zainstalowana mikroinstalacji nie jest większa niż moc określona w wydanych warunkach przyłączenia dla tego przyłącza.</w:t>
      </w:r>
      <w:bookmarkEnd w:id="104"/>
    </w:p>
    <w:p w14:paraId="2B187B6D" w14:textId="1F33C13C" w:rsidR="007E186D" w:rsidRPr="00EB2E7B" w:rsidRDefault="007E186D" w:rsidP="00B130B3">
      <w:pPr>
        <w:pStyle w:val="Nagwek3"/>
        <w:ind w:left="1134" w:hanging="1134"/>
        <w:rPr>
          <w:rFonts w:asciiTheme="minorHAnsi" w:hAnsiTheme="minorHAnsi" w:cstheme="minorHAnsi"/>
          <w:sz w:val="20"/>
          <w:szCs w:val="20"/>
        </w:rPr>
      </w:pPr>
      <w:bookmarkStart w:id="105" w:name="_Ref151916037"/>
      <w:r w:rsidRPr="00EB2E7B">
        <w:rPr>
          <w:rFonts w:asciiTheme="minorHAnsi" w:hAnsiTheme="minorHAnsi" w:cstheme="minorHAnsi"/>
          <w:sz w:val="20"/>
          <w:szCs w:val="20"/>
        </w:rPr>
        <w:t xml:space="preserve">Reprezentant prosumentów, działając w imieniu i na rzecz Prosumentów zbiorowych lub Prosumentów wirtualnych, składa wniosek o określenie warunków przyłączenia i zawiera z ACPRO umowę o przyłączenie do sieci instalacji odnawialnego źródła energii, w tym umowę o przyłączenie </w:t>
      </w:r>
      <w:r w:rsidRPr="00EB2E7B">
        <w:rPr>
          <w:rFonts w:asciiTheme="minorHAnsi" w:hAnsiTheme="minorHAnsi" w:cstheme="minorHAnsi"/>
          <w:sz w:val="20"/>
          <w:szCs w:val="20"/>
        </w:rPr>
        <w:lastRenderedPageBreak/>
        <w:t>do sieci mikroinstalacji - jeżeli nie jest możliwe zastosowanie do mikroinstalacji procedury określonej w pkt</w:t>
      </w:r>
      <w:r w:rsidR="00F524A8" w:rsidRPr="00EB2E7B">
        <w:rPr>
          <w:rFonts w:asciiTheme="minorHAnsi" w:hAnsiTheme="minorHAnsi" w:cstheme="minorHAnsi"/>
          <w:sz w:val="20"/>
          <w:szCs w:val="20"/>
        </w:rPr>
        <w:t xml:space="preserve"> </w:t>
      </w:r>
      <w:r w:rsidR="0095410E" w:rsidRPr="00EB2E7B">
        <w:rPr>
          <w:rFonts w:asciiTheme="minorHAnsi" w:hAnsiTheme="minorHAnsi" w:cstheme="minorHAnsi"/>
          <w:sz w:val="20"/>
          <w:szCs w:val="20"/>
        </w:rPr>
        <w:fldChar w:fldCharType="begin"/>
      </w:r>
      <w:r w:rsidR="0095410E" w:rsidRPr="00EB2E7B">
        <w:rPr>
          <w:rFonts w:asciiTheme="minorHAnsi" w:hAnsiTheme="minorHAnsi" w:cstheme="minorHAnsi"/>
          <w:sz w:val="20"/>
          <w:szCs w:val="20"/>
        </w:rPr>
        <w:instrText xml:space="preserve"> REF _Ref151916031 \w \h  \* MERGEFORMAT </w:instrText>
      </w:r>
      <w:r w:rsidR="0095410E" w:rsidRPr="00EB2E7B">
        <w:rPr>
          <w:rFonts w:asciiTheme="minorHAnsi" w:hAnsiTheme="minorHAnsi" w:cstheme="minorHAnsi"/>
          <w:sz w:val="20"/>
          <w:szCs w:val="20"/>
        </w:rPr>
      </w:r>
      <w:r w:rsidR="0095410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II.1.43</w:t>
      </w:r>
      <w:r w:rsidR="0095410E"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105"/>
    </w:p>
    <w:p w14:paraId="4DC6A3DC" w14:textId="3DE8B930" w:rsidR="007E186D" w:rsidRPr="00EB2E7B" w:rsidRDefault="007E186D"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Zapisy pkt</w:t>
      </w:r>
      <w:r w:rsidR="00E03D58" w:rsidRPr="00EB2E7B">
        <w:rPr>
          <w:rFonts w:asciiTheme="minorHAnsi" w:hAnsiTheme="minorHAnsi" w:cstheme="minorHAnsi"/>
          <w:sz w:val="20"/>
          <w:szCs w:val="20"/>
        </w:rPr>
        <w:t xml:space="preserve"> </w:t>
      </w:r>
      <w:r w:rsidR="00F86AF8" w:rsidRPr="00EB2E7B">
        <w:rPr>
          <w:rFonts w:asciiTheme="minorHAnsi" w:hAnsiTheme="minorHAnsi" w:cstheme="minorHAnsi"/>
          <w:sz w:val="20"/>
          <w:szCs w:val="20"/>
        </w:rPr>
        <w:fldChar w:fldCharType="begin"/>
      </w:r>
      <w:r w:rsidR="00F86AF8" w:rsidRPr="00EB2E7B">
        <w:rPr>
          <w:rFonts w:asciiTheme="minorHAnsi" w:hAnsiTheme="minorHAnsi" w:cstheme="minorHAnsi"/>
          <w:sz w:val="20"/>
          <w:szCs w:val="20"/>
        </w:rPr>
        <w:instrText xml:space="preserve"> REF _Ref151916031 \w \h  \* MERGEFORMAT </w:instrText>
      </w:r>
      <w:r w:rsidR="00F86AF8" w:rsidRPr="00EB2E7B">
        <w:rPr>
          <w:rFonts w:asciiTheme="minorHAnsi" w:hAnsiTheme="minorHAnsi" w:cstheme="minorHAnsi"/>
          <w:sz w:val="20"/>
          <w:szCs w:val="20"/>
        </w:rPr>
      </w:r>
      <w:r w:rsidR="00F86AF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II.1.43</w:t>
      </w:r>
      <w:r w:rsidR="00F86AF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oraz</w:t>
      </w:r>
      <w:r w:rsidR="00E03D58" w:rsidRPr="00EB2E7B">
        <w:rPr>
          <w:rFonts w:asciiTheme="minorHAnsi" w:hAnsiTheme="minorHAnsi" w:cstheme="minorHAnsi"/>
          <w:sz w:val="20"/>
          <w:szCs w:val="20"/>
        </w:rPr>
        <w:t xml:space="preserve"> </w:t>
      </w:r>
      <w:r w:rsidR="00E03D58" w:rsidRPr="00EB2E7B">
        <w:rPr>
          <w:rFonts w:asciiTheme="minorHAnsi" w:hAnsiTheme="minorHAnsi" w:cstheme="minorHAnsi"/>
          <w:sz w:val="20"/>
          <w:szCs w:val="20"/>
        </w:rPr>
        <w:fldChar w:fldCharType="begin"/>
      </w:r>
      <w:r w:rsidR="00E03D58" w:rsidRPr="00EB2E7B">
        <w:rPr>
          <w:rFonts w:asciiTheme="minorHAnsi" w:hAnsiTheme="minorHAnsi" w:cstheme="minorHAnsi"/>
          <w:sz w:val="20"/>
          <w:szCs w:val="20"/>
        </w:rPr>
        <w:instrText xml:space="preserve"> REF _Ref151916037 \w \h  \* MERGEFORMAT </w:instrText>
      </w:r>
      <w:r w:rsidR="00E03D58" w:rsidRPr="00EB2E7B">
        <w:rPr>
          <w:rFonts w:asciiTheme="minorHAnsi" w:hAnsiTheme="minorHAnsi" w:cstheme="minorHAnsi"/>
          <w:sz w:val="20"/>
          <w:szCs w:val="20"/>
        </w:rPr>
      </w:r>
      <w:r w:rsidR="00E03D5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II.1.44</w:t>
      </w:r>
      <w:r w:rsidR="00E03D5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stosuje się również w przypadku, gdy właścicielem lub zarządcą mikroinstalacji lub małej instalacji wykorzystywanych przez Prosumenta zbiorowego lub instalacji odnawialnego źródła energii wykorzystywanej przez Prosumenta wirtualnego jest podmiot niebędący tym Prosumentem zbiorowym lub Prosumentem wirtualnym.</w:t>
      </w:r>
    </w:p>
    <w:p w14:paraId="3BD1F786" w14:textId="5ECF6869" w:rsidR="007E186D" w:rsidRPr="00EB2E7B" w:rsidRDefault="007E186D" w:rsidP="00B130B3">
      <w:pPr>
        <w:pStyle w:val="Nagwek3"/>
        <w:ind w:left="1134" w:hanging="1134"/>
        <w:rPr>
          <w:rFonts w:asciiTheme="minorHAnsi" w:hAnsiTheme="minorHAnsi" w:cstheme="minorHAnsi"/>
          <w:sz w:val="20"/>
          <w:szCs w:val="20"/>
        </w:rPr>
      </w:pPr>
      <w:bookmarkStart w:id="106" w:name="_Ref151916159"/>
      <w:r w:rsidRPr="00EB2E7B">
        <w:rPr>
          <w:rFonts w:asciiTheme="minorHAnsi" w:hAnsiTheme="minorHAnsi" w:cstheme="minorHAnsi"/>
          <w:sz w:val="20"/>
          <w:szCs w:val="20"/>
        </w:rPr>
        <w:t>Reprezentant prosumentów przekazuje ACPRO, do sieci którego przyłączana jest instalacja odnawialnego źródła energii, nie później niż w terminie 30 dni przed dniem planowanego rozpoczęcia wytwarzania energii elektrycznej z tej instalacji, zgłoszenie instalacji odnawialnego źródła energii zawierające informację o:</w:t>
      </w:r>
      <w:bookmarkEnd w:id="106"/>
    </w:p>
    <w:p w14:paraId="35640CAF" w14:textId="04D26DC1" w:rsidR="007E186D" w:rsidRPr="00EB2E7B" w:rsidRDefault="007E186D" w:rsidP="001A3305">
      <w:pPr>
        <w:pStyle w:val="1przed"/>
        <w:numPr>
          <w:ilvl w:val="0"/>
          <w:numId w:val="172"/>
        </w:numPr>
        <w:ind w:left="1701" w:hanging="567"/>
        <w:rPr>
          <w:rFonts w:asciiTheme="minorHAnsi" w:hAnsiTheme="minorHAnsi" w:cstheme="minorHAnsi"/>
          <w:sz w:val="20"/>
          <w:szCs w:val="20"/>
        </w:rPr>
      </w:pPr>
      <w:r w:rsidRPr="00EB2E7B">
        <w:rPr>
          <w:rFonts w:asciiTheme="minorHAnsi" w:hAnsiTheme="minorHAnsi" w:cstheme="minorHAnsi"/>
          <w:sz w:val="20"/>
          <w:szCs w:val="20"/>
        </w:rPr>
        <w:t>przysługującym Prosumentom zbiorowym lub Prosumentom wirtualnym udziale, wyrażonym w procentach, w wytwarzaniu energii elektrycznej z odnawialnego źródła energii oraz o maksymalnej mocy zainstalowanej elektrycznej, wyrażonej w jednostkach mocy, której ten udział odpowiada;</w:t>
      </w:r>
    </w:p>
    <w:p w14:paraId="5A4771CF" w14:textId="77777777" w:rsidR="007E186D" w:rsidRPr="00EB2E7B" w:rsidRDefault="007E186D" w:rsidP="001A3305">
      <w:pPr>
        <w:pStyle w:val="1przed"/>
        <w:numPr>
          <w:ilvl w:val="0"/>
          <w:numId w:val="172"/>
        </w:numPr>
        <w:ind w:left="1701" w:hanging="567"/>
        <w:rPr>
          <w:rFonts w:asciiTheme="minorHAnsi" w:hAnsiTheme="minorHAnsi" w:cstheme="minorHAnsi"/>
          <w:sz w:val="20"/>
          <w:szCs w:val="20"/>
        </w:rPr>
      </w:pPr>
      <w:r w:rsidRPr="00EB2E7B">
        <w:rPr>
          <w:rFonts w:asciiTheme="minorHAnsi" w:hAnsiTheme="minorHAnsi" w:cstheme="minorHAnsi"/>
          <w:sz w:val="20"/>
          <w:szCs w:val="20"/>
        </w:rPr>
        <w:t>adresach oraz kodach PPE poszczególnych Prosumentów wirtualnych lub Prosumentów zbiorowych;</w:t>
      </w:r>
    </w:p>
    <w:p w14:paraId="01E6030C" w14:textId="77777777" w:rsidR="007E186D" w:rsidRPr="00EB2E7B" w:rsidRDefault="007E186D" w:rsidP="001A3305">
      <w:pPr>
        <w:pStyle w:val="1przed"/>
        <w:numPr>
          <w:ilvl w:val="0"/>
          <w:numId w:val="172"/>
        </w:numPr>
        <w:ind w:left="1701" w:hanging="567"/>
        <w:rPr>
          <w:rFonts w:asciiTheme="minorHAnsi" w:hAnsiTheme="minorHAnsi" w:cstheme="minorHAnsi"/>
          <w:sz w:val="20"/>
          <w:szCs w:val="20"/>
        </w:rPr>
      </w:pPr>
      <w:r w:rsidRPr="00EB2E7B">
        <w:rPr>
          <w:rFonts w:asciiTheme="minorHAnsi" w:hAnsiTheme="minorHAnsi" w:cstheme="minorHAnsi"/>
          <w:sz w:val="20"/>
          <w:szCs w:val="20"/>
        </w:rPr>
        <w:t>zasadach zarządzania instalacją odnawialnego źródła energii oraz zasadach odpowiedzialności za bezpieczeństwo funkcjonowania, eksploatację, konserwację oraz remonty instalacji odnawialnego źródła energii;</w:t>
      </w:r>
    </w:p>
    <w:p w14:paraId="700F8599" w14:textId="77777777" w:rsidR="007E186D" w:rsidRPr="00EB2E7B" w:rsidRDefault="007E186D" w:rsidP="001A3305">
      <w:pPr>
        <w:pStyle w:val="1przed"/>
        <w:numPr>
          <w:ilvl w:val="0"/>
          <w:numId w:val="172"/>
        </w:numPr>
        <w:ind w:left="1701" w:hanging="567"/>
        <w:rPr>
          <w:rFonts w:asciiTheme="minorHAnsi" w:hAnsiTheme="minorHAnsi" w:cstheme="minorHAnsi"/>
          <w:sz w:val="20"/>
          <w:szCs w:val="20"/>
        </w:rPr>
      </w:pPr>
      <w:r w:rsidRPr="00EB2E7B">
        <w:rPr>
          <w:rFonts w:asciiTheme="minorHAnsi" w:hAnsiTheme="minorHAnsi" w:cstheme="minorHAnsi"/>
          <w:sz w:val="20"/>
          <w:szCs w:val="20"/>
        </w:rPr>
        <w:t>danych kontaktowych Reprezentanta prosumentów;</w:t>
      </w:r>
    </w:p>
    <w:p w14:paraId="55E5633A" w14:textId="7E3614A2" w:rsidR="007E186D" w:rsidRPr="00EB2E7B" w:rsidRDefault="007E186D" w:rsidP="001A3305">
      <w:pPr>
        <w:pStyle w:val="1przed"/>
        <w:numPr>
          <w:ilvl w:val="0"/>
          <w:numId w:val="172"/>
        </w:numPr>
        <w:ind w:left="1701" w:hanging="567"/>
        <w:rPr>
          <w:rFonts w:asciiTheme="minorHAnsi" w:hAnsiTheme="minorHAnsi" w:cstheme="minorHAnsi"/>
          <w:sz w:val="20"/>
          <w:szCs w:val="20"/>
        </w:rPr>
      </w:pPr>
      <w:r w:rsidRPr="00EB2E7B">
        <w:rPr>
          <w:rFonts w:asciiTheme="minorHAnsi" w:hAnsiTheme="minorHAnsi" w:cstheme="minorHAnsi"/>
          <w:sz w:val="20"/>
          <w:szCs w:val="20"/>
        </w:rPr>
        <w:t>w przypadku Prosumenta wirtualnego o podmiocie odpowiedzialnym za bilansowanie instalacji odnawialnego źródła energii.</w:t>
      </w:r>
    </w:p>
    <w:p w14:paraId="1FDFCFC2" w14:textId="5BC332D2" w:rsidR="007E186D" w:rsidRPr="00EB2E7B" w:rsidRDefault="007E186D" w:rsidP="00B130B3">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Reprezentant prosumentów przekazuje ACPRO zgłoszenie o każdej zmianie informacji, o których mowa w pkt</w:t>
      </w:r>
      <w:r w:rsidR="00741D13" w:rsidRPr="00EB2E7B">
        <w:rPr>
          <w:rFonts w:asciiTheme="minorHAnsi" w:hAnsiTheme="minorHAnsi" w:cstheme="minorHAnsi"/>
          <w:sz w:val="20"/>
          <w:szCs w:val="20"/>
        </w:rPr>
        <w:t xml:space="preserve"> </w:t>
      </w:r>
      <w:r w:rsidR="00741D13" w:rsidRPr="00EB2E7B">
        <w:rPr>
          <w:rFonts w:asciiTheme="minorHAnsi" w:hAnsiTheme="minorHAnsi" w:cstheme="minorHAnsi"/>
          <w:sz w:val="20"/>
          <w:szCs w:val="20"/>
        </w:rPr>
        <w:fldChar w:fldCharType="begin"/>
      </w:r>
      <w:r w:rsidR="00741D13" w:rsidRPr="00EB2E7B">
        <w:rPr>
          <w:rFonts w:asciiTheme="minorHAnsi" w:hAnsiTheme="minorHAnsi" w:cstheme="minorHAnsi"/>
          <w:sz w:val="20"/>
          <w:szCs w:val="20"/>
        </w:rPr>
        <w:instrText xml:space="preserve"> REF _Ref151916159 \w \h </w:instrText>
      </w:r>
      <w:r w:rsidR="0018096F" w:rsidRPr="00EB2E7B">
        <w:rPr>
          <w:rFonts w:asciiTheme="minorHAnsi" w:hAnsiTheme="minorHAnsi" w:cstheme="minorHAnsi"/>
          <w:sz w:val="20"/>
          <w:szCs w:val="20"/>
        </w:rPr>
        <w:instrText xml:space="preserve"> \* MERGEFORMAT </w:instrText>
      </w:r>
      <w:r w:rsidR="00741D13" w:rsidRPr="00EB2E7B">
        <w:rPr>
          <w:rFonts w:asciiTheme="minorHAnsi" w:hAnsiTheme="minorHAnsi" w:cstheme="minorHAnsi"/>
          <w:sz w:val="20"/>
          <w:szCs w:val="20"/>
        </w:rPr>
      </w:r>
      <w:r w:rsidR="00741D1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II.1.46</w:t>
      </w:r>
      <w:r w:rsidR="00741D1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terminie 14 dni od dnia zmiany informacji. ACPRO uwzględnia zgłoszoną zmianę w terminie 14 dni od doręczenia kompletnego zgłoszenia, o którym mowa w zdaniu pierwszym.</w:t>
      </w:r>
    </w:p>
    <w:p w14:paraId="09139131" w14:textId="77777777" w:rsidR="00473957" w:rsidRPr="00EB2E7B" w:rsidRDefault="0077111A">
      <w:pPr>
        <w:pStyle w:val="Nagwek2"/>
        <w:rPr>
          <w:rFonts w:asciiTheme="minorHAnsi" w:hAnsiTheme="minorHAnsi" w:cstheme="minorHAnsi"/>
          <w:bCs/>
          <w:sz w:val="20"/>
          <w:szCs w:val="20"/>
        </w:rPr>
      </w:pPr>
      <w:bookmarkStart w:id="107" w:name="_Ref75427010"/>
      <w:bookmarkStart w:id="108" w:name="_Toc180153718"/>
      <w:bookmarkStart w:id="109" w:name="_Toc239333311"/>
      <w:r w:rsidRPr="00EB2E7B">
        <w:rPr>
          <w:rFonts w:asciiTheme="minorHAnsi" w:hAnsiTheme="minorHAnsi" w:cstheme="minorHAnsi"/>
          <w:sz w:val="20"/>
          <w:szCs w:val="20"/>
        </w:rPr>
        <w:t>ZASADY WZAJEMNEGO POŁĄCZENIA SIECI DYSTRYBUCYJNYCH</w:t>
      </w:r>
      <w:r w:rsidR="00802239" w:rsidRPr="00EB2E7B">
        <w:rPr>
          <w:rFonts w:asciiTheme="minorHAnsi" w:hAnsiTheme="minorHAnsi" w:cstheme="minorHAnsi"/>
          <w:sz w:val="20"/>
          <w:szCs w:val="20"/>
        </w:rPr>
        <w:t xml:space="preserve"> </w:t>
      </w:r>
      <w:r w:rsidRPr="00EB2E7B">
        <w:rPr>
          <w:rFonts w:asciiTheme="minorHAnsi" w:hAnsiTheme="minorHAnsi" w:cstheme="minorHAnsi"/>
          <w:sz w:val="20"/>
          <w:szCs w:val="20"/>
        </w:rPr>
        <w:t>RÓŻNYCH OPERATORÓW SYSTEMÓW DYSTRYBUCYJNYCH</w:t>
      </w:r>
      <w:bookmarkEnd w:id="107"/>
      <w:bookmarkEnd w:id="108"/>
      <w:bookmarkEnd w:id="109"/>
      <w:r w:rsidRPr="00EB2E7B">
        <w:rPr>
          <w:rFonts w:asciiTheme="minorHAnsi" w:hAnsiTheme="minorHAnsi" w:cstheme="minorHAnsi"/>
          <w:sz w:val="20"/>
          <w:szCs w:val="20"/>
        </w:rPr>
        <w:t xml:space="preserve"> </w:t>
      </w:r>
    </w:p>
    <w:p w14:paraId="4EB5C9E2" w14:textId="62AB39A7" w:rsidR="00473957" w:rsidRPr="00EB2E7B" w:rsidRDefault="0077111A" w:rsidP="00421971">
      <w:pPr>
        <w:pStyle w:val="Nagwek3"/>
        <w:ind w:left="1134" w:hanging="1134"/>
        <w:rPr>
          <w:rFonts w:asciiTheme="minorHAnsi" w:hAnsiTheme="minorHAnsi" w:cstheme="minorHAnsi"/>
          <w:sz w:val="20"/>
          <w:szCs w:val="20"/>
        </w:rPr>
      </w:pPr>
      <w:bookmarkStart w:id="110" w:name="_Ref75427304"/>
      <w:r w:rsidRPr="00EB2E7B">
        <w:rPr>
          <w:rFonts w:asciiTheme="minorHAnsi" w:hAnsiTheme="minorHAnsi" w:cstheme="minorHAnsi"/>
          <w:sz w:val="20"/>
          <w:szCs w:val="20"/>
        </w:rPr>
        <w:t>Zasady wzajemnego połączenia sieci dystrybucyjnych różnych ACPRO są regulowane umowami i uzgadniane z operatorem systemu przesyłowego</w:t>
      </w:r>
      <w:r w:rsidR="00C21BF2" w:rsidRPr="00EB2E7B">
        <w:rPr>
          <w:rFonts w:asciiTheme="minorHAnsi" w:hAnsiTheme="minorHAnsi" w:cstheme="minorHAnsi"/>
          <w:sz w:val="20"/>
          <w:szCs w:val="20"/>
        </w:rPr>
        <w:t xml:space="preserve"> o ile jest to wymagane zapisami </w:t>
      </w:r>
      <w:proofErr w:type="spellStart"/>
      <w:r w:rsidR="00C21BF2" w:rsidRPr="00EB2E7B">
        <w:rPr>
          <w:rFonts w:asciiTheme="minorHAnsi" w:hAnsiTheme="minorHAnsi" w:cstheme="minorHAnsi"/>
          <w:sz w:val="20"/>
          <w:szCs w:val="20"/>
        </w:rPr>
        <w:t>IRiESP</w:t>
      </w:r>
      <w:proofErr w:type="spellEnd"/>
      <w:r w:rsidR="00C21BF2" w:rsidRPr="00EB2E7B">
        <w:rPr>
          <w:rFonts w:asciiTheme="minorHAnsi" w:hAnsiTheme="minorHAnsi" w:cstheme="minorHAnsi"/>
          <w:sz w:val="20"/>
          <w:szCs w:val="20"/>
        </w:rPr>
        <w:t>.</w:t>
      </w:r>
      <w:bookmarkEnd w:id="110"/>
    </w:p>
    <w:p w14:paraId="2F0ECF13" w14:textId="06A8D6F6" w:rsidR="00473957" w:rsidRPr="00EB2E7B" w:rsidRDefault="0077111A" w:rsidP="00421971">
      <w:pPr>
        <w:pStyle w:val="Nagwek3"/>
        <w:ind w:left="1134" w:hanging="1134"/>
        <w:rPr>
          <w:rFonts w:asciiTheme="minorHAnsi" w:hAnsiTheme="minorHAnsi" w:cstheme="minorHAnsi"/>
          <w:sz w:val="20"/>
          <w:szCs w:val="20"/>
        </w:rPr>
      </w:pPr>
      <w:bookmarkStart w:id="111" w:name="_Ref75428261"/>
      <w:r w:rsidRPr="00EB2E7B">
        <w:rPr>
          <w:rFonts w:asciiTheme="minorHAnsi" w:hAnsiTheme="minorHAnsi" w:cstheme="minorHAnsi"/>
          <w:sz w:val="20"/>
          <w:szCs w:val="20"/>
        </w:rPr>
        <w:t xml:space="preserve">Umowa, o której mowa w pkt. </w:t>
      </w:r>
      <w:r w:rsidR="00EA4699" w:rsidRPr="00EB2E7B">
        <w:rPr>
          <w:rFonts w:asciiTheme="minorHAnsi" w:hAnsiTheme="minorHAnsi" w:cstheme="minorHAnsi"/>
          <w:sz w:val="20"/>
          <w:szCs w:val="20"/>
        </w:rPr>
        <w:fldChar w:fldCharType="begin"/>
      </w:r>
      <w:r w:rsidR="00EA4699" w:rsidRPr="00EB2E7B">
        <w:rPr>
          <w:rFonts w:asciiTheme="minorHAnsi" w:hAnsiTheme="minorHAnsi" w:cstheme="minorHAnsi"/>
          <w:sz w:val="20"/>
          <w:szCs w:val="20"/>
        </w:rPr>
        <w:instrText xml:space="preserve"> REF _Ref75427304 \r \h </w:instrText>
      </w:r>
      <w:r w:rsidR="007B0020" w:rsidRPr="00EB2E7B">
        <w:rPr>
          <w:rFonts w:asciiTheme="minorHAnsi" w:hAnsiTheme="minorHAnsi" w:cstheme="minorHAnsi"/>
          <w:sz w:val="20"/>
          <w:szCs w:val="20"/>
        </w:rPr>
        <w:instrText xml:space="preserve"> \* MERGEFORMAT </w:instrText>
      </w:r>
      <w:r w:rsidR="00EA4699" w:rsidRPr="00EB2E7B">
        <w:rPr>
          <w:rFonts w:asciiTheme="minorHAnsi" w:hAnsiTheme="minorHAnsi" w:cstheme="minorHAnsi"/>
          <w:sz w:val="20"/>
          <w:szCs w:val="20"/>
        </w:rPr>
      </w:r>
      <w:r w:rsidR="00EA469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II.2.1</w:t>
      </w:r>
      <w:r w:rsidR="00EA469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zakresie połączenia sieci różnych ACPRO powinna określać w szczególności:</w:t>
      </w:r>
      <w:bookmarkEnd w:id="111"/>
      <w:r w:rsidRPr="00EB2E7B">
        <w:rPr>
          <w:rFonts w:asciiTheme="minorHAnsi" w:hAnsiTheme="minorHAnsi" w:cstheme="minorHAnsi"/>
          <w:sz w:val="20"/>
          <w:szCs w:val="20"/>
        </w:rPr>
        <w:t xml:space="preserve"> </w:t>
      </w:r>
    </w:p>
    <w:p w14:paraId="662ADBEC" w14:textId="77777777" w:rsidR="00473957" w:rsidRPr="00EB2E7B" w:rsidRDefault="0077111A" w:rsidP="001A3305">
      <w:pPr>
        <w:pStyle w:val="1przed"/>
        <w:numPr>
          <w:ilvl w:val="0"/>
          <w:numId w:val="2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strony zawierające umowę, </w:t>
      </w:r>
    </w:p>
    <w:p w14:paraId="1543ECA4" w14:textId="4978F011" w:rsidR="00C21BF2"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przedmiot umowy wynikający z warunków </w:t>
      </w:r>
      <w:r w:rsidR="00FD3790" w:rsidRPr="00EB2E7B">
        <w:rPr>
          <w:rFonts w:asciiTheme="minorHAnsi" w:hAnsiTheme="minorHAnsi" w:cstheme="minorHAnsi"/>
          <w:sz w:val="20"/>
          <w:szCs w:val="20"/>
        </w:rPr>
        <w:t>przyłączenia</w:t>
      </w:r>
      <w:r w:rsidRPr="00EB2E7B">
        <w:rPr>
          <w:rFonts w:asciiTheme="minorHAnsi" w:hAnsiTheme="minorHAnsi" w:cstheme="minorHAnsi"/>
          <w:sz w:val="20"/>
          <w:szCs w:val="20"/>
        </w:rPr>
        <w:t xml:space="preserve">, </w:t>
      </w:r>
    </w:p>
    <w:p w14:paraId="69DA0560" w14:textId="3F9E8D53"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termin realizacji </w:t>
      </w:r>
      <w:r w:rsidR="00FD3D8E" w:rsidRPr="00EB2E7B">
        <w:rPr>
          <w:rFonts w:asciiTheme="minorHAnsi" w:hAnsiTheme="minorHAnsi" w:cstheme="minorHAnsi"/>
          <w:sz w:val="20"/>
          <w:szCs w:val="20"/>
        </w:rPr>
        <w:t>przyłączenia</w:t>
      </w:r>
      <w:r w:rsidRPr="00EB2E7B">
        <w:rPr>
          <w:rFonts w:asciiTheme="minorHAnsi" w:hAnsiTheme="minorHAnsi" w:cstheme="minorHAnsi"/>
          <w:sz w:val="20"/>
          <w:szCs w:val="20"/>
        </w:rPr>
        <w:t xml:space="preserve">, </w:t>
      </w:r>
    </w:p>
    <w:p w14:paraId="6C0D1DBF" w14:textId="40A07821"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wysokość opłaty za </w:t>
      </w:r>
      <w:r w:rsidR="00FD3D8E" w:rsidRPr="00EB2E7B">
        <w:rPr>
          <w:rFonts w:asciiTheme="minorHAnsi" w:hAnsiTheme="minorHAnsi" w:cstheme="minorHAnsi"/>
          <w:sz w:val="20"/>
          <w:szCs w:val="20"/>
        </w:rPr>
        <w:t xml:space="preserve">przyłączenie </w:t>
      </w:r>
      <w:r w:rsidRPr="00EB2E7B">
        <w:rPr>
          <w:rFonts w:asciiTheme="minorHAnsi" w:hAnsiTheme="minorHAnsi" w:cstheme="minorHAnsi"/>
          <w:sz w:val="20"/>
          <w:szCs w:val="20"/>
        </w:rPr>
        <w:t xml:space="preserve">i zasady rozliczeń,  </w:t>
      </w:r>
    </w:p>
    <w:p w14:paraId="4E3B1B7A" w14:textId="672D4EB2" w:rsidR="00C21BF2" w:rsidRPr="00EB2E7B" w:rsidRDefault="0077111A" w:rsidP="001A3305">
      <w:pPr>
        <w:pStyle w:val="1przed"/>
        <w:ind w:left="1701" w:hanging="567"/>
        <w:rPr>
          <w:rFonts w:asciiTheme="minorHAnsi" w:hAnsiTheme="minorHAnsi" w:cstheme="minorHAnsi"/>
          <w:sz w:val="20"/>
          <w:szCs w:val="20"/>
        </w:rPr>
      </w:pPr>
      <w:bookmarkStart w:id="112" w:name="_Ref75428242"/>
      <w:r w:rsidRPr="00EB2E7B">
        <w:rPr>
          <w:rFonts w:asciiTheme="minorHAnsi" w:hAnsiTheme="minorHAnsi" w:cstheme="minorHAnsi"/>
          <w:sz w:val="20"/>
          <w:szCs w:val="20"/>
        </w:rPr>
        <w:t xml:space="preserve">zakres oraz sposób wymiany danych i informacji w trakcie realizacji </w:t>
      </w:r>
      <w:bookmarkEnd w:id="112"/>
      <w:r w:rsidR="00FD3D8E" w:rsidRPr="00EB2E7B">
        <w:rPr>
          <w:rFonts w:asciiTheme="minorHAnsi" w:hAnsiTheme="minorHAnsi" w:cstheme="minorHAnsi"/>
          <w:sz w:val="20"/>
          <w:szCs w:val="20"/>
        </w:rPr>
        <w:t>warunków przyłączenia</w:t>
      </w:r>
    </w:p>
    <w:p w14:paraId="4C99F129" w14:textId="2523681F"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zakres robót niezbędnych przy realizacji </w:t>
      </w:r>
      <w:r w:rsidR="001F01BE" w:rsidRPr="00EB2E7B">
        <w:rPr>
          <w:rFonts w:asciiTheme="minorHAnsi" w:hAnsiTheme="minorHAnsi" w:cstheme="minorHAnsi"/>
          <w:sz w:val="20"/>
          <w:szCs w:val="20"/>
        </w:rPr>
        <w:t>przyłączenia</w:t>
      </w:r>
      <w:r w:rsidRPr="00EB2E7B">
        <w:rPr>
          <w:rFonts w:asciiTheme="minorHAnsi" w:hAnsiTheme="minorHAnsi" w:cstheme="minorHAnsi"/>
          <w:sz w:val="20"/>
          <w:szCs w:val="20"/>
        </w:rPr>
        <w:t xml:space="preserve">, </w:t>
      </w:r>
    </w:p>
    <w:p w14:paraId="48C58391"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wymagania dotyczące lokalizacji układu pomiarowo-rozliczeniowego i jego parametrów, </w:t>
      </w:r>
    </w:p>
    <w:p w14:paraId="5C552B10"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sposób koordynacji prac wykonywanych przez strony, </w:t>
      </w:r>
    </w:p>
    <w:p w14:paraId="4A61F967" w14:textId="5A5E289B"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terminy przeprowadzania prób, odbiorów częściowych, prób końcowych  i</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ostatecznego odbioru </w:t>
      </w:r>
      <w:r w:rsidR="00516EA2" w:rsidRPr="00EB2E7B">
        <w:rPr>
          <w:rFonts w:asciiTheme="minorHAnsi" w:hAnsiTheme="minorHAnsi" w:cstheme="minorHAnsi"/>
          <w:sz w:val="20"/>
          <w:szCs w:val="20"/>
        </w:rPr>
        <w:t>przyłączenia</w:t>
      </w:r>
      <w:r w:rsidRPr="00EB2E7B">
        <w:rPr>
          <w:rFonts w:asciiTheme="minorHAnsi" w:hAnsiTheme="minorHAnsi" w:cstheme="minorHAnsi"/>
          <w:sz w:val="20"/>
          <w:szCs w:val="20"/>
        </w:rPr>
        <w:t xml:space="preserve">, </w:t>
      </w:r>
    </w:p>
    <w:p w14:paraId="2BA9B02C" w14:textId="694896C0"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miejsce rozgraniczenia praw własności </w:t>
      </w:r>
      <w:r w:rsidR="00516EA2" w:rsidRPr="00EB2E7B">
        <w:rPr>
          <w:rFonts w:asciiTheme="minorHAnsi" w:hAnsiTheme="minorHAnsi" w:cstheme="minorHAnsi"/>
          <w:sz w:val="20"/>
          <w:szCs w:val="20"/>
        </w:rPr>
        <w:t xml:space="preserve">przyłączanych </w:t>
      </w:r>
      <w:r w:rsidRPr="00EB2E7B">
        <w:rPr>
          <w:rFonts w:asciiTheme="minorHAnsi" w:hAnsiTheme="minorHAnsi" w:cstheme="minorHAnsi"/>
          <w:sz w:val="20"/>
          <w:szCs w:val="20"/>
        </w:rPr>
        <w:t xml:space="preserve">sieci, </w:t>
      </w:r>
    </w:p>
    <w:p w14:paraId="27D853F7"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wykaz osób lub komórek organizacyjnych upoważnionych przez strony do koordynacji prac wynikających z umowy, </w:t>
      </w:r>
    </w:p>
    <w:p w14:paraId="3119E540" w14:textId="77777777" w:rsidR="00C21BF2"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odpowiedzialność stron za niedotrzymanie warunków umowy, a</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w</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szczególności za opóźnienie terminu realizacji prac w stosunku do ustalonego w umowie, </w:t>
      </w:r>
    </w:p>
    <w:p w14:paraId="497C9CC5"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okres obowiązywania umowy i warunki jej rozwiązania. </w:t>
      </w:r>
    </w:p>
    <w:p w14:paraId="4C970736" w14:textId="77777777" w:rsidR="00473957" w:rsidRPr="00EB2E7B" w:rsidRDefault="0077111A" w:rsidP="0042197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Warunki połączenia określają w szczególności: </w:t>
      </w:r>
    </w:p>
    <w:p w14:paraId="58FC6DB2" w14:textId="77777777" w:rsidR="00473957" w:rsidRPr="00EB2E7B" w:rsidRDefault="0077111A" w:rsidP="001A3305">
      <w:pPr>
        <w:pStyle w:val="1przed"/>
        <w:numPr>
          <w:ilvl w:val="0"/>
          <w:numId w:val="22"/>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moc przyłączeniową, </w:t>
      </w:r>
    </w:p>
    <w:p w14:paraId="67091FA7" w14:textId="55AB6C95"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miejsca </w:t>
      </w:r>
      <w:r w:rsidR="00516EA2" w:rsidRPr="00EB2E7B">
        <w:rPr>
          <w:rFonts w:asciiTheme="minorHAnsi" w:hAnsiTheme="minorHAnsi" w:cstheme="minorHAnsi"/>
          <w:sz w:val="20"/>
          <w:szCs w:val="20"/>
        </w:rPr>
        <w:t xml:space="preserve">przyłączenia </w:t>
      </w:r>
      <w:r w:rsidRPr="00EB2E7B">
        <w:rPr>
          <w:rFonts w:asciiTheme="minorHAnsi" w:hAnsiTheme="minorHAnsi" w:cstheme="minorHAnsi"/>
          <w:sz w:val="20"/>
          <w:szCs w:val="20"/>
        </w:rPr>
        <w:t xml:space="preserve">sieci różnych </w:t>
      </w:r>
      <w:r w:rsidR="00D13995"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64102946" w14:textId="2C7169BF"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zakres niezbędnych zmian w sieci związanych z </w:t>
      </w:r>
      <w:r w:rsidR="00120652" w:rsidRPr="00EB2E7B">
        <w:rPr>
          <w:rFonts w:asciiTheme="minorHAnsi" w:hAnsiTheme="minorHAnsi" w:cstheme="minorHAnsi"/>
          <w:sz w:val="20"/>
          <w:szCs w:val="20"/>
        </w:rPr>
        <w:t>przyłączeniem</w:t>
      </w:r>
      <w:r w:rsidRPr="00EB2E7B">
        <w:rPr>
          <w:rFonts w:asciiTheme="minorHAnsi" w:hAnsiTheme="minorHAnsi" w:cstheme="minorHAnsi"/>
          <w:sz w:val="20"/>
          <w:szCs w:val="20"/>
        </w:rPr>
        <w:t xml:space="preserve">, </w:t>
      </w:r>
    </w:p>
    <w:p w14:paraId="5B0C59F0"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miejsce zainstalowania i rodzaj układów pomiarowo-rozliczeniowych, </w:t>
      </w:r>
    </w:p>
    <w:p w14:paraId="03E34187" w14:textId="15F28128"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wartości prądów zwarć wielofazowych i jednofazowych doziemnych oraz czasów ich wyłączania w punktach </w:t>
      </w:r>
      <w:r w:rsidR="00120652" w:rsidRPr="00EB2E7B">
        <w:rPr>
          <w:rFonts w:asciiTheme="minorHAnsi" w:hAnsiTheme="minorHAnsi" w:cstheme="minorHAnsi"/>
          <w:sz w:val="20"/>
          <w:szCs w:val="20"/>
        </w:rPr>
        <w:t xml:space="preserve">przyłączenia </w:t>
      </w:r>
      <w:r w:rsidRPr="00EB2E7B">
        <w:rPr>
          <w:rFonts w:asciiTheme="minorHAnsi" w:hAnsiTheme="minorHAnsi" w:cstheme="minorHAnsi"/>
          <w:sz w:val="20"/>
          <w:szCs w:val="20"/>
        </w:rPr>
        <w:t xml:space="preserve">sieci u obydwu operatorów, </w:t>
      </w:r>
    </w:p>
    <w:p w14:paraId="40559CC1"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miejsce zainstalowania i warunki współpracy EAZ, </w:t>
      </w:r>
    </w:p>
    <w:p w14:paraId="2F6B613F"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wymagania w zakresie telemechaniki i łączności, w tym transmisji danych pomiarowych, </w:t>
      </w:r>
    </w:p>
    <w:p w14:paraId="457E6C27"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miejsce zainstalowania, parametry aparatury oraz warunki współpracy systemów sterowania dyspozytorskiego, </w:t>
      </w:r>
    </w:p>
    <w:p w14:paraId="1E07EBD6"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podział kompetencji w zakresie nadzoru dyspozytorskiego. </w:t>
      </w:r>
    </w:p>
    <w:p w14:paraId="30EF3826" w14:textId="521E06AF" w:rsidR="00473957" w:rsidRPr="00EB2E7B" w:rsidRDefault="0077111A" w:rsidP="0042197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Informacje, o których mowa w pkt.</w:t>
      </w:r>
      <w:r w:rsidR="00EA4699" w:rsidRPr="00EB2E7B">
        <w:rPr>
          <w:rFonts w:asciiTheme="minorHAnsi" w:hAnsiTheme="minorHAnsi" w:cstheme="minorHAnsi"/>
          <w:sz w:val="20"/>
          <w:szCs w:val="20"/>
        </w:rPr>
        <w:t xml:space="preserve"> </w:t>
      </w:r>
      <w:r w:rsidR="00116CF5" w:rsidRPr="00EB2E7B">
        <w:rPr>
          <w:rFonts w:asciiTheme="minorHAnsi" w:hAnsiTheme="minorHAnsi" w:cstheme="minorHAnsi"/>
          <w:sz w:val="20"/>
          <w:szCs w:val="20"/>
        </w:rPr>
        <w:fldChar w:fldCharType="begin"/>
      </w:r>
      <w:r w:rsidR="00116CF5" w:rsidRPr="00EB2E7B">
        <w:rPr>
          <w:rFonts w:asciiTheme="minorHAnsi" w:hAnsiTheme="minorHAnsi" w:cstheme="minorHAnsi"/>
          <w:sz w:val="20"/>
          <w:szCs w:val="20"/>
        </w:rPr>
        <w:instrText xml:space="preserve"> REF _Ref75428261 \r \h </w:instrText>
      </w:r>
      <w:r w:rsidR="00F01960" w:rsidRPr="00EB2E7B">
        <w:rPr>
          <w:rFonts w:asciiTheme="minorHAnsi" w:hAnsiTheme="minorHAnsi" w:cstheme="minorHAnsi"/>
          <w:sz w:val="20"/>
          <w:szCs w:val="20"/>
        </w:rPr>
        <w:instrText xml:space="preserve"> \* MERGEFORMAT </w:instrText>
      </w:r>
      <w:r w:rsidR="00116CF5" w:rsidRPr="00EB2E7B">
        <w:rPr>
          <w:rFonts w:asciiTheme="minorHAnsi" w:hAnsiTheme="minorHAnsi" w:cstheme="minorHAnsi"/>
          <w:sz w:val="20"/>
          <w:szCs w:val="20"/>
        </w:rPr>
      </w:r>
      <w:r w:rsidR="00116CF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II.2.2</w:t>
      </w:r>
      <w:r w:rsidR="00116CF5" w:rsidRPr="00EB2E7B">
        <w:rPr>
          <w:rFonts w:asciiTheme="minorHAnsi" w:hAnsiTheme="minorHAnsi" w:cstheme="minorHAnsi"/>
          <w:sz w:val="20"/>
          <w:szCs w:val="20"/>
        </w:rPr>
        <w:fldChar w:fldCharType="end"/>
      </w:r>
      <w:r w:rsidR="00116CF5" w:rsidRPr="00EB2E7B">
        <w:rPr>
          <w:rFonts w:asciiTheme="minorHAnsi" w:hAnsiTheme="minorHAnsi" w:cstheme="minorHAnsi"/>
          <w:sz w:val="20"/>
          <w:szCs w:val="20"/>
        </w:rPr>
        <w:t>.</w:t>
      </w:r>
      <w:r w:rsidR="00116CF5" w:rsidRPr="00EB2E7B">
        <w:rPr>
          <w:rFonts w:asciiTheme="minorHAnsi" w:hAnsiTheme="minorHAnsi" w:cstheme="minorHAnsi"/>
          <w:sz w:val="20"/>
          <w:szCs w:val="20"/>
        </w:rPr>
        <w:fldChar w:fldCharType="begin"/>
      </w:r>
      <w:r w:rsidR="00116CF5" w:rsidRPr="00EB2E7B">
        <w:rPr>
          <w:rFonts w:asciiTheme="minorHAnsi" w:hAnsiTheme="minorHAnsi" w:cstheme="minorHAnsi"/>
          <w:sz w:val="20"/>
          <w:szCs w:val="20"/>
        </w:rPr>
        <w:instrText xml:space="preserve"> REF _Ref75428242 \r \h </w:instrText>
      </w:r>
      <w:r w:rsidR="001D24E9" w:rsidRPr="00EB2E7B">
        <w:rPr>
          <w:rFonts w:asciiTheme="minorHAnsi" w:hAnsiTheme="minorHAnsi" w:cstheme="minorHAnsi"/>
          <w:sz w:val="20"/>
          <w:szCs w:val="20"/>
        </w:rPr>
        <w:instrText xml:space="preserve"> \* MERGEFORMAT </w:instrText>
      </w:r>
      <w:r w:rsidR="00116CF5" w:rsidRPr="00EB2E7B">
        <w:rPr>
          <w:rFonts w:asciiTheme="minorHAnsi" w:hAnsiTheme="minorHAnsi" w:cstheme="minorHAnsi"/>
          <w:sz w:val="20"/>
          <w:szCs w:val="20"/>
        </w:rPr>
      </w:r>
      <w:r w:rsidR="00116CF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w:t>
      </w:r>
      <w:r w:rsidR="00116CF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dotyczą w szczególności wpływu </w:t>
      </w:r>
      <w:r w:rsidR="00122DCE" w:rsidRPr="00EB2E7B">
        <w:rPr>
          <w:rFonts w:asciiTheme="minorHAnsi" w:hAnsiTheme="minorHAnsi" w:cstheme="minorHAnsi"/>
          <w:sz w:val="20"/>
          <w:szCs w:val="20"/>
        </w:rPr>
        <w:t>przyłączania nowych</w:t>
      </w:r>
      <w:r w:rsidR="0038717D" w:rsidRPr="00EB2E7B">
        <w:rPr>
          <w:rFonts w:asciiTheme="minorHAnsi" w:hAnsiTheme="minorHAnsi" w:cstheme="minorHAnsi"/>
          <w:sz w:val="20"/>
          <w:szCs w:val="20"/>
        </w:rPr>
        <w:t xml:space="preserve"> podmiotów do</w:t>
      </w:r>
      <w:r w:rsidR="00122DCE"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sieci lub zmiany warunków </w:t>
      </w:r>
      <w:r w:rsidR="00032193" w:rsidRPr="00EB2E7B">
        <w:rPr>
          <w:rFonts w:asciiTheme="minorHAnsi" w:hAnsiTheme="minorHAnsi" w:cstheme="minorHAnsi"/>
          <w:sz w:val="20"/>
          <w:szCs w:val="20"/>
        </w:rPr>
        <w:t xml:space="preserve">przyłączenia </w:t>
      </w:r>
      <w:r w:rsidRPr="00EB2E7B">
        <w:rPr>
          <w:rFonts w:asciiTheme="minorHAnsi" w:hAnsiTheme="minorHAnsi" w:cstheme="minorHAnsi"/>
          <w:sz w:val="20"/>
          <w:szCs w:val="20"/>
        </w:rPr>
        <w:t xml:space="preserve">na pracę sieci innych OSD. Związane to jest ze zmianą: </w:t>
      </w:r>
    </w:p>
    <w:p w14:paraId="6449E79D" w14:textId="77777777" w:rsidR="00473957" w:rsidRPr="00EB2E7B" w:rsidRDefault="0077111A" w:rsidP="001A3305">
      <w:pPr>
        <w:pStyle w:val="1przed"/>
        <w:numPr>
          <w:ilvl w:val="0"/>
          <w:numId w:val="23"/>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przepływów energii elektrycznej na transformatorach i liniach łączących sieci różnych operatorów, </w:t>
      </w:r>
    </w:p>
    <w:p w14:paraId="02475BC3"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poziomu mocy i prądów zwarciowych, </w:t>
      </w:r>
    </w:p>
    <w:p w14:paraId="069806A2"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pewności dostaw energii elektrycznej, </w:t>
      </w:r>
    </w:p>
    <w:p w14:paraId="11433093"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sposobu likwidacji przerw i zakłóceń w dostawie energii elektrycznej. </w:t>
      </w:r>
    </w:p>
    <w:p w14:paraId="59AB38F4" w14:textId="660F8F6C" w:rsidR="00AE2FCC" w:rsidRPr="00EB2E7B" w:rsidRDefault="0077111A" w:rsidP="00421971">
      <w:pPr>
        <w:pStyle w:val="Nagwek3"/>
        <w:ind w:left="1134" w:hanging="1134"/>
        <w:rPr>
          <w:rFonts w:asciiTheme="minorHAnsi" w:hAnsiTheme="minorHAnsi" w:cstheme="minorHAnsi"/>
          <w:sz w:val="20"/>
          <w:szCs w:val="20"/>
        </w:rPr>
      </w:pPr>
      <w:bookmarkStart w:id="113" w:name="_Ref75428427"/>
      <w:r w:rsidRPr="00EB2E7B">
        <w:rPr>
          <w:rFonts w:asciiTheme="minorHAnsi" w:hAnsiTheme="minorHAnsi" w:cstheme="minorHAnsi"/>
          <w:sz w:val="20"/>
          <w:szCs w:val="20"/>
        </w:rPr>
        <w:t>Określone w umowie, o której mowa w pkt.</w:t>
      </w:r>
      <w:r w:rsidR="00116CF5" w:rsidRPr="00EB2E7B">
        <w:rPr>
          <w:rFonts w:asciiTheme="minorHAnsi" w:hAnsiTheme="minorHAnsi" w:cstheme="minorHAnsi"/>
          <w:sz w:val="20"/>
          <w:szCs w:val="20"/>
        </w:rPr>
        <w:t xml:space="preserve"> </w:t>
      </w:r>
      <w:r w:rsidR="00116CF5" w:rsidRPr="00EB2E7B">
        <w:rPr>
          <w:rFonts w:asciiTheme="minorHAnsi" w:hAnsiTheme="minorHAnsi" w:cstheme="minorHAnsi"/>
          <w:sz w:val="20"/>
          <w:szCs w:val="20"/>
        </w:rPr>
        <w:fldChar w:fldCharType="begin"/>
      </w:r>
      <w:r w:rsidR="00116CF5" w:rsidRPr="00EB2E7B">
        <w:rPr>
          <w:rFonts w:asciiTheme="minorHAnsi" w:hAnsiTheme="minorHAnsi" w:cstheme="minorHAnsi"/>
          <w:sz w:val="20"/>
          <w:szCs w:val="20"/>
        </w:rPr>
        <w:instrText xml:space="preserve"> REF _Ref75427304 \r \h </w:instrText>
      </w:r>
      <w:r w:rsidR="00E36BFB" w:rsidRPr="00EB2E7B">
        <w:rPr>
          <w:rFonts w:asciiTheme="minorHAnsi" w:hAnsiTheme="minorHAnsi" w:cstheme="minorHAnsi"/>
          <w:sz w:val="20"/>
          <w:szCs w:val="20"/>
        </w:rPr>
        <w:instrText xml:space="preserve"> \* MERGEFORMAT </w:instrText>
      </w:r>
      <w:r w:rsidR="00116CF5" w:rsidRPr="00EB2E7B">
        <w:rPr>
          <w:rFonts w:asciiTheme="minorHAnsi" w:hAnsiTheme="minorHAnsi" w:cstheme="minorHAnsi"/>
          <w:sz w:val="20"/>
          <w:szCs w:val="20"/>
        </w:rPr>
      </w:r>
      <w:r w:rsidR="00116CF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II.2.1</w:t>
      </w:r>
      <w:r w:rsidR="00116CF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próby i odbiory częściowe oraz odbiór końcowy zrealizowanego </w:t>
      </w:r>
      <w:r w:rsidR="00032193" w:rsidRPr="00EB2E7B">
        <w:rPr>
          <w:rFonts w:asciiTheme="minorHAnsi" w:hAnsiTheme="minorHAnsi" w:cstheme="minorHAnsi"/>
          <w:sz w:val="20"/>
          <w:szCs w:val="20"/>
        </w:rPr>
        <w:t xml:space="preserve">przyłączenia </w:t>
      </w:r>
      <w:r w:rsidRPr="00EB2E7B">
        <w:rPr>
          <w:rFonts w:asciiTheme="minorHAnsi" w:hAnsiTheme="minorHAnsi" w:cstheme="minorHAnsi"/>
          <w:sz w:val="20"/>
          <w:szCs w:val="20"/>
        </w:rPr>
        <w:t>przeprowadzane są przy udziale upoważnionych przedstawicieli stron, które zawarły umowę.</w:t>
      </w:r>
      <w:bookmarkEnd w:id="113"/>
    </w:p>
    <w:p w14:paraId="18B4D720" w14:textId="19341798" w:rsidR="00473957" w:rsidRPr="00EB2E7B" w:rsidRDefault="00AE2FCC" w:rsidP="0042197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Wyniki prób i odbiorów, o których mowa w pkt.</w:t>
      </w:r>
      <w:r w:rsidR="00116CF5" w:rsidRPr="00EB2E7B">
        <w:rPr>
          <w:rFonts w:asciiTheme="minorHAnsi" w:hAnsiTheme="minorHAnsi" w:cstheme="minorHAnsi"/>
          <w:sz w:val="20"/>
          <w:szCs w:val="20"/>
        </w:rPr>
        <w:t xml:space="preserve"> </w:t>
      </w:r>
      <w:r w:rsidR="00116CF5" w:rsidRPr="00EB2E7B">
        <w:rPr>
          <w:rFonts w:asciiTheme="minorHAnsi" w:hAnsiTheme="minorHAnsi" w:cstheme="minorHAnsi"/>
          <w:sz w:val="20"/>
          <w:szCs w:val="20"/>
        </w:rPr>
        <w:fldChar w:fldCharType="begin"/>
      </w:r>
      <w:r w:rsidR="00116CF5" w:rsidRPr="00EB2E7B">
        <w:rPr>
          <w:rFonts w:asciiTheme="minorHAnsi" w:hAnsiTheme="minorHAnsi" w:cstheme="minorHAnsi"/>
          <w:sz w:val="20"/>
          <w:szCs w:val="20"/>
        </w:rPr>
        <w:instrText xml:space="preserve"> REF _Ref75428427 \r \h </w:instrText>
      </w:r>
      <w:r w:rsidR="00E36BFB" w:rsidRPr="00EB2E7B">
        <w:rPr>
          <w:rFonts w:asciiTheme="minorHAnsi" w:hAnsiTheme="minorHAnsi" w:cstheme="minorHAnsi"/>
          <w:sz w:val="20"/>
          <w:szCs w:val="20"/>
        </w:rPr>
        <w:instrText xml:space="preserve"> \* MERGEFORMAT </w:instrText>
      </w:r>
      <w:r w:rsidR="00116CF5" w:rsidRPr="00EB2E7B">
        <w:rPr>
          <w:rFonts w:asciiTheme="minorHAnsi" w:hAnsiTheme="minorHAnsi" w:cstheme="minorHAnsi"/>
          <w:sz w:val="20"/>
          <w:szCs w:val="20"/>
        </w:rPr>
      </w:r>
      <w:r w:rsidR="00116CF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II.2.5</w:t>
      </w:r>
      <w:r w:rsidR="00116CF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są potwierdzane przez strony w protokołach z przeprowadzenia prób i odbiorów</w:t>
      </w:r>
      <w:r w:rsidR="0077111A" w:rsidRPr="00EB2E7B">
        <w:rPr>
          <w:rFonts w:asciiTheme="minorHAnsi" w:hAnsiTheme="minorHAnsi" w:cstheme="minorHAnsi"/>
          <w:sz w:val="20"/>
          <w:szCs w:val="20"/>
        </w:rPr>
        <w:t xml:space="preserve">. </w:t>
      </w:r>
    </w:p>
    <w:p w14:paraId="6CADA6C3" w14:textId="77777777" w:rsidR="00473957" w:rsidRPr="00EB2E7B" w:rsidRDefault="0077111A">
      <w:pPr>
        <w:pStyle w:val="Nagwek2"/>
        <w:rPr>
          <w:rFonts w:asciiTheme="minorHAnsi" w:hAnsiTheme="minorHAnsi" w:cstheme="minorHAnsi"/>
          <w:bCs/>
          <w:sz w:val="20"/>
          <w:szCs w:val="20"/>
        </w:rPr>
      </w:pPr>
      <w:bookmarkStart w:id="114" w:name="_Toc180153719"/>
      <w:bookmarkStart w:id="115" w:name="_Toc239333312"/>
      <w:r w:rsidRPr="00EB2E7B">
        <w:rPr>
          <w:rFonts w:asciiTheme="minorHAnsi" w:hAnsiTheme="minorHAnsi" w:cstheme="minorHAnsi"/>
          <w:sz w:val="20"/>
          <w:szCs w:val="20"/>
        </w:rPr>
        <w:lastRenderedPageBreak/>
        <w:t>ZASADY ODŁĄCZANIA, WSTRZYMYWANIA ORAZ WZNOWIENIA</w:t>
      </w:r>
      <w:r w:rsidR="00802239" w:rsidRPr="00EB2E7B">
        <w:rPr>
          <w:rFonts w:asciiTheme="minorHAnsi" w:hAnsiTheme="minorHAnsi" w:cstheme="minorHAnsi"/>
          <w:sz w:val="20"/>
          <w:szCs w:val="20"/>
        </w:rPr>
        <w:t xml:space="preserve"> </w:t>
      </w:r>
      <w:r w:rsidRPr="00EB2E7B">
        <w:rPr>
          <w:rFonts w:asciiTheme="minorHAnsi" w:hAnsiTheme="minorHAnsi" w:cstheme="minorHAnsi"/>
          <w:sz w:val="20"/>
          <w:szCs w:val="20"/>
        </w:rPr>
        <w:t>DOSTARCZANIA ENERGII ELEKTRYCZNEJ</w:t>
      </w:r>
      <w:bookmarkEnd w:id="114"/>
      <w:bookmarkEnd w:id="115"/>
    </w:p>
    <w:p w14:paraId="5CE37342" w14:textId="77777777" w:rsidR="00473957" w:rsidRPr="00EB2E7B" w:rsidRDefault="0077111A" w:rsidP="00421971">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Zasady odłączania. </w:t>
      </w:r>
    </w:p>
    <w:p w14:paraId="1CC9A4E3" w14:textId="77777777" w:rsidR="00AE2FCC"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Zasady odłączania podmiotów od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określone w</w:t>
      </w:r>
      <w:r w:rsidR="00507146" w:rsidRPr="00EB2E7B">
        <w:rPr>
          <w:rFonts w:asciiTheme="minorHAnsi" w:hAnsiTheme="minorHAnsi" w:cstheme="minorHAnsi"/>
          <w:sz w:val="20"/>
          <w:szCs w:val="20"/>
        </w:rPr>
        <w:t> </w:t>
      </w:r>
      <w:r w:rsidRPr="00EB2E7B">
        <w:rPr>
          <w:rFonts w:asciiTheme="minorHAnsi" w:hAnsiTheme="minorHAnsi" w:cstheme="minorHAnsi"/>
          <w:sz w:val="20"/>
          <w:szCs w:val="20"/>
        </w:rPr>
        <w:t xml:space="preserve">niniejszym rozdziale obowiązują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sprzedawców oraz podmioty odłączane.</w:t>
      </w:r>
    </w:p>
    <w:p w14:paraId="7EC7603E" w14:textId="77777777" w:rsidR="00473957"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może odłączyć podmioty od sieci dystrybucyjnej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 przypadku: </w:t>
      </w:r>
    </w:p>
    <w:p w14:paraId="41C42B2D" w14:textId="77777777" w:rsidR="00473957" w:rsidRPr="00EB2E7B" w:rsidRDefault="0077111A" w:rsidP="00421971">
      <w:pPr>
        <w:pStyle w:val="aprzed"/>
        <w:numPr>
          <w:ilvl w:val="0"/>
          <w:numId w:val="2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złożenia przez podmiot wniosku o odłączenie od sieci dystrybucyjnej, </w:t>
      </w:r>
    </w:p>
    <w:p w14:paraId="1DB9328B" w14:textId="77777777" w:rsidR="00473957" w:rsidRPr="00EB2E7B" w:rsidRDefault="0077111A" w:rsidP="00421971">
      <w:pPr>
        <w:pStyle w:val="aprzed"/>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rozwiązania lub wygaśnięcia umowy o świadczenie usług dystrybucji lub umowy kompleksowej. </w:t>
      </w:r>
    </w:p>
    <w:p w14:paraId="64D4C620"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Wniosek o odłączenie od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składany przez podmiot zawiera w szczególności: </w:t>
      </w:r>
    </w:p>
    <w:p w14:paraId="51C1AC57" w14:textId="77777777" w:rsidR="00AE2FCC" w:rsidRPr="00EB2E7B" w:rsidRDefault="0077111A" w:rsidP="001A3305">
      <w:pPr>
        <w:pStyle w:val="aprzed"/>
        <w:numPr>
          <w:ilvl w:val="0"/>
          <w:numId w:val="25"/>
        </w:numPr>
        <w:ind w:left="1701" w:hanging="566"/>
        <w:rPr>
          <w:rFonts w:asciiTheme="minorHAnsi" w:hAnsiTheme="minorHAnsi" w:cstheme="minorHAnsi"/>
          <w:sz w:val="20"/>
          <w:szCs w:val="20"/>
        </w:rPr>
      </w:pPr>
      <w:r w:rsidRPr="00EB2E7B">
        <w:rPr>
          <w:rFonts w:asciiTheme="minorHAnsi" w:hAnsiTheme="minorHAnsi" w:cstheme="minorHAnsi"/>
          <w:sz w:val="20"/>
          <w:szCs w:val="20"/>
        </w:rPr>
        <w:t>miejsce przyłączenia urządzeń, instalacji lub sieci, których dotyczy odłączenie,</w:t>
      </w:r>
    </w:p>
    <w:p w14:paraId="0DFD62F8" w14:textId="77777777" w:rsidR="00473957" w:rsidRPr="00EB2E7B" w:rsidRDefault="0077111A" w:rsidP="001A3305">
      <w:pPr>
        <w:pStyle w:val="aprzed"/>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przyczynę odłączenia, </w:t>
      </w:r>
    </w:p>
    <w:p w14:paraId="4CCA8402" w14:textId="77777777" w:rsidR="00473957" w:rsidRPr="00EB2E7B" w:rsidRDefault="0077111A" w:rsidP="001A3305">
      <w:pPr>
        <w:pStyle w:val="aprzed"/>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proponowany termin odłączenia. </w:t>
      </w:r>
    </w:p>
    <w:p w14:paraId="1037183F" w14:textId="6C5BDE3B" w:rsidR="00473957"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ustala termin odłączenia podmiotu od sieci dystrybucyjnej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uwzględniający techniczne możliwości realizacji procesu odłączenia podmiotu. Odłączany podmiot jest zawiadamiany przez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o dacie odłączenia, w</w:t>
      </w:r>
      <w:r w:rsidR="00507146"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terminie nie krótszym niż 14 dni kalendarzowych od daty planowanego odłączenia. W ww. zawiadomieniu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informuje podmiot o zasadach ponownego przyłączenia do sieci o których mowa w pkt. </w:t>
      </w:r>
      <w:r w:rsidR="00116CF5" w:rsidRPr="00EB2E7B">
        <w:rPr>
          <w:rFonts w:asciiTheme="minorHAnsi" w:hAnsiTheme="minorHAnsi" w:cstheme="minorHAnsi"/>
          <w:sz w:val="20"/>
          <w:szCs w:val="20"/>
        </w:rPr>
        <w:fldChar w:fldCharType="begin"/>
      </w:r>
      <w:r w:rsidR="00116CF5" w:rsidRPr="00EB2E7B">
        <w:rPr>
          <w:rFonts w:asciiTheme="minorHAnsi" w:hAnsiTheme="minorHAnsi" w:cstheme="minorHAnsi"/>
          <w:sz w:val="20"/>
          <w:szCs w:val="20"/>
        </w:rPr>
        <w:instrText xml:space="preserve"> REF _Ref75428716 \r \h </w:instrText>
      </w:r>
      <w:r w:rsidR="003A499E" w:rsidRPr="00EB2E7B">
        <w:rPr>
          <w:rFonts w:asciiTheme="minorHAnsi" w:hAnsiTheme="minorHAnsi" w:cstheme="minorHAnsi"/>
          <w:sz w:val="20"/>
          <w:szCs w:val="20"/>
        </w:rPr>
        <w:instrText xml:space="preserve"> \* MERGEFORMAT </w:instrText>
      </w:r>
      <w:r w:rsidR="00116CF5" w:rsidRPr="00EB2E7B">
        <w:rPr>
          <w:rFonts w:asciiTheme="minorHAnsi" w:hAnsiTheme="minorHAnsi" w:cstheme="minorHAnsi"/>
          <w:sz w:val="20"/>
          <w:szCs w:val="20"/>
        </w:rPr>
      </w:r>
      <w:r w:rsidR="00116CF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II.3.1.9</w:t>
      </w:r>
      <w:r w:rsidR="00116CF5"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t>
      </w:r>
    </w:p>
    <w:p w14:paraId="2CA9E25C" w14:textId="77777777" w:rsidR="00C21BF2"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dokonuje zmian w układzie sieci dystrybucyjnej umożliwiających odłączenie podmiotu od sieci. Podmiot odłączany od sieci dystrybucyjnej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uzgadnia z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tryb, terminy oraz warunki niezbędnej przebudowy lub likwidacji majątku sieciowego będącego własnością podmiotu, wynikające z</w:t>
      </w:r>
      <w:r w:rsidR="00507146" w:rsidRPr="00EB2E7B">
        <w:rPr>
          <w:rFonts w:asciiTheme="minorHAnsi" w:hAnsiTheme="minorHAnsi" w:cstheme="minorHAnsi"/>
          <w:sz w:val="20"/>
          <w:szCs w:val="20"/>
        </w:rPr>
        <w:t> </w:t>
      </w:r>
      <w:r w:rsidR="0077111A" w:rsidRPr="00EB2E7B">
        <w:rPr>
          <w:rFonts w:asciiTheme="minorHAnsi" w:hAnsiTheme="minorHAnsi" w:cstheme="minorHAnsi"/>
          <w:sz w:val="20"/>
          <w:szCs w:val="20"/>
        </w:rPr>
        <w:t>odłączenia od sieci dystrybucyjnej.</w:t>
      </w:r>
    </w:p>
    <w:p w14:paraId="0C5DA31D" w14:textId="3F1007C7" w:rsidR="00473957"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uzgadnia z</w:t>
      </w:r>
      <w:r w:rsidR="002900E2" w:rsidRPr="00EB2E7B">
        <w:rPr>
          <w:rFonts w:asciiTheme="minorHAnsi" w:hAnsiTheme="minorHAnsi" w:cstheme="minorHAnsi"/>
          <w:sz w:val="20"/>
          <w:szCs w:val="20"/>
        </w:rPr>
        <w:t xml:space="preserve"> operatorem systemu przesyłowego za pośrednictwem </w:t>
      </w:r>
      <w:proofErr w:type="spellStart"/>
      <w:r w:rsidR="002900E2" w:rsidRPr="00EB2E7B">
        <w:rPr>
          <w:rFonts w:asciiTheme="minorHAnsi" w:hAnsiTheme="minorHAnsi" w:cstheme="minorHAnsi"/>
          <w:sz w:val="20"/>
          <w:szCs w:val="20"/>
        </w:rPr>
        <w:t>OSDp</w:t>
      </w:r>
      <w:proofErr w:type="spellEnd"/>
      <w:r w:rsidR="002900E2" w:rsidRPr="00EB2E7B">
        <w:rPr>
          <w:rFonts w:asciiTheme="minorHAnsi" w:hAnsiTheme="minorHAnsi" w:cstheme="minorHAnsi"/>
          <w:sz w:val="20"/>
          <w:szCs w:val="20"/>
        </w:rPr>
        <w:t xml:space="preserve"> i</w:t>
      </w:r>
      <w:r w:rsidR="0077111A" w:rsidRPr="00EB2E7B">
        <w:rPr>
          <w:rFonts w:asciiTheme="minorHAnsi" w:hAnsiTheme="minorHAnsi" w:cstheme="minorHAnsi"/>
          <w:sz w:val="20"/>
          <w:szCs w:val="20"/>
        </w:rPr>
        <w:t xml:space="preserve"> sąsiednimi OSD tryb odłączenia podmiotu, w zakresie w jakim odłączenie podmiotu od sieci dystrybucyjnej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ma wpływ na warunki pracy sieci innych operatorów. </w:t>
      </w:r>
    </w:p>
    <w:p w14:paraId="77766451" w14:textId="3847F07F" w:rsidR="007A4168" w:rsidRPr="00EB2E7B" w:rsidRDefault="00ED2602"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 uzgadnia z OSP</w:t>
      </w:r>
      <w:r w:rsidR="00F479B4" w:rsidRPr="00EB2E7B">
        <w:rPr>
          <w:rFonts w:asciiTheme="minorHAnsi" w:hAnsiTheme="minorHAnsi" w:cstheme="minorHAnsi"/>
          <w:sz w:val="20"/>
          <w:szCs w:val="20"/>
        </w:rPr>
        <w:t xml:space="preserve"> za pośrednictwem </w:t>
      </w:r>
      <w:proofErr w:type="spellStart"/>
      <w:r w:rsidR="00F479B4"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odłączenie podmiotów, o których mowa w pkt</w:t>
      </w:r>
      <w:r w:rsidR="004A0599" w:rsidRPr="00EB2E7B">
        <w:rPr>
          <w:rFonts w:asciiTheme="minorHAnsi" w:hAnsiTheme="minorHAnsi" w:cstheme="minorHAnsi"/>
          <w:sz w:val="20"/>
          <w:szCs w:val="20"/>
        </w:rPr>
        <w:t xml:space="preserve"> </w:t>
      </w:r>
      <w:r w:rsidR="004A0599" w:rsidRPr="00EB2E7B">
        <w:rPr>
          <w:rFonts w:asciiTheme="minorHAnsi" w:hAnsiTheme="minorHAnsi" w:cstheme="minorHAnsi"/>
          <w:sz w:val="20"/>
          <w:szCs w:val="20"/>
        </w:rPr>
        <w:fldChar w:fldCharType="begin"/>
      </w:r>
      <w:r w:rsidR="004A0599" w:rsidRPr="00EB2E7B">
        <w:rPr>
          <w:rFonts w:asciiTheme="minorHAnsi" w:hAnsiTheme="minorHAnsi" w:cstheme="minorHAnsi"/>
          <w:sz w:val="20"/>
          <w:szCs w:val="20"/>
        </w:rPr>
        <w:instrText xml:space="preserve"> REF _Ref99051736 \w \h  \* MERGEFORMAT </w:instrText>
      </w:r>
      <w:r w:rsidR="004A0599" w:rsidRPr="00EB2E7B">
        <w:rPr>
          <w:rFonts w:asciiTheme="minorHAnsi" w:hAnsiTheme="minorHAnsi" w:cstheme="minorHAnsi"/>
          <w:sz w:val="20"/>
          <w:szCs w:val="20"/>
        </w:rPr>
      </w:r>
      <w:r w:rsidR="004A059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II.1.15</w:t>
      </w:r>
      <w:r w:rsidR="004A0599"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7F475225" w14:textId="6E17334F"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 uzasadnionych przypadkach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sporządz</w:t>
      </w:r>
      <w:r w:rsidR="00934367" w:rsidRPr="00EB2E7B">
        <w:rPr>
          <w:rFonts w:asciiTheme="minorHAnsi" w:hAnsiTheme="minorHAnsi" w:cstheme="minorHAnsi"/>
          <w:sz w:val="20"/>
          <w:szCs w:val="20"/>
        </w:rPr>
        <w:t>a</w:t>
      </w:r>
      <w:r w:rsidRPr="00EB2E7B">
        <w:rPr>
          <w:rFonts w:asciiTheme="minorHAnsi" w:hAnsiTheme="minorHAnsi" w:cstheme="minorHAnsi"/>
          <w:sz w:val="20"/>
          <w:szCs w:val="20"/>
        </w:rPr>
        <w:t xml:space="preserve"> zgłoszenie obiektu elektroenergetycznego do odłączenia od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określające w szczególności: </w:t>
      </w:r>
    </w:p>
    <w:p w14:paraId="6E2741A3" w14:textId="77777777" w:rsidR="00473957" w:rsidRPr="00EB2E7B" w:rsidRDefault="0077111A" w:rsidP="004543AB">
      <w:pPr>
        <w:pStyle w:val="aprzed"/>
        <w:numPr>
          <w:ilvl w:val="0"/>
          <w:numId w:val="26"/>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miejsce przyłączenia urządzeń, instalacji lub sieci podmiotu, których dotyczy odłączenie, </w:t>
      </w:r>
    </w:p>
    <w:p w14:paraId="730DEF24" w14:textId="108AD334" w:rsidR="00473957" w:rsidRPr="00EB2E7B" w:rsidRDefault="0077111A" w:rsidP="0039251F">
      <w:pPr>
        <w:pStyle w:val="aprzed"/>
        <w:numPr>
          <w:ilvl w:val="0"/>
          <w:numId w:val="26"/>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termin odłączenia, </w:t>
      </w:r>
    </w:p>
    <w:p w14:paraId="789C2BB0" w14:textId="4975AFF4" w:rsidR="00473957" w:rsidRPr="00EB2E7B" w:rsidRDefault="0077111A" w:rsidP="0039251F">
      <w:pPr>
        <w:pStyle w:val="aprzed"/>
        <w:numPr>
          <w:ilvl w:val="0"/>
          <w:numId w:val="26"/>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dane osoby odpowiedzialnej ze strony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za prawidłowe odłączenie podmiotu, </w:t>
      </w:r>
    </w:p>
    <w:p w14:paraId="3987B8B6" w14:textId="11C291F2" w:rsidR="000D139D" w:rsidRPr="00EB2E7B" w:rsidRDefault="003F3DC6" w:rsidP="0039251F">
      <w:pPr>
        <w:pStyle w:val="aprzed"/>
        <w:numPr>
          <w:ilvl w:val="0"/>
          <w:numId w:val="26"/>
        </w:numPr>
        <w:ind w:left="1701" w:hanging="566"/>
        <w:rPr>
          <w:rFonts w:asciiTheme="minorHAnsi" w:hAnsiTheme="minorHAnsi" w:cstheme="minorHAnsi"/>
          <w:sz w:val="20"/>
          <w:szCs w:val="20"/>
        </w:rPr>
      </w:pPr>
      <w:r w:rsidRPr="00EB2E7B">
        <w:rPr>
          <w:rFonts w:asciiTheme="minorHAnsi" w:hAnsiTheme="minorHAnsi" w:cstheme="minorHAnsi"/>
          <w:sz w:val="20"/>
          <w:szCs w:val="20"/>
        </w:rPr>
        <w:t>sposób odłączenia urządzeń, instalacji lub sieci podmiotu, obejmujący: zakres prac niezbędnych do wykonania przed odłączeniem podmiotu, położenie łączników niezbędnych do wykonania planowanego odłączenia podmiotu oraz harmonogram czynności łączeniowych w poszczególnych stacjach elektroenergetycznych,</w:t>
      </w:r>
    </w:p>
    <w:p w14:paraId="3CA2A3EF" w14:textId="34674797" w:rsidR="003F3DC6" w:rsidRPr="00EB2E7B" w:rsidRDefault="003F3DC6" w:rsidP="0039251F">
      <w:pPr>
        <w:pStyle w:val="aprzed"/>
        <w:numPr>
          <w:ilvl w:val="0"/>
          <w:numId w:val="26"/>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aktualny schemat sieci dystrybucyjnej obejmujący stacje elektroenergetyczne oraz linie, w otoczeniu urządzeń, instalacji i sieci odłączanego podmiotu.</w:t>
      </w:r>
    </w:p>
    <w:p w14:paraId="44BF3CB4" w14:textId="26EA7297" w:rsidR="00473957" w:rsidRPr="00EB2E7B" w:rsidRDefault="0077111A" w:rsidP="009A432E">
      <w:pPr>
        <w:pStyle w:val="Nagwek4"/>
        <w:rPr>
          <w:rFonts w:asciiTheme="minorHAnsi" w:hAnsiTheme="minorHAnsi" w:cstheme="minorHAnsi"/>
          <w:sz w:val="20"/>
          <w:szCs w:val="20"/>
        </w:rPr>
      </w:pPr>
      <w:bookmarkStart w:id="116" w:name="_Ref75428716"/>
      <w:r w:rsidRPr="00EB2E7B">
        <w:rPr>
          <w:rFonts w:asciiTheme="minorHAnsi" w:hAnsiTheme="minorHAnsi" w:cstheme="minorHAnsi"/>
          <w:sz w:val="20"/>
          <w:szCs w:val="20"/>
        </w:rPr>
        <w:t xml:space="preserve">Ponowne przyłączenie podmiotu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odbywa się na zasadach określonych w pkt.</w:t>
      </w:r>
      <w:r w:rsidR="00116CF5" w:rsidRPr="00EB2E7B">
        <w:rPr>
          <w:rFonts w:asciiTheme="minorHAnsi" w:hAnsiTheme="minorHAnsi" w:cstheme="minorHAnsi"/>
          <w:sz w:val="20"/>
          <w:szCs w:val="20"/>
        </w:rPr>
        <w:t xml:space="preserve"> </w:t>
      </w:r>
      <w:r w:rsidR="00116CF5" w:rsidRPr="00EB2E7B">
        <w:rPr>
          <w:rFonts w:asciiTheme="minorHAnsi" w:hAnsiTheme="minorHAnsi" w:cstheme="minorHAnsi"/>
          <w:sz w:val="20"/>
          <w:szCs w:val="20"/>
        </w:rPr>
        <w:fldChar w:fldCharType="begin"/>
      </w:r>
      <w:r w:rsidR="00116CF5" w:rsidRPr="00EB2E7B">
        <w:rPr>
          <w:rFonts w:asciiTheme="minorHAnsi" w:hAnsiTheme="minorHAnsi" w:cstheme="minorHAnsi"/>
          <w:sz w:val="20"/>
          <w:szCs w:val="20"/>
        </w:rPr>
        <w:instrText xml:space="preserve"> REF _Ref75428874 \r \h </w:instrText>
      </w:r>
      <w:r w:rsidR="00D95AA2" w:rsidRPr="00EB2E7B">
        <w:rPr>
          <w:rFonts w:asciiTheme="minorHAnsi" w:hAnsiTheme="minorHAnsi" w:cstheme="minorHAnsi"/>
          <w:sz w:val="20"/>
          <w:szCs w:val="20"/>
        </w:rPr>
        <w:instrText xml:space="preserve"> \* MERGEFORMAT </w:instrText>
      </w:r>
      <w:r w:rsidR="00116CF5" w:rsidRPr="00EB2E7B">
        <w:rPr>
          <w:rFonts w:asciiTheme="minorHAnsi" w:hAnsiTheme="minorHAnsi" w:cstheme="minorHAnsi"/>
          <w:sz w:val="20"/>
          <w:szCs w:val="20"/>
        </w:rPr>
      </w:r>
      <w:r w:rsidR="00116CF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w:t>
      </w:r>
      <w:r w:rsidR="00116CF5"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116"/>
      <w:r w:rsidRPr="00EB2E7B">
        <w:rPr>
          <w:rFonts w:asciiTheme="minorHAnsi" w:hAnsiTheme="minorHAnsi" w:cstheme="minorHAnsi"/>
          <w:sz w:val="20"/>
          <w:szCs w:val="20"/>
        </w:rPr>
        <w:t xml:space="preserve"> </w:t>
      </w:r>
    </w:p>
    <w:p w14:paraId="77889D94" w14:textId="77777777" w:rsidR="00473957" w:rsidRPr="00EB2E7B" w:rsidRDefault="0077111A" w:rsidP="004543AB">
      <w:pPr>
        <w:pStyle w:val="Nagwek3gruby"/>
        <w:ind w:left="1134" w:hanging="1134"/>
        <w:rPr>
          <w:rFonts w:asciiTheme="minorHAnsi" w:hAnsiTheme="minorHAnsi" w:cstheme="minorHAnsi"/>
          <w:sz w:val="20"/>
          <w:szCs w:val="20"/>
        </w:rPr>
      </w:pPr>
      <w:bookmarkStart w:id="117" w:name="_Ref75432798"/>
      <w:r w:rsidRPr="00EB2E7B">
        <w:rPr>
          <w:rFonts w:asciiTheme="minorHAnsi" w:hAnsiTheme="minorHAnsi" w:cstheme="minorHAnsi"/>
          <w:sz w:val="20"/>
          <w:szCs w:val="20"/>
        </w:rPr>
        <w:t>Zasady wstrzymywania oraz wznowienia dostarczania energii elektrycznej.</w:t>
      </w:r>
      <w:bookmarkEnd w:id="117"/>
      <w:r w:rsidRPr="00EB2E7B">
        <w:rPr>
          <w:rFonts w:asciiTheme="minorHAnsi" w:hAnsiTheme="minorHAnsi" w:cstheme="minorHAnsi"/>
          <w:sz w:val="20"/>
          <w:szCs w:val="20"/>
        </w:rPr>
        <w:t xml:space="preserve"> </w:t>
      </w:r>
    </w:p>
    <w:p w14:paraId="4F122EF3" w14:textId="3D9B78B2" w:rsidR="00473957" w:rsidRPr="00EB2E7B" w:rsidRDefault="00232DA9" w:rsidP="009A432E">
      <w:pPr>
        <w:pStyle w:val="Nagwek4"/>
        <w:rPr>
          <w:rFonts w:asciiTheme="minorHAnsi" w:hAnsiTheme="minorHAnsi" w:cstheme="minorHAnsi"/>
          <w:sz w:val="20"/>
          <w:szCs w:val="20"/>
        </w:rPr>
      </w:pPr>
      <w:bookmarkStart w:id="118" w:name="_Ref75429038"/>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może wstrzymać dostarczanie energii elektrycznej podmiotom przyłączonym do sieci dystrybucyjnej </w:t>
      </w:r>
      <w:r w:rsidRPr="00EB2E7B">
        <w:rPr>
          <w:rFonts w:asciiTheme="minorHAnsi" w:hAnsiTheme="minorHAnsi" w:cstheme="minorHAnsi"/>
          <w:sz w:val="20"/>
          <w:szCs w:val="20"/>
        </w:rPr>
        <w:t>ACPRO</w:t>
      </w:r>
      <w:bookmarkEnd w:id="118"/>
      <w:r w:rsidR="0077111A" w:rsidRPr="00EB2E7B">
        <w:rPr>
          <w:rFonts w:asciiTheme="minorHAnsi" w:hAnsiTheme="minorHAnsi" w:cstheme="minorHAnsi"/>
          <w:sz w:val="20"/>
          <w:szCs w:val="20"/>
        </w:rPr>
        <w:t xml:space="preserve">, jeżeli: </w:t>
      </w:r>
    </w:p>
    <w:p w14:paraId="07A0079B" w14:textId="7F2BE882" w:rsidR="00473957" w:rsidRPr="00EB2E7B" w:rsidRDefault="0077111A" w:rsidP="004543AB">
      <w:pPr>
        <w:pStyle w:val="aprzed"/>
        <w:numPr>
          <w:ilvl w:val="0"/>
          <w:numId w:val="27"/>
        </w:numPr>
        <w:ind w:left="1701" w:hanging="566"/>
        <w:rPr>
          <w:rFonts w:asciiTheme="minorHAnsi" w:hAnsiTheme="minorHAnsi" w:cstheme="minorHAnsi"/>
          <w:sz w:val="20"/>
          <w:szCs w:val="20"/>
        </w:rPr>
      </w:pPr>
      <w:bookmarkStart w:id="119" w:name="_Ref75429157"/>
      <w:r w:rsidRPr="00EB2E7B">
        <w:rPr>
          <w:rFonts w:asciiTheme="minorHAnsi" w:hAnsiTheme="minorHAnsi" w:cstheme="minorHAnsi"/>
          <w:sz w:val="20"/>
          <w:szCs w:val="20"/>
        </w:rPr>
        <w:t>odbiorca nie wyraził zgody na zainstalowanie przedpłatowego układu pomiarowo-rozliczeniowego w przypadkach określonych w Ustawie,</w:t>
      </w:r>
      <w:bookmarkEnd w:id="119"/>
      <w:r w:rsidRPr="00EB2E7B">
        <w:rPr>
          <w:rFonts w:asciiTheme="minorHAnsi" w:hAnsiTheme="minorHAnsi" w:cstheme="minorHAnsi"/>
          <w:sz w:val="20"/>
          <w:szCs w:val="20"/>
        </w:rPr>
        <w:t xml:space="preserve"> </w:t>
      </w:r>
    </w:p>
    <w:p w14:paraId="4688D8D5" w14:textId="0F56C44C" w:rsidR="004543AB" w:rsidRPr="00EB2E7B" w:rsidRDefault="00960A6E" w:rsidP="007B6DB4">
      <w:pPr>
        <w:pStyle w:val="Akapitzlist"/>
        <w:numPr>
          <w:ilvl w:val="0"/>
          <w:numId w:val="2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 wyniku przeprowadzonej kontroli,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_Ref183613135 \w \h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II.1.30</w:t>
      </w:r>
      <w:r w:rsidRPr="00EB2E7B">
        <w:rPr>
          <w:rFonts w:asciiTheme="minorHAnsi" w:hAnsiTheme="minorHAnsi" w:cstheme="minorHAnsi"/>
          <w:sz w:val="20"/>
          <w:szCs w:val="20"/>
        </w:rPr>
        <w:fldChar w:fldCharType="end"/>
      </w:r>
      <w:r w:rsidR="00B91DA8" w:rsidRPr="00EB2E7B">
        <w:rPr>
          <w:rFonts w:asciiTheme="minorHAnsi" w:hAnsiTheme="minorHAnsi" w:cstheme="minorHAnsi"/>
          <w:sz w:val="20"/>
          <w:szCs w:val="20"/>
        </w:rPr>
        <w:t>,</w:t>
      </w:r>
      <w:r w:rsidRPr="00EB2E7B">
        <w:rPr>
          <w:rFonts w:asciiTheme="minorHAnsi" w:hAnsiTheme="minorHAnsi" w:cstheme="minorHAnsi"/>
          <w:sz w:val="20"/>
          <w:szCs w:val="20"/>
        </w:rPr>
        <w:t xml:space="preserve"> ACPRO stwierdzi</w:t>
      </w:r>
      <w:r w:rsidR="00EC0577" w:rsidRPr="00EB2E7B">
        <w:rPr>
          <w:rFonts w:asciiTheme="minorHAnsi" w:hAnsiTheme="minorHAnsi" w:cstheme="minorHAnsi"/>
          <w:sz w:val="20"/>
          <w:szCs w:val="20"/>
        </w:rPr>
        <w:t>, że</w:t>
      </w:r>
      <w:r w:rsidRPr="00EB2E7B" w:rsidDel="00703680">
        <w:rPr>
          <w:rFonts w:asciiTheme="minorHAnsi" w:hAnsiTheme="minorHAnsi" w:cstheme="minorHAnsi"/>
          <w:sz w:val="20"/>
          <w:szCs w:val="20"/>
        </w:rPr>
        <w:t xml:space="preserve"> </w:t>
      </w:r>
      <w:r w:rsidR="004543AB" w:rsidRPr="00EB2E7B">
        <w:rPr>
          <w:rFonts w:asciiTheme="minorHAnsi" w:hAnsiTheme="minorHAnsi" w:cstheme="minorHAnsi"/>
          <w:sz w:val="20"/>
          <w:szCs w:val="20"/>
        </w:rPr>
        <w:t xml:space="preserve">nastąpiło nielegalne pobieranie energii elektrycznej, </w:t>
      </w:r>
    </w:p>
    <w:p w14:paraId="0A97AA16" w14:textId="38517393" w:rsidR="004543AB" w:rsidRPr="00EB2E7B" w:rsidRDefault="007B6DB4" w:rsidP="004543AB">
      <w:pPr>
        <w:pStyle w:val="aprzed"/>
        <w:numPr>
          <w:ilvl w:val="0"/>
          <w:numId w:val="27"/>
        </w:numPr>
        <w:ind w:left="1701" w:hanging="566"/>
        <w:rPr>
          <w:rFonts w:asciiTheme="minorHAnsi" w:hAnsiTheme="minorHAnsi" w:cstheme="minorHAnsi"/>
          <w:sz w:val="20"/>
          <w:szCs w:val="20"/>
        </w:rPr>
      </w:pPr>
      <w:bookmarkStart w:id="120" w:name="_Ref183614792"/>
      <w:r w:rsidRPr="00EB2E7B">
        <w:rPr>
          <w:rFonts w:asciiTheme="minorHAnsi" w:hAnsiTheme="minorHAnsi" w:cstheme="minorHAnsi"/>
          <w:sz w:val="20"/>
          <w:szCs w:val="20"/>
        </w:rPr>
        <w:t>odbiorca zwleka z zapłatą za świadczone usługi, co najmniej przez okres 30 dni kalendarzowych po upływie terminu płatności</w:t>
      </w:r>
      <w:r w:rsidR="00484CC5" w:rsidRPr="00EB2E7B">
        <w:rPr>
          <w:rFonts w:asciiTheme="minorHAnsi" w:hAnsiTheme="minorHAnsi" w:cstheme="minorHAnsi"/>
          <w:sz w:val="20"/>
          <w:szCs w:val="20"/>
        </w:rPr>
        <w:t>,</w:t>
      </w:r>
      <w:bookmarkEnd w:id="120"/>
    </w:p>
    <w:p w14:paraId="530D7B60" w14:textId="5A569073" w:rsidR="00484CC5" w:rsidRPr="00EB2E7B" w:rsidRDefault="00EC0577" w:rsidP="00484CC5">
      <w:pPr>
        <w:pStyle w:val="aprzed"/>
        <w:numPr>
          <w:ilvl w:val="0"/>
          <w:numId w:val="2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 wyniku przeprowadzonej kontroli,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_Ref183613135 \w \h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II.1.30</w:t>
      </w:r>
      <w:r w:rsidRPr="00EB2E7B">
        <w:rPr>
          <w:rFonts w:asciiTheme="minorHAnsi" w:hAnsiTheme="minorHAnsi" w:cstheme="minorHAnsi"/>
          <w:sz w:val="20"/>
          <w:szCs w:val="20"/>
        </w:rPr>
        <w:fldChar w:fldCharType="end"/>
      </w:r>
      <w:r w:rsidR="00B91DA8" w:rsidRPr="00EB2E7B">
        <w:rPr>
          <w:rFonts w:asciiTheme="minorHAnsi" w:hAnsiTheme="minorHAnsi" w:cstheme="minorHAnsi"/>
          <w:sz w:val="20"/>
          <w:szCs w:val="20"/>
        </w:rPr>
        <w:t>,</w:t>
      </w:r>
      <w:r w:rsidRPr="00EB2E7B">
        <w:rPr>
          <w:rFonts w:asciiTheme="minorHAnsi" w:hAnsiTheme="minorHAnsi" w:cstheme="minorHAnsi"/>
          <w:sz w:val="20"/>
          <w:szCs w:val="20"/>
        </w:rPr>
        <w:t xml:space="preserve"> ACPRO stwierdzi, że</w:t>
      </w:r>
      <w:r w:rsidRPr="00EB2E7B" w:rsidDel="00703680">
        <w:rPr>
          <w:rFonts w:asciiTheme="minorHAnsi" w:hAnsiTheme="minorHAnsi" w:cstheme="minorHAnsi"/>
          <w:sz w:val="20"/>
          <w:szCs w:val="20"/>
        </w:rPr>
        <w:t xml:space="preserve"> </w:t>
      </w:r>
      <w:r w:rsidR="00484CC5" w:rsidRPr="00EB2E7B">
        <w:rPr>
          <w:rFonts w:asciiTheme="minorHAnsi" w:hAnsiTheme="minorHAnsi" w:cstheme="minorHAnsi"/>
          <w:sz w:val="20"/>
          <w:szCs w:val="20"/>
        </w:rPr>
        <w:t>instalacja znajdująca się u odbiorcy stwarza bezpośredni zagrożenie dla życia, zdrowia albo środowiska</w:t>
      </w:r>
      <w:r w:rsidR="00297242" w:rsidRPr="00EB2E7B">
        <w:rPr>
          <w:rFonts w:asciiTheme="minorHAnsi" w:hAnsiTheme="minorHAnsi" w:cstheme="minorHAnsi"/>
          <w:sz w:val="20"/>
          <w:szCs w:val="20"/>
        </w:rPr>
        <w:t>.</w:t>
      </w:r>
    </w:p>
    <w:p w14:paraId="5816F2AF" w14:textId="67BC784C" w:rsidR="00473957" w:rsidRPr="00EB2E7B" w:rsidRDefault="00232DA9" w:rsidP="009A432E">
      <w:pPr>
        <w:pStyle w:val="Nagwek4"/>
        <w:rPr>
          <w:rFonts w:asciiTheme="minorHAnsi" w:hAnsiTheme="minorHAnsi" w:cstheme="minorHAnsi"/>
          <w:sz w:val="20"/>
          <w:szCs w:val="20"/>
        </w:rPr>
      </w:pPr>
      <w:bookmarkStart w:id="121" w:name="_Ref75429040"/>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r w:rsidR="0077111A" w:rsidRPr="00EB2E7B" w:rsidDel="00BA4316">
        <w:rPr>
          <w:rFonts w:asciiTheme="minorHAnsi" w:hAnsiTheme="minorHAnsi" w:cstheme="minorHAnsi"/>
          <w:sz w:val="20"/>
          <w:szCs w:val="20"/>
        </w:rPr>
        <w:t>na żądanie sprzedawcy energii elektrycznej wstrzymuje</w:t>
      </w:r>
      <w:r w:rsidR="00CB168D" w:rsidRPr="00EB2E7B" w:rsidDel="00735555">
        <w:rPr>
          <w:rFonts w:asciiTheme="minorHAnsi" w:hAnsiTheme="minorHAnsi" w:cstheme="minorHAnsi"/>
          <w:sz w:val="20"/>
          <w:szCs w:val="20"/>
        </w:rPr>
        <w:t xml:space="preserve"> </w:t>
      </w:r>
      <w:r w:rsidR="0077111A" w:rsidRPr="00EB2E7B">
        <w:rPr>
          <w:rFonts w:asciiTheme="minorHAnsi" w:hAnsiTheme="minorHAnsi" w:cstheme="minorHAnsi"/>
          <w:sz w:val="20"/>
          <w:szCs w:val="20"/>
        </w:rPr>
        <w:t>dostarczanie energii elektrycznej</w:t>
      </w:r>
      <w:r w:rsidR="0077111A" w:rsidRPr="00EB2E7B" w:rsidDel="00293B50">
        <w:rPr>
          <w:rFonts w:asciiTheme="minorHAnsi" w:hAnsiTheme="minorHAnsi" w:cstheme="minorHAnsi"/>
          <w:sz w:val="20"/>
          <w:szCs w:val="20"/>
        </w:rPr>
        <w:t>, jeżeli według oświadczenia sprzedawcy</w:t>
      </w:r>
      <w:r w:rsidR="0077111A" w:rsidRPr="00EB2E7B">
        <w:rPr>
          <w:rFonts w:asciiTheme="minorHAnsi" w:hAnsiTheme="minorHAnsi" w:cstheme="minorHAnsi"/>
          <w:sz w:val="20"/>
          <w:szCs w:val="20"/>
        </w:rPr>
        <w:t>, odbiorca zwleka z zapłatą za świadczone usługi</w:t>
      </w:r>
      <w:r w:rsidR="0077111A" w:rsidRPr="00EB2E7B" w:rsidDel="00A34F86">
        <w:rPr>
          <w:rFonts w:asciiTheme="minorHAnsi" w:hAnsiTheme="minorHAnsi" w:cstheme="minorHAnsi"/>
          <w:sz w:val="20"/>
          <w:szCs w:val="20"/>
        </w:rPr>
        <w:t xml:space="preserve"> lub za pobraną energię</w:t>
      </w:r>
      <w:r w:rsidR="0077111A" w:rsidRPr="00EB2E7B">
        <w:rPr>
          <w:rFonts w:asciiTheme="minorHAnsi" w:hAnsiTheme="minorHAnsi" w:cstheme="minorHAnsi"/>
          <w:sz w:val="20"/>
          <w:szCs w:val="20"/>
        </w:rPr>
        <w:t>, co najmniej przez okres 30 dni kalendarzowych po upływie terminu płatności.</w:t>
      </w:r>
      <w:bookmarkEnd w:id="121"/>
      <w:r w:rsidR="0077111A" w:rsidRPr="00EB2E7B">
        <w:rPr>
          <w:rFonts w:asciiTheme="minorHAnsi" w:hAnsiTheme="minorHAnsi" w:cstheme="minorHAnsi"/>
          <w:sz w:val="20"/>
          <w:szCs w:val="20"/>
        </w:rPr>
        <w:t xml:space="preserve"> </w:t>
      </w:r>
    </w:p>
    <w:p w14:paraId="63CF3730" w14:textId="4057B2EE" w:rsidR="00120D7C" w:rsidRPr="00EB2E7B" w:rsidRDefault="00931F5F" w:rsidP="009A432E">
      <w:pPr>
        <w:pStyle w:val="Nagwek4"/>
        <w:rPr>
          <w:rFonts w:asciiTheme="minorHAnsi" w:hAnsiTheme="minorHAnsi" w:cstheme="minorHAnsi"/>
          <w:sz w:val="20"/>
          <w:szCs w:val="20"/>
        </w:rPr>
      </w:pPr>
      <w:bookmarkStart w:id="122" w:name="_Ref183614510"/>
      <w:r w:rsidRPr="00EB2E7B">
        <w:rPr>
          <w:rFonts w:asciiTheme="minorHAnsi" w:hAnsiTheme="minorHAnsi" w:cstheme="minorHAnsi"/>
          <w:sz w:val="20"/>
          <w:szCs w:val="20"/>
        </w:rPr>
        <w:t xml:space="preserve">ACPRO może wstrzymać dostarczanie energii elektrycznej w przypadku, gdy podmiot nie dostosował urządzeń i instalacji do zmienionego napięcia zasilania, podwyższonego poziomu prądów zwarcia </w:t>
      </w:r>
      <w:r w:rsidR="00CE7990" w:rsidRPr="00EB2E7B">
        <w:rPr>
          <w:rFonts w:asciiTheme="minorHAnsi" w:hAnsiTheme="minorHAnsi" w:cstheme="minorHAnsi"/>
          <w:sz w:val="20"/>
          <w:szCs w:val="20"/>
        </w:rPr>
        <w:t>lub</w:t>
      </w:r>
      <w:r w:rsidRPr="00EB2E7B">
        <w:rPr>
          <w:rFonts w:asciiTheme="minorHAnsi" w:hAnsiTheme="minorHAnsi" w:cstheme="minorHAnsi"/>
          <w:sz w:val="20"/>
          <w:szCs w:val="20"/>
        </w:rPr>
        <w:t xml:space="preserve"> innych warunków funkcjonowania sieci pomimo uprzedniego powiadomienia na piśmie.</w:t>
      </w:r>
      <w:bookmarkEnd w:id="122"/>
    </w:p>
    <w:p w14:paraId="6E6F95EF" w14:textId="359CC6FA" w:rsidR="00722C4C"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jest obowiązana niezwłocznie wznowić dostarczanie energii elektrycznej wstrzymanej z powodów, o których mowa w pkt. </w:t>
      </w:r>
      <w:r w:rsidR="000B06D3" w:rsidRPr="00EB2E7B">
        <w:rPr>
          <w:rFonts w:asciiTheme="minorHAnsi" w:hAnsiTheme="minorHAnsi" w:cstheme="minorHAnsi"/>
          <w:sz w:val="20"/>
          <w:szCs w:val="20"/>
        </w:rPr>
        <w:fldChar w:fldCharType="begin"/>
      </w:r>
      <w:r w:rsidR="000B06D3" w:rsidRPr="00EB2E7B">
        <w:rPr>
          <w:rFonts w:asciiTheme="minorHAnsi" w:hAnsiTheme="minorHAnsi" w:cstheme="minorHAnsi"/>
          <w:sz w:val="20"/>
          <w:szCs w:val="20"/>
        </w:rPr>
        <w:instrText xml:space="preserve"> REF _Ref75429038 \r \h </w:instrText>
      </w:r>
      <w:r w:rsidR="00287E6E" w:rsidRPr="00EB2E7B">
        <w:rPr>
          <w:rFonts w:asciiTheme="minorHAnsi" w:hAnsiTheme="minorHAnsi" w:cstheme="minorHAnsi"/>
          <w:sz w:val="20"/>
          <w:szCs w:val="20"/>
        </w:rPr>
        <w:instrText xml:space="preserve"> \* MERGEFORMAT </w:instrText>
      </w:r>
      <w:r w:rsidR="000B06D3" w:rsidRPr="00EB2E7B">
        <w:rPr>
          <w:rFonts w:asciiTheme="minorHAnsi" w:hAnsiTheme="minorHAnsi" w:cstheme="minorHAnsi"/>
          <w:sz w:val="20"/>
          <w:szCs w:val="20"/>
        </w:rPr>
      </w:r>
      <w:r w:rsidR="000B06D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II.3.2.1</w:t>
      </w:r>
      <w:r w:rsidR="000B06D3" w:rsidRPr="00EB2E7B">
        <w:rPr>
          <w:rFonts w:asciiTheme="minorHAnsi" w:hAnsiTheme="minorHAnsi" w:cstheme="minorHAnsi"/>
          <w:sz w:val="20"/>
          <w:szCs w:val="20"/>
        </w:rPr>
        <w:fldChar w:fldCharType="end"/>
      </w:r>
      <w:r w:rsidR="000B06D3" w:rsidRPr="00EB2E7B">
        <w:rPr>
          <w:rFonts w:asciiTheme="minorHAnsi" w:hAnsiTheme="minorHAnsi" w:cstheme="minorHAnsi"/>
          <w:sz w:val="20"/>
          <w:szCs w:val="20"/>
        </w:rPr>
        <w:t xml:space="preserve">, </w:t>
      </w:r>
      <w:r w:rsidR="00287E6E" w:rsidRPr="00EB2E7B">
        <w:rPr>
          <w:rFonts w:asciiTheme="minorHAnsi" w:hAnsiTheme="minorHAnsi" w:cstheme="minorHAnsi"/>
          <w:sz w:val="20"/>
          <w:szCs w:val="20"/>
        </w:rPr>
        <w:fldChar w:fldCharType="begin"/>
      </w:r>
      <w:r w:rsidR="00287E6E" w:rsidRPr="00EB2E7B">
        <w:rPr>
          <w:rFonts w:asciiTheme="minorHAnsi" w:hAnsiTheme="minorHAnsi" w:cstheme="minorHAnsi"/>
          <w:sz w:val="20"/>
          <w:szCs w:val="20"/>
        </w:rPr>
        <w:instrText xml:space="preserve"> REF _Ref75429040 \w \h  \* MERGEFORMAT </w:instrText>
      </w:r>
      <w:r w:rsidR="00287E6E" w:rsidRPr="00EB2E7B">
        <w:rPr>
          <w:rFonts w:asciiTheme="minorHAnsi" w:hAnsiTheme="minorHAnsi" w:cstheme="minorHAnsi"/>
          <w:sz w:val="20"/>
          <w:szCs w:val="20"/>
        </w:rPr>
      </w:r>
      <w:r w:rsidR="00287E6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II.3.2.2</w:t>
      </w:r>
      <w:r w:rsidR="00287E6E" w:rsidRPr="00EB2E7B">
        <w:rPr>
          <w:rFonts w:asciiTheme="minorHAnsi" w:hAnsiTheme="minorHAnsi" w:cstheme="minorHAnsi"/>
          <w:sz w:val="20"/>
          <w:szCs w:val="20"/>
        </w:rPr>
        <w:fldChar w:fldCharType="end"/>
      </w:r>
      <w:r w:rsidR="00287E6E" w:rsidRPr="00EB2E7B">
        <w:rPr>
          <w:rFonts w:asciiTheme="minorHAnsi" w:hAnsiTheme="minorHAnsi" w:cstheme="minorHAnsi"/>
          <w:sz w:val="20"/>
          <w:szCs w:val="20"/>
        </w:rPr>
        <w:t xml:space="preserve"> </w:t>
      </w:r>
      <w:r w:rsidR="00A27692" w:rsidRPr="00EB2E7B">
        <w:rPr>
          <w:rFonts w:asciiTheme="minorHAnsi" w:hAnsiTheme="minorHAnsi" w:cstheme="minorHAnsi"/>
          <w:sz w:val="20"/>
          <w:szCs w:val="20"/>
        </w:rPr>
        <w:t xml:space="preserve">i </w:t>
      </w:r>
      <w:r w:rsidR="002E78EF" w:rsidRPr="00EB2E7B">
        <w:rPr>
          <w:rFonts w:asciiTheme="minorHAnsi" w:hAnsiTheme="minorHAnsi" w:cstheme="minorHAnsi"/>
          <w:sz w:val="20"/>
          <w:szCs w:val="20"/>
        </w:rPr>
        <w:fldChar w:fldCharType="begin"/>
      </w:r>
      <w:r w:rsidR="002E78EF" w:rsidRPr="00EB2E7B">
        <w:rPr>
          <w:rFonts w:asciiTheme="minorHAnsi" w:hAnsiTheme="minorHAnsi" w:cstheme="minorHAnsi"/>
          <w:sz w:val="20"/>
          <w:szCs w:val="20"/>
        </w:rPr>
        <w:instrText xml:space="preserve"> REF _Ref183614510 \w \h </w:instrText>
      </w:r>
      <w:r w:rsidR="00287E6E" w:rsidRPr="00EB2E7B">
        <w:rPr>
          <w:rFonts w:asciiTheme="minorHAnsi" w:hAnsiTheme="minorHAnsi" w:cstheme="minorHAnsi"/>
          <w:sz w:val="20"/>
          <w:szCs w:val="20"/>
        </w:rPr>
        <w:instrText xml:space="preserve"> \* MERGEFORMAT </w:instrText>
      </w:r>
      <w:r w:rsidR="002E78EF" w:rsidRPr="00EB2E7B">
        <w:rPr>
          <w:rFonts w:asciiTheme="minorHAnsi" w:hAnsiTheme="minorHAnsi" w:cstheme="minorHAnsi"/>
          <w:sz w:val="20"/>
          <w:szCs w:val="20"/>
        </w:rPr>
      </w:r>
      <w:r w:rsidR="002E78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II.3.2.3</w:t>
      </w:r>
      <w:r w:rsidR="002E78EF"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jeżeli ustaną przyczyny uzasadniające wstrzymanie jej dostarczania. </w:t>
      </w:r>
    </w:p>
    <w:p w14:paraId="49D7F0FA" w14:textId="77777777" w:rsidR="00473957" w:rsidRPr="00EB2E7B" w:rsidRDefault="00232DA9"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wznawia dostarczanie energii elektrycznej niezwłocznie, po otrzymaniu od sprzedawcy wniosku o wznowienie, jeżeli wstrzymanie nastąpiło na żądanie sprzedawcy. </w:t>
      </w:r>
    </w:p>
    <w:p w14:paraId="5D1856CD" w14:textId="35A9F643" w:rsidR="00644A0A" w:rsidRPr="00EB2E7B" w:rsidRDefault="00644A0A" w:rsidP="00113925">
      <w:pPr>
        <w:ind w:left="1134" w:firstLine="0"/>
        <w:rPr>
          <w:rFonts w:asciiTheme="minorHAnsi" w:hAnsiTheme="minorHAnsi" w:cstheme="minorHAnsi"/>
          <w:sz w:val="20"/>
          <w:szCs w:val="20"/>
        </w:rPr>
      </w:pPr>
      <w:r>
        <w:rPr>
          <w:rFonts w:asciiTheme="minorHAnsi" w:hAnsiTheme="minorHAnsi" w:cstheme="minorHAnsi"/>
          <w:sz w:val="20"/>
          <w:szCs w:val="20"/>
        </w:rPr>
        <w:t>ACPRO wstrzymuje i wznawia dostarczanie energii elektrycznej również przy wykorzystaniu liczników zdalnego odczytu i LSPR zgodnie z poleceniami inicjowanymi bezpośrednio w LSPR. Od dnia przystąpienia ACPRO do CSIRE zadania te realizowane są przy wykorzystaniu liczników zdalnego odczytu i systemu pomiarowego, zgodnie z poleceniami inicjowanymi bezpośrednio w systemie pomiarowym.</w:t>
      </w:r>
    </w:p>
    <w:p w14:paraId="6C72D4C5" w14:textId="43890355"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Przepisów pkt. </w:t>
      </w:r>
      <w:r w:rsidR="000B06D3" w:rsidRPr="00EB2E7B">
        <w:rPr>
          <w:rFonts w:asciiTheme="minorHAnsi" w:hAnsiTheme="minorHAnsi" w:cstheme="minorHAnsi"/>
          <w:sz w:val="20"/>
          <w:szCs w:val="20"/>
        </w:rPr>
        <w:fldChar w:fldCharType="begin"/>
      </w:r>
      <w:r w:rsidR="000B06D3" w:rsidRPr="00EB2E7B">
        <w:rPr>
          <w:rFonts w:asciiTheme="minorHAnsi" w:hAnsiTheme="minorHAnsi" w:cstheme="minorHAnsi"/>
          <w:sz w:val="20"/>
          <w:szCs w:val="20"/>
        </w:rPr>
        <w:instrText xml:space="preserve"> REF _Ref75429038 \r \h </w:instrText>
      </w:r>
      <w:r w:rsidR="00C25030" w:rsidRPr="00EB2E7B">
        <w:rPr>
          <w:rFonts w:asciiTheme="minorHAnsi" w:hAnsiTheme="minorHAnsi" w:cstheme="minorHAnsi"/>
          <w:sz w:val="20"/>
          <w:szCs w:val="20"/>
        </w:rPr>
        <w:instrText xml:space="preserve"> \* MERGEFORMAT </w:instrText>
      </w:r>
      <w:r w:rsidR="000B06D3" w:rsidRPr="00EB2E7B">
        <w:rPr>
          <w:rFonts w:asciiTheme="minorHAnsi" w:hAnsiTheme="minorHAnsi" w:cstheme="minorHAnsi"/>
          <w:sz w:val="20"/>
          <w:szCs w:val="20"/>
        </w:rPr>
      </w:r>
      <w:r w:rsidR="000B06D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II.3.2.1</w:t>
      </w:r>
      <w:r w:rsidR="000B06D3" w:rsidRPr="00EB2E7B">
        <w:rPr>
          <w:rFonts w:asciiTheme="minorHAnsi" w:hAnsiTheme="minorHAnsi" w:cstheme="minorHAnsi"/>
          <w:sz w:val="20"/>
          <w:szCs w:val="20"/>
        </w:rPr>
        <w:fldChar w:fldCharType="end"/>
      </w:r>
      <w:r w:rsidR="00C25030" w:rsidRPr="00EB2E7B">
        <w:rPr>
          <w:rFonts w:asciiTheme="minorHAnsi" w:hAnsiTheme="minorHAnsi" w:cstheme="minorHAnsi"/>
          <w:sz w:val="20"/>
          <w:szCs w:val="20"/>
        </w:rPr>
        <w:t xml:space="preserve"> </w:t>
      </w:r>
      <w:r w:rsidR="008243D3" w:rsidRPr="00EB2E7B">
        <w:rPr>
          <w:rFonts w:asciiTheme="minorHAnsi" w:hAnsiTheme="minorHAnsi" w:cstheme="minorHAnsi"/>
          <w:sz w:val="20"/>
          <w:szCs w:val="20"/>
        </w:rPr>
        <w:fldChar w:fldCharType="begin"/>
      </w:r>
      <w:r w:rsidR="008243D3" w:rsidRPr="00EB2E7B">
        <w:rPr>
          <w:rFonts w:asciiTheme="minorHAnsi" w:hAnsiTheme="minorHAnsi" w:cstheme="minorHAnsi"/>
          <w:sz w:val="20"/>
          <w:szCs w:val="20"/>
        </w:rPr>
        <w:instrText xml:space="preserve"> REF _Ref183614792 \r \h </w:instrText>
      </w:r>
      <w:r w:rsidR="00C25030" w:rsidRPr="00EB2E7B">
        <w:rPr>
          <w:rFonts w:asciiTheme="minorHAnsi" w:hAnsiTheme="minorHAnsi" w:cstheme="minorHAnsi"/>
          <w:sz w:val="20"/>
          <w:szCs w:val="20"/>
        </w:rPr>
        <w:instrText xml:space="preserve"> \* MERGEFORMAT </w:instrText>
      </w:r>
      <w:r w:rsidR="008243D3" w:rsidRPr="00EB2E7B">
        <w:rPr>
          <w:rFonts w:asciiTheme="minorHAnsi" w:hAnsiTheme="minorHAnsi" w:cstheme="minorHAnsi"/>
          <w:sz w:val="20"/>
          <w:szCs w:val="20"/>
        </w:rPr>
      </w:r>
      <w:r w:rsidR="008243D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w:t>
      </w:r>
      <w:r w:rsidR="008243D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pkt. </w:t>
      </w:r>
      <w:r w:rsidR="000B06D3" w:rsidRPr="00EB2E7B">
        <w:rPr>
          <w:rFonts w:asciiTheme="minorHAnsi" w:hAnsiTheme="minorHAnsi" w:cstheme="minorHAnsi"/>
          <w:sz w:val="20"/>
          <w:szCs w:val="20"/>
        </w:rPr>
        <w:fldChar w:fldCharType="begin"/>
      </w:r>
      <w:r w:rsidR="000B06D3" w:rsidRPr="00EB2E7B">
        <w:rPr>
          <w:rFonts w:asciiTheme="minorHAnsi" w:hAnsiTheme="minorHAnsi" w:cstheme="minorHAnsi"/>
          <w:sz w:val="20"/>
          <w:szCs w:val="20"/>
        </w:rPr>
        <w:instrText xml:space="preserve"> REF _Ref75429040 \r \h </w:instrText>
      </w:r>
      <w:r w:rsidR="00C25030" w:rsidRPr="00EB2E7B">
        <w:rPr>
          <w:rFonts w:asciiTheme="minorHAnsi" w:hAnsiTheme="minorHAnsi" w:cstheme="minorHAnsi"/>
          <w:sz w:val="20"/>
          <w:szCs w:val="20"/>
        </w:rPr>
        <w:instrText xml:space="preserve"> \* MERGEFORMAT </w:instrText>
      </w:r>
      <w:r w:rsidR="000B06D3" w:rsidRPr="00EB2E7B">
        <w:rPr>
          <w:rFonts w:asciiTheme="minorHAnsi" w:hAnsiTheme="minorHAnsi" w:cstheme="minorHAnsi"/>
          <w:sz w:val="20"/>
          <w:szCs w:val="20"/>
        </w:rPr>
      </w:r>
      <w:r w:rsidR="000B06D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II.3.2.2</w:t>
      </w:r>
      <w:r w:rsidR="000B06D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nie stosuje się do obiektów służących obronności państwa. </w:t>
      </w:r>
    </w:p>
    <w:p w14:paraId="0C5974CB" w14:textId="28517777" w:rsidR="00473957" w:rsidRPr="00EB2E7B" w:rsidRDefault="0077111A" w:rsidP="0011392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Ponadto realizacja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postanowień</w:t>
      </w:r>
      <w:r w:rsidR="005750C6" w:rsidRPr="00EB2E7B">
        <w:rPr>
          <w:rFonts w:asciiTheme="minorHAnsi" w:hAnsiTheme="minorHAnsi" w:cstheme="minorHAnsi"/>
          <w:sz w:val="20"/>
          <w:szCs w:val="20"/>
        </w:rPr>
        <w:t>,</w:t>
      </w:r>
      <w:r w:rsidRPr="00EB2E7B">
        <w:rPr>
          <w:rFonts w:asciiTheme="minorHAnsi" w:hAnsiTheme="minorHAnsi" w:cstheme="minorHAnsi"/>
          <w:sz w:val="20"/>
          <w:szCs w:val="20"/>
        </w:rPr>
        <w:t xml:space="preserve"> o których mowa w pkt. </w:t>
      </w:r>
      <w:r w:rsidR="000B06D3" w:rsidRPr="00EB2E7B">
        <w:rPr>
          <w:rFonts w:asciiTheme="minorHAnsi" w:hAnsiTheme="minorHAnsi" w:cstheme="minorHAnsi"/>
          <w:sz w:val="20"/>
          <w:szCs w:val="20"/>
        </w:rPr>
        <w:fldChar w:fldCharType="begin"/>
      </w:r>
      <w:r w:rsidR="000B06D3" w:rsidRPr="00EB2E7B">
        <w:rPr>
          <w:rFonts w:asciiTheme="minorHAnsi" w:hAnsiTheme="minorHAnsi" w:cstheme="minorHAnsi"/>
          <w:sz w:val="20"/>
          <w:szCs w:val="20"/>
        </w:rPr>
        <w:instrText xml:space="preserve"> REF _Ref75429038 \r \h </w:instrText>
      </w:r>
      <w:r w:rsidR="00094A1A" w:rsidRPr="00EB2E7B">
        <w:rPr>
          <w:rFonts w:asciiTheme="minorHAnsi" w:hAnsiTheme="minorHAnsi" w:cstheme="minorHAnsi"/>
          <w:sz w:val="20"/>
          <w:szCs w:val="20"/>
        </w:rPr>
        <w:instrText xml:space="preserve"> \* MERGEFORMAT </w:instrText>
      </w:r>
      <w:r w:rsidR="000B06D3" w:rsidRPr="00EB2E7B">
        <w:rPr>
          <w:rFonts w:asciiTheme="minorHAnsi" w:hAnsiTheme="minorHAnsi" w:cstheme="minorHAnsi"/>
          <w:sz w:val="20"/>
          <w:szCs w:val="20"/>
        </w:rPr>
      </w:r>
      <w:r w:rsidR="000B06D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II.3.2.1</w:t>
      </w:r>
      <w:r w:rsidR="000B06D3" w:rsidRPr="00EB2E7B">
        <w:rPr>
          <w:rFonts w:asciiTheme="minorHAnsi" w:hAnsiTheme="minorHAnsi" w:cstheme="minorHAnsi"/>
          <w:sz w:val="20"/>
          <w:szCs w:val="20"/>
        </w:rPr>
        <w:fldChar w:fldCharType="end"/>
      </w:r>
      <w:r w:rsidR="003E0275" w:rsidRPr="00EB2E7B">
        <w:rPr>
          <w:rFonts w:asciiTheme="minorHAnsi" w:hAnsiTheme="minorHAnsi" w:cstheme="minorHAnsi"/>
          <w:sz w:val="20"/>
          <w:szCs w:val="20"/>
        </w:rPr>
        <w:t xml:space="preserve"> </w:t>
      </w:r>
      <w:r w:rsidR="000B06D3" w:rsidRPr="00EB2E7B">
        <w:rPr>
          <w:rFonts w:asciiTheme="minorHAnsi" w:hAnsiTheme="minorHAnsi" w:cstheme="minorHAnsi"/>
          <w:sz w:val="20"/>
          <w:szCs w:val="20"/>
        </w:rPr>
        <w:fldChar w:fldCharType="begin"/>
      </w:r>
      <w:r w:rsidR="000B06D3" w:rsidRPr="00EB2E7B">
        <w:rPr>
          <w:rFonts w:asciiTheme="minorHAnsi" w:hAnsiTheme="minorHAnsi" w:cstheme="minorHAnsi"/>
          <w:sz w:val="20"/>
          <w:szCs w:val="20"/>
        </w:rPr>
        <w:instrText xml:space="preserve"> REF _Ref75429157 \r \h </w:instrText>
      </w:r>
      <w:r w:rsidR="00094A1A" w:rsidRPr="00EB2E7B">
        <w:rPr>
          <w:rFonts w:asciiTheme="minorHAnsi" w:hAnsiTheme="minorHAnsi" w:cstheme="minorHAnsi"/>
          <w:sz w:val="20"/>
          <w:szCs w:val="20"/>
        </w:rPr>
        <w:instrText xml:space="preserve"> \* MERGEFORMAT </w:instrText>
      </w:r>
      <w:r w:rsidR="000B06D3" w:rsidRPr="00EB2E7B">
        <w:rPr>
          <w:rFonts w:asciiTheme="minorHAnsi" w:hAnsiTheme="minorHAnsi" w:cstheme="minorHAnsi"/>
          <w:sz w:val="20"/>
          <w:szCs w:val="20"/>
        </w:rPr>
      </w:r>
      <w:r w:rsidR="000B06D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0B06D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w:t>
      </w:r>
      <w:r w:rsidR="000B06D3" w:rsidRPr="00EB2E7B">
        <w:rPr>
          <w:rFonts w:asciiTheme="minorHAnsi" w:hAnsiTheme="minorHAnsi" w:cstheme="minorHAnsi"/>
          <w:sz w:val="20"/>
          <w:szCs w:val="20"/>
        </w:rPr>
        <w:fldChar w:fldCharType="begin"/>
      </w:r>
      <w:r w:rsidR="000B06D3" w:rsidRPr="00EB2E7B">
        <w:rPr>
          <w:rFonts w:asciiTheme="minorHAnsi" w:hAnsiTheme="minorHAnsi" w:cstheme="minorHAnsi"/>
          <w:sz w:val="20"/>
          <w:szCs w:val="20"/>
        </w:rPr>
        <w:instrText xml:space="preserve"> REF _Ref75429040 \r \h </w:instrText>
      </w:r>
      <w:r w:rsidR="00094A1A" w:rsidRPr="00EB2E7B">
        <w:rPr>
          <w:rFonts w:asciiTheme="minorHAnsi" w:hAnsiTheme="minorHAnsi" w:cstheme="minorHAnsi"/>
          <w:sz w:val="20"/>
          <w:szCs w:val="20"/>
        </w:rPr>
        <w:instrText xml:space="preserve"> \* MERGEFORMAT </w:instrText>
      </w:r>
      <w:r w:rsidR="000B06D3" w:rsidRPr="00EB2E7B">
        <w:rPr>
          <w:rFonts w:asciiTheme="minorHAnsi" w:hAnsiTheme="minorHAnsi" w:cstheme="minorHAnsi"/>
          <w:sz w:val="20"/>
          <w:szCs w:val="20"/>
        </w:rPr>
      </w:r>
      <w:r w:rsidR="000B06D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II.3.2.2</w:t>
      </w:r>
      <w:r w:rsidR="000B06D3" w:rsidRPr="00EB2E7B">
        <w:rPr>
          <w:rFonts w:asciiTheme="minorHAnsi" w:hAnsiTheme="minorHAnsi" w:cstheme="minorHAnsi"/>
          <w:sz w:val="20"/>
          <w:szCs w:val="20"/>
        </w:rPr>
        <w:fldChar w:fldCharType="end"/>
      </w:r>
      <w:r w:rsidR="005750C6" w:rsidRPr="00EB2E7B">
        <w:rPr>
          <w:rFonts w:asciiTheme="minorHAnsi" w:hAnsiTheme="minorHAnsi" w:cstheme="minorHAnsi"/>
          <w:sz w:val="20"/>
          <w:szCs w:val="20"/>
        </w:rPr>
        <w:t>,</w:t>
      </w:r>
      <w:r w:rsidRPr="00EB2E7B">
        <w:rPr>
          <w:rFonts w:asciiTheme="minorHAnsi" w:hAnsiTheme="minorHAnsi" w:cstheme="minorHAnsi"/>
          <w:sz w:val="20"/>
          <w:szCs w:val="20"/>
        </w:rPr>
        <w:t xml:space="preserve"> może ulec opóźnieniu bez ponoszenia przez </w:t>
      </w:r>
      <w:r w:rsidR="002203B7"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odpowiedzialności z tego tytułu, w przypadku otrzymania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informacji, że wstrzymanie dostarczania energii elektrycznej do odbiorcy może spowodować bezpośrednie zagrożenie życia, zdrowia lub środowiska (a w szczególności uniemożliwi pracę aparatury wspomagającej funkcje życiowe lub pracę urządzeń zapobiegających przed wystąpieniem niekontrolowanej reakcji chemicznej) -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może opóźnić wstrzymanie </w:t>
      </w:r>
      <w:r w:rsidRPr="00EB2E7B">
        <w:rPr>
          <w:rFonts w:asciiTheme="minorHAnsi" w:hAnsiTheme="minorHAnsi" w:cstheme="minorHAnsi"/>
          <w:sz w:val="20"/>
          <w:szCs w:val="20"/>
        </w:rPr>
        <w:lastRenderedPageBreak/>
        <w:t xml:space="preserve">dostarczania energii do czasu wykonania przez odbiorcę czynności usuwających powyższe zagrożenie. W takiej sytuacji, w przypadku gdy wstrzymanie miało nastąpić na wniosek sprzedawcy,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zawiadamia niezwłocznie o powyższym sprzedawcę, wraz z podaniem przyczyny.</w:t>
      </w:r>
    </w:p>
    <w:p w14:paraId="5EE24086" w14:textId="18D84806" w:rsidR="00473957" w:rsidRPr="00EB2E7B" w:rsidRDefault="0077111A" w:rsidP="009A432E">
      <w:pPr>
        <w:pStyle w:val="Nagwek4"/>
        <w:rPr>
          <w:rFonts w:asciiTheme="minorHAnsi" w:hAnsiTheme="minorHAnsi" w:cstheme="minorHAnsi"/>
          <w:sz w:val="20"/>
          <w:szCs w:val="20"/>
        </w:rPr>
      </w:pPr>
      <w:bookmarkStart w:id="123" w:name="_Ref190078899"/>
      <w:r w:rsidRPr="00EB2E7B">
        <w:rPr>
          <w:rFonts w:asciiTheme="minorHAnsi" w:hAnsiTheme="minorHAnsi" w:cstheme="minorHAnsi"/>
          <w:sz w:val="20"/>
          <w:szCs w:val="20"/>
        </w:rPr>
        <w:t xml:space="preserve">W przypadku, o którym mowa w pkt. </w:t>
      </w:r>
      <w:r w:rsidR="00227B93" w:rsidRPr="00EB2E7B">
        <w:rPr>
          <w:rFonts w:asciiTheme="minorHAnsi" w:hAnsiTheme="minorHAnsi" w:cstheme="minorHAnsi"/>
          <w:sz w:val="20"/>
          <w:szCs w:val="20"/>
        </w:rPr>
        <w:fldChar w:fldCharType="begin"/>
      </w:r>
      <w:r w:rsidR="00227B93" w:rsidRPr="00EB2E7B">
        <w:rPr>
          <w:rFonts w:asciiTheme="minorHAnsi" w:hAnsiTheme="minorHAnsi" w:cstheme="minorHAnsi"/>
          <w:sz w:val="20"/>
          <w:szCs w:val="20"/>
        </w:rPr>
        <w:instrText xml:space="preserve"> REF _Ref75429040 \r \h </w:instrText>
      </w:r>
      <w:r w:rsidR="00096E2D" w:rsidRPr="00EB2E7B">
        <w:rPr>
          <w:rFonts w:asciiTheme="minorHAnsi" w:hAnsiTheme="minorHAnsi" w:cstheme="minorHAnsi"/>
          <w:sz w:val="20"/>
          <w:szCs w:val="20"/>
        </w:rPr>
        <w:instrText xml:space="preserve"> \* MERGEFORMAT </w:instrText>
      </w:r>
      <w:r w:rsidR="00227B93" w:rsidRPr="00EB2E7B">
        <w:rPr>
          <w:rFonts w:asciiTheme="minorHAnsi" w:hAnsiTheme="minorHAnsi" w:cstheme="minorHAnsi"/>
          <w:sz w:val="20"/>
          <w:szCs w:val="20"/>
        </w:rPr>
      </w:r>
      <w:r w:rsidR="00227B9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II.3.2.2</w:t>
      </w:r>
      <w:r w:rsidR="00227B9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bez zbędnej zwłoki wstrzymuje dostarczanie energii elektrycznej, jednak nie później niż w terminie 4 dni roboczych od dnia otrzymania żądania wstrzymania od sprzedawcy. Sprzedawca ma prawo anulowania żądania wstrzymania dostarczania energii, poprzez złożenie do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wniosku o wznowienie dostarczania energii. W takim przypadku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podejmie kroki w celu niedopuszczenia do wstrzymania dostarczania energii elektrycznej, jednak nie ponosi odpowiedzialności w</w:t>
      </w:r>
      <w:r w:rsidR="005911BF" w:rsidRPr="00EB2E7B">
        <w:rPr>
          <w:rFonts w:asciiTheme="minorHAnsi" w:hAnsiTheme="minorHAnsi" w:cstheme="minorHAnsi"/>
          <w:sz w:val="20"/>
          <w:szCs w:val="20"/>
        </w:rPr>
        <w:t> </w:t>
      </w:r>
      <w:r w:rsidRPr="00EB2E7B">
        <w:rPr>
          <w:rFonts w:asciiTheme="minorHAnsi" w:hAnsiTheme="minorHAnsi" w:cstheme="minorHAnsi"/>
          <w:sz w:val="20"/>
          <w:szCs w:val="20"/>
        </w:rPr>
        <w:t>sytuacji, w której anulowanie wniosku o wstrzymanie nie było możliwe.</w:t>
      </w:r>
      <w:bookmarkEnd w:id="123"/>
      <w:r w:rsidRPr="00EB2E7B">
        <w:rPr>
          <w:rFonts w:asciiTheme="minorHAnsi" w:hAnsiTheme="minorHAnsi" w:cstheme="minorHAnsi"/>
          <w:sz w:val="20"/>
          <w:szCs w:val="20"/>
        </w:rPr>
        <w:t xml:space="preserve"> </w:t>
      </w:r>
    </w:p>
    <w:p w14:paraId="7E6E8BAA" w14:textId="28E6194C" w:rsidR="009E2257" w:rsidRPr="00EB2E7B" w:rsidRDefault="00AD1F6B" w:rsidP="009A432E">
      <w:pPr>
        <w:pStyle w:val="Nagwek4"/>
        <w:rPr>
          <w:rFonts w:asciiTheme="minorHAnsi" w:hAnsiTheme="minorHAnsi" w:cstheme="minorHAnsi"/>
          <w:sz w:val="20"/>
          <w:szCs w:val="20"/>
        </w:rPr>
      </w:pPr>
      <w:r w:rsidRPr="00EB2E7B">
        <w:rPr>
          <w:rFonts w:asciiTheme="minorHAnsi" w:hAnsiTheme="minorHAnsi" w:cstheme="minorHAnsi"/>
          <w:sz w:val="20"/>
          <w:szCs w:val="20"/>
        </w:rPr>
        <w:t>W przypadku wystąpienia:</w:t>
      </w:r>
    </w:p>
    <w:p w14:paraId="7497AF91" w14:textId="473A095D" w:rsidR="00ED22FA" w:rsidRPr="00EB2E7B" w:rsidRDefault="00ED22FA" w:rsidP="00113925">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masowych awarii sieci elektroenergetycznych, </w:t>
      </w:r>
    </w:p>
    <w:p w14:paraId="49373694" w14:textId="77777777" w:rsidR="00ED22FA" w:rsidRPr="00EB2E7B" w:rsidRDefault="00ED22FA" w:rsidP="00113925">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przerw katastrofalnych powodujących ograniczenia techniczne i organizacyjne, </w:t>
      </w:r>
    </w:p>
    <w:p w14:paraId="075C8327" w14:textId="77777777" w:rsidR="00ED22FA" w:rsidRPr="00EB2E7B" w:rsidRDefault="00ED22FA" w:rsidP="00113925">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konieczność wykonania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planowych, </w:t>
      </w:r>
    </w:p>
    <w:p w14:paraId="67984CF6" w14:textId="77777777" w:rsidR="00ED22FA" w:rsidRPr="00EB2E7B" w:rsidRDefault="00ED22FA" w:rsidP="00113925">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braku technicznych możliwości wstrzymania dostarczania energii, </w:t>
      </w:r>
    </w:p>
    <w:p w14:paraId="7C4EFA7E" w14:textId="5D997B1D" w:rsidR="00AD1F6B" w:rsidRPr="00EB2E7B" w:rsidRDefault="00ED22FA" w:rsidP="001A3305">
      <w:pPr>
        <w:ind w:left="1134"/>
        <w:rPr>
          <w:rFonts w:asciiTheme="minorHAnsi" w:hAnsiTheme="minorHAnsi" w:cstheme="minorHAnsi"/>
          <w:sz w:val="20"/>
          <w:szCs w:val="20"/>
        </w:rPr>
      </w:pPr>
      <w:r w:rsidRPr="00EB2E7B">
        <w:rPr>
          <w:rFonts w:asciiTheme="minorHAnsi" w:hAnsiTheme="minorHAnsi" w:cstheme="minorHAnsi"/>
          <w:sz w:val="20"/>
          <w:szCs w:val="20"/>
        </w:rPr>
        <w:t xml:space="preserve">termin, o którym mowa w pkt. </w:t>
      </w:r>
      <w:r w:rsidR="00A33496" w:rsidRPr="00EB2E7B">
        <w:rPr>
          <w:rFonts w:asciiTheme="minorHAnsi" w:hAnsiTheme="minorHAnsi" w:cstheme="minorHAnsi"/>
          <w:sz w:val="20"/>
          <w:szCs w:val="20"/>
        </w:rPr>
        <w:fldChar w:fldCharType="begin"/>
      </w:r>
      <w:r w:rsidR="00A33496" w:rsidRPr="00EB2E7B">
        <w:rPr>
          <w:rFonts w:asciiTheme="minorHAnsi" w:hAnsiTheme="minorHAnsi" w:cstheme="minorHAnsi"/>
          <w:sz w:val="20"/>
          <w:szCs w:val="20"/>
        </w:rPr>
        <w:instrText xml:space="preserve"> REF _Ref190078899 \w \h  \* MERGEFORMAT </w:instrText>
      </w:r>
      <w:r w:rsidR="00A33496" w:rsidRPr="00EB2E7B">
        <w:rPr>
          <w:rFonts w:asciiTheme="minorHAnsi" w:hAnsiTheme="minorHAnsi" w:cstheme="minorHAnsi"/>
          <w:sz w:val="20"/>
          <w:szCs w:val="20"/>
        </w:rPr>
      </w:r>
      <w:r w:rsidR="00A3349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II.3.2.6</w:t>
      </w:r>
      <w:r w:rsidR="00A3349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może ulec wydłużeniu.</w:t>
      </w:r>
    </w:p>
    <w:p w14:paraId="28D23809" w14:textId="167415A1" w:rsidR="00473957"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powiadamia sprzedawcę o wstrzymaniu lub wznowieniu dostarczania energii elektrycznej, w terminie do trzech dni roboczych od dokonania wstrzymania lub wznowienia dostarczania energii elektrycznej. </w:t>
      </w:r>
    </w:p>
    <w:p w14:paraId="23BC8591" w14:textId="0F9E36FB"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Jeżeli nie doszło do wstrzymania lub wznowienia dostarczania energii elektrycznej na żądanie lub wniosek sprzedawcy, w terminach o których mowa w pkt. </w:t>
      </w:r>
      <w:r w:rsidR="009E49A8" w:rsidRPr="00EB2E7B">
        <w:rPr>
          <w:rFonts w:asciiTheme="minorHAnsi" w:hAnsiTheme="minorHAnsi" w:cstheme="minorHAnsi"/>
          <w:sz w:val="20"/>
          <w:szCs w:val="20"/>
        </w:rPr>
        <w:fldChar w:fldCharType="begin"/>
      </w:r>
      <w:r w:rsidR="009E49A8" w:rsidRPr="00EB2E7B">
        <w:rPr>
          <w:rFonts w:asciiTheme="minorHAnsi" w:hAnsiTheme="minorHAnsi" w:cstheme="minorHAnsi"/>
          <w:sz w:val="20"/>
          <w:szCs w:val="20"/>
        </w:rPr>
        <w:instrText xml:space="preserve"> REF _Ref75432798 \r \h </w:instrText>
      </w:r>
      <w:r w:rsidR="00F273DB" w:rsidRPr="00EB2E7B">
        <w:rPr>
          <w:rFonts w:asciiTheme="minorHAnsi" w:hAnsiTheme="minorHAnsi" w:cstheme="minorHAnsi"/>
          <w:sz w:val="20"/>
          <w:szCs w:val="20"/>
        </w:rPr>
        <w:instrText xml:space="preserve"> \* MERGEFORMAT </w:instrText>
      </w:r>
      <w:r w:rsidR="009E49A8" w:rsidRPr="00EB2E7B">
        <w:rPr>
          <w:rFonts w:asciiTheme="minorHAnsi" w:hAnsiTheme="minorHAnsi" w:cstheme="minorHAnsi"/>
          <w:sz w:val="20"/>
          <w:szCs w:val="20"/>
        </w:rPr>
      </w:r>
      <w:r w:rsidR="009E49A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w:t>
      </w:r>
      <w:r w:rsidR="009E49A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 tym z przyczyn niezależnych od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terminie do trzech dni roboczych po upływie tych terminów, powiadomi o tym fakcie sprzedawcę, wskazując przyczyny uniemożliwiające wstrzymanie lub wznowienie dostarczania energii elektrycznej. </w:t>
      </w:r>
    </w:p>
    <w:p w14:paraId="0EFC19C0" w14:textId="57D8EFD4" w:rsidR="00C1612F" w:rsidRPr="00EB2E7B" w:rsidRDefault="0969D851" w:rsidP="009A432E">
      <w:pPr>
        <w:pStyle w:val="Nagwek4"/>
        <w:rPr>
          <w:rFonts w:asciiTheme="minorHAnsi" w:hAnsiTheme="minorHAnsi" w:cstheme="minorHAnsi"/>
          <w:sz w:val="20"/>
          <w:szCs w:val="20"/>
        </w:rPr>
      </w:pPr>
      <w:bookmarkStart w:id="124" w:name="_Hlk127281152"/>
      <w:r w:rsidRPr="00EB2E7B">
        <w:rPr>
          <w:rFonts w:asciiTheme="minorHAnsi" w:hAnsiTheme="minorHAnsi" w:cstheme="minorHAnsi"/>
          <w:sz w:val="20"/>
          <w:szCs w:val="20"/>
        </w:rPr>
        <w:t xml:space="preserve">Wymiana informacji o których mowa w pkt. </w:t>
      </w:r>
      <w:r w:rsidR="00BC03AD" w:rsidRPr="00EB2E7B">
        <w:rPr>
          <w:rFonts w:asciiTheme="minorHAnsi" w:hAnsiTheme="minorHAnsi" w:cstheme="minorHAnsi"/>
          <w:sz w:val="20"/>
          <w:szCs w:val="20"/>
        </w:rPr>
        <w:fldChar w:fldCharType="begin"/>
      </w:r>
      <w:r w:rsidR="00BC03AD" w:rsidRPr="00EB2E7B">
        <w:rPr>
          <w:rFonts w:asciiTheme="minorHAnsi" w:hAnsiTheme="minorHAnsi" w:cstheme="minorHAnsi"/>
          <w:sz w:val="20"/>
          <w:szCs w:val="20"/>
        </w:rPr>
        <w:instrText xml:space="preserve"> REF _Ref75432798 \r \h  \* MERGEFORMAT </w:instrText>
      </w:r>
      <w:r w:rsidR="00BC03AD" w:rsidRPr="00EB2E7B">
        <w:rPr>
          <w:rFonts w:asciiTheme="minorHAnsi" w:hAnsiTheme="minorHAnsi" w:cstheme="minorHAnsi"/>
          <w:sz w:val="20"/>
          <w:szCs w:val="20"/>
        </w:rPr>
      </w:r>
      <w:r w:rsidR="00BC03A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w:t>
      </w:r>
      <w:r w:rsidR="00BC03AD" w:rsidRPr="00EB2E7B">
        <w:rPr>
          <w:rFonts w:asciiTheme="minorHAnsi" w:hAnsiTheme="minorHAnsi" w:cstheme="minorHAnsi"/>
          <w:sz w:val="20"/>
          <w:szCs w:val="20"/>
        </w:rPr>
        <w:fldChar w:fldCharType="end"/>
      </w:r>
      <w:r w:rsidRPr="00EB2E7B">
        <w:rPr>
          <w:rFonts w:asciiTheme="minorHAnsi" w:hAnsiTheme="minorHAnsi" w:cstheme="minorHAnsi"/>
          <w:sz w:val="20"/>
          <w:szCs w:val="20"/>
        </w:rPr>
        <w:t>., między ACPRO i sprzedawcą odbywa się</w:t>
      </w:r>
      <w:r w:rsidR="29EC6298" w:rsidRPr="00EB2E7B">
        <w:rPr>
          <w:rFonts w:asciiTheme="minorHAnsi" w:hAnsiTheme="minorHAnsi" w:cstheme="minorHAnsi"/>
          <w:sz w:val="20"/>
          <w:szCs w:val="20"/>
        </w:rPr>
        <w:t xml:space="preserve"> na zasadach określonych </w:t>
      </w:r>
      <w:r w:rsidRPr="00EB2E7B">
        <w:rPr>
          <w:rFonts w:asciiTheme="minorHAnsi" w:hAnsiTheme="minorHAnsi" w:cstheme="minorHAnsi"/>
          <w:sz w:val="20"/>
          <w:szCs w:val="20"/>
        </w:rPr>
        <w:t>w pkt.</w:t>
      </w:r>
      <w:r w:rsidR="7D7A2B26" w:rsidRPr="00EB2E7B">
        <w:rPr>
          <w:rFonts w:asciiTheme="minorHAnsi" w:hAnsiTheme="minorHAnsi" w:cstheme="minorHAnsi"/>
          <w:sz w:val="20"/>
          <w:szCs w:val="20"/>
        </w:rPr>
        <w:t xml:space="preserve"> </w:t>
      </w:r>
      <w:r w:rsidR="00BC03AD" w:rsidRPr="00EB2E7B">
        <w:rPr>
          <w:rFonts w:asciiTheme="minorHAnsi" w:hAnsiTheme="minorHAnsi" w:cstheme="minorHAnsi"/>
          <w:sz w:val="20"/>
          <w:szCs w:val="20"/>
        </w:rPr>
        <w:fldChar w:fldCharType="begin"/>
      </w:r>
      <w:r w:rsidR="00BC03AD" w:rsidRPr="00EB2E7B">
        <w:rPr>
          <w:rFonts w:asciiTheme="minorHAnsi" w:hAnsiTheme="minorHAnsi" w:cstheme="minorHAnsi"/>
          <w:sz w:val="20"/>
          <w:szCs w:val="20"/>
        </w:rPr>
        <w:instrText xml:space="preserve"> REF _Ref180152216 \r \h  \* MERGEFORMAT </w:instrText>
      </w:r>
      <w:r w:rsidR="00BC03AD" w:rsidRPr="00EB2E7B">
        <w:rPr>
          <w:rFonts w:asciiTheme="minorHAnsi" w:hAnsiTheme="minorHAnsi" w:cstheme="minorHAnsi"/>
          <w:sz w:val="20"/>
          <w:szCs w:val="20"/>
        </w:rPr>
      </w:r>
      <w:r w:rsidR="00BC03A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A.8.1</w:t>
      </w:r>
      <w:r w:rsidR="00BC03AD"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124"/>
      <w:r w:rsidR="6EA41118" w:rsidRPr="00EB2E7B">
        <w:rPr>
          <w:rFonts w:asciiTheme="minorHAnsi" w:hAnsiTheme="minorHAnsi" w:cstheme="minorHAnsi"/>
          <w:sz w:val="20"/>
          <w:szCs w:val="20"/>
        </w:rPr>
        <w:t xml:space="preserve"> W przypadku wystąpienia trudności technicznych w funkcjonowaniu systemu informatycznego, o którym mowa w pkt. </w:t>
      </w:r>
      <w:r w:rsidR="00BC03AD" w:rsidRPr="00EB2E7B">
        <w:rPr>
          <w:rFonts w:asciiTheme="minorHAnsi" w:hAnsiTheme="minorHAnsi" w:cstheme="minorHAnsi"/>
          <w:sz w:val="20"/>
          <w:szCs w:val="20"/>
        </w:rPr>
        <w:fldChar w:fldCharType="begin"/>
      </w:r>
      <w:r w:rsidR="00BC03AD" w:rsidRPr="00EB2E7B">
        <w:rPr>
          <w:rFonts w:asciiTheme="minorHAnsi" w:hAnsiTheme="minorHAnsi" w:cstheme="minorHAnsi"/>
          <w:sz w:val="20"/>
          <w:szCs w:val="20"/>
        </w:rPr>
        <w:instrText xml:space="preserve"> REF _Ref180152216 \r \h  \* MERGEFORMAT </w:instrText>
      </w:r>
      <w:r w:rsidR="00BC03AD" w:rsidRPr="00EB2E7B">
        <w:rPr>
          <w:rFonts w:asciiTheme="minorHAnsi" w:hAnsiTheme="minorHAnsi" w:cstheme="minorHAnsi"/>
          <w:sz w:val="20"/>
          <w:szCs w:val="20"/>
        </w:rPr>
      </w:r>
      <w:r w:rsidR="00BC03A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A.8.1</w:t>
      </w:r>
      <w:r w:rsidR="00BC03AD" w:rsidRPr="00EB2E7B">
        <w:rPr>
          <w:rFonts w:asciiTheme="minorHAnsi" w:hAnsiTheme="minorHAnsi" w:cstheme="minorHAnsi"/>
          <w:sz w:val="20"/>
          <w:szCs w:val="20"/>
        </w:rPr>
        <w:fldChar w:fldCharType="end"/>
      </w:r>
      <w:r w:rsidR="6EA41118" w:rsidRPr="00EB2E7B">
        <w:rPr>
          <w:rFonts w:asciiTheme="minorHAnsi" w:hAnsiTheme="minorHAnsi" w:cstheme="minorHAnsi"/>
          <w:sz w:val="20"/>
          <w:szCs w:val="20"/>
        </w:rPr>
        <w:t xml:space="preserve"> uniemożliwiających </w:t>
      </w:r>
      <w:r w:rsidR="5061C9B3" w:rsidRPr="00EB2E7B">
        <w:rPr>
          <w:rFonts w:asciiTheme="minorHAnsi" w:hAnsiTheme="minorHAnsi" w:cstheme="minorHAnsi"/>
          <w:sz w:val="20"/>
          <w:szCs w:val="20"/>
        </w:rPr>
        <w:t xml:space="preserve">przekazywanie informacji, o których mowa w pkt. </w:t>
      </w:r>
      <w:r w:rsidR="00BC03AD" w:rsidRPr="00EB2E7B">
        <w:rPr>
          <w:rFonts w:asciiTheme="minorHAnsi" w:hAnsiTheme="minorHAnsi" w:cstheme="minorHAnsi"/>
          <w:sz w:val="20"/>
          <w:szCs w:val="20"/>
        </w:rPr>
        <w:fldChar w:fldCharType="begin"/>
      </w:r>
      <w:r w:rsidR="00BC03AD" w:rsidRPr="00EB2E7B">
        <w:rPr>
          <w:rFonts w:asciiTheme="minorHAnsi" w:hAnsiTheme="minorHAnsi" w:cstheme="minorHAnsi"/>
          <w:sz w:val="20"/>
          <w:szCs w:val="20"/>
        </w:rPr>
        <w:instrText xml:space="preserve"> REF _Ref75432798 \r \h  \* MERGEFORMAT </w:instrText>
      </w:r>
      <w:r w:rsidR="00BC03AD" w:rsidRPr="00EB2E7B">
        <w:rPr>
          <w:rFonts w:asciiTheme="minorHAnsi" w:hAnsiTheme="minorHAnsi" w:cstheme="minorHAnsi"/>
          <w:sz w:val="20"/>
          <w:szCs w:val="20"/>
        </w:rPr>
      </w:r>
      <w:r w:rsidR="00BC03A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w:t>
      </w:r>
      <w:r w:rsidR="00BC03AD" w:rsidRPr="00EB2E7B">
        <w:rPr>
          <w:rFonts w:asciiTheme="minorHAnsi" w:hAnsiTheme="minorHAnsi" w:cstheme="minorHAnsi"/>
          <w:sz w:val="20"/>
          <w:szCs w:val="20"/>
        </w:rPr>
        <w:fldChar w:fldCharType="end"/>
      </w:r>
      <w:r w:rsidR="5061C9B3" w:rsidRPr="00EB2E7B">
        <w:rPr>
          <w:rFonts w:asciiTheme="minorHAnsi" w:hAnsiTheme="minorHAnsi" w:cstheme="minorHAnsi"/>
          <w:sz w:val="20"/>
          <w:szCs w:val="20"/>
        </w:rPr>
        <w:t>, dopuszcza się wymianę tych informacji</w:t>
      </w:r>
      <w:r w:rsidRPr="00EB2E7B">
        <w:rPr>
          <w:rFonts w:asciiTheme="minorHAnsi" w:hAnsiTheme="minorHAnsi" w:cstheme="minorHAnsi"/>
          <w:sz w:val="20"/>
          <w:szCs w:val="20"/>
        </w:rPr>
        <w:t xml:space="preserve"> za pośrednictwem dedykowanego adresu poczty elektronicznej</w:t>
      </w:r>
      <w:r w:rsidR="215D82E5" w:rsidRPr="00EB2E7B">
        <w:rPr>
          <w:rFonts w:asciiTheme="minorHAnsi" w:hAnsiTheme="minorHAnsi" w:cstheme="minorHAnsi"/>
          <w:sz w:val="20"/>
          <w:szCs w:val="20"/>
        </w:rPr>
        <w:t xml:space="preserve">. </w:t>
      </w:r>
      <w:r w:rsidR="0C17E29C" w:rsidRPr="00EB2E7B">
        <w:rPr>
          <w:rFonts w:asciiTheme="minorHAnsi" w:hAnsiTheme="minorHAnsi" w:cstheme="minorHAnsi"/>
          <w:sz w:val="20"/>
          <w:szCs w:val="20"/>
        </w:rPr>
        <w:t>ACPRO poinformuje Sprzedawcę o gotowości do wymiany informacji za pośrednictwem przedmiotowych systemów informatycznych oraz jej zakresie na 90 dni przed planowanym uruchomieniem wymiany z wykorzystaniem systemów.</w:t>
      </w:r>
    </w:p>
    <w:p w14:paraId="598EA424" w14:textId="5845BC80" w:rsidR="00473957" w:rsidRPr="00EB2E7B" w:rsidRDefault="0077111A">
      <w:pPr>
        <w:pStyle w:val="Nagwek2"/>
        <w:rPr>
          <w:rFonts w:asciiTheme="minorHAnsi" w:hAnsiTheme="minorHAnsi" w:cstheme="minorHAnsi"/>
          <w:bCs/>
          <w:sz w:val="20"/>
          <w:szCs w:val="20"/>
        </w:rPr>
      </w:pPr>
      <w:bookmarkStart w:id="125" w:name="_Ref75427026"/>
      <w:bookmarkStart w:id="126" w:name="_Toc180153720"/>
      <w:bookmarkStart w:id="127" w:name="_Toc239333313"/>
      <w:r w:rsidRPr="00EB2E7B">
        <w:rPr>
          <w:rFonts w:asciiTheme="minorHAnsi" w:hAnsiTheme="minorHAnsi" w:cstheme="minorHAnsi"/>
          <w:sz w:val="20"/>
          <w:szCs w:val="20"/>
        </w:rPr>
        <w:t xml:space="preserve">WYMAGANIA TECHNICZNE DLA </w:t>
      </w:r>
      <w:r w:rsidR="001D1331" w:rsidRPr="00EB2E7B">
        <w:rPr>
          <w:rFonts w:asciiTheme="minorHAnsi" w:hAnsiTheme="minorHAnsi" w:cstheme="minorHAnsi"/>
          <w:sz w:val="20"/>
          <w:szCs w:val="20"/>
        </w:rPr>
        <w:t>JEDNOSTEK</w:t>
      </w:r>
      <w:r w:rsidRPr="00EB2E7B">
        <w:rPr>
          <w:rFonts w:asciiTheme="minorHAnsi" w:hAnsiTheme="minorHAnsi" w:cstheme="minorHAnsi"/>
          <w:sz w:val="20"/>
          <w:szCs w:val="20"/>
        </w:rPr>
        <w:t xml:space="preserve"> WYTWÓRCZYCH, SIECI, URZĄDZEŃ ODBIORCÓW, POŁĄCZEŃ MIĘDZYSTEMOWYCH, LINII BEZPOŚREDNICH ORAZ UKŁADÓW I SYSTEMÓW POMIAROWO-ROZLICZENIOWYCH</w:t>
      </w:r>
      <w:bookmarkEnd w:id="125"/>
      <w:bookmarkEnd w:id="126"/>
      <w:bookmarkEnd w:id="127"/>
    </w:p>
    <w:p w14:paraId="503BE340" w14:textId="77777777" w:rsidR="00473957" w:rsidRPr="00EB2E7B" w:rsidRDefault="0077111A" w:rsidP="003A5506">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ogólne </w:t>
      </w:r>
    </w:p>
    <w:p w14:paraId="2489F6DA" w14:textId="20299D12" w:rsidR="007B1814" w:rsidRPr="00EB2E7B" w:rsidRDefault="00804FE3" w:rsidP="009A432E">
      <w:pPr>
        <w:pStyle w:val="Nagwek4"/>
        <w:rPr>
          <w:rFonts w:asciiTheme="minorHAnsi" w:hAnsiTheme="minorHAnsi" w:cstheme="minorHAnsi"/>
          <w:sz w:val="20"/>
          <w:szCs w:val="20"/>
        </w:rPr>
      </w:pPr>
      <w:bookmarkStart w:id="128" w:name="_Ref75433102"/>
      <w:r w:rsidRPr="00EB2E7B">
        <w:rPr>
          <w:rFonts w:asciiTheme="minorHAnsi" w:hAnsiTheme="minorHAnsi" w:cstheme="minorHAnsi"/>
          <w:sz w:val="20"/>
          <w:szCs w:val="20"/>
        </w:rPr>
        <w:t>U</w:t>
      </w:r>
      <w:r w:rsidR="007B1814" w:rsidRPr="00EB2E7B">
        <w:rPr>
          <w:rFonts w:asciiTheme="minorHAnsi" w:hAnsiTheme="minorHAnsi" w:cstheme="minorHAnsi"/>
          <w:sz w:val="20"/>
          <w:szCs w:val="20"/>
        </w:rPr>
        <w:t xml:space="preserve">rządzenia, instalacje i sieci podmiotów </w:t>
      </w:r>
      <w:r w:rsidRPr="00EB2E7B">
        <w:rPr>
          <w:rFonts w:asciiTheme="minorHAnsi" w:hAnsiTheme="minorHAnsi" w:cstheme="minorHAnsi"/>
          <w:sz w:val="20"/>
          <w:szCs w:val="20"/>
        </w:rPr>
        <w:t>przyłączonych lub przyłączanych (</w:t>
      </w:r>
      <w:r w:rsidR="007B1814" w:rsidRPr="00EB2E7B">
        <w:rPr>
          <w:rFonts w:asciiTheme="minorHAnsi" w:hAnsiTheme="minorHAnsi" w:cstheme="minorHAnsi"/>
          <w:sz w:val="20"/>
          <w:szCs w:val="20"/>
        </w:rPr>
        <w:t>ubiegających się o przyłączenie</w:t>
      </w:r>
      <w:r w:rsidRPr="00EB2E7B">
        <w:rPr>
          <w:rFonts w:asciiTheme="minorHAnsi" w:hAnsiTheme="minorHAnsi" w:cstheme="minorHAnsi"/>
          <w:sz w:val="20"/>
          <w:szCs w:val="20"/>
        </w:rPr>
        <w:t>)</w:t>
      </w:r>
      <w:r w:rsidR="007037EE" w:rsidRPr="00EB2E7B">
        <w:rPr>
          <w:rFonts w:asciiTheme="minorHAnsi" w:hAnsiTheme="minorHAnsi" w:cstheme="minorHAnsi"/>
          <w:sz w:val="20"/>
          <w:szCs w:val="20"/>
        </w:rPr>
        <w:t xml:space="preserve"> do sieci dystrybucyjnych ACPRO</w:t>
      </w:r>
      <w:r w:rsidR="007B1814" w:rsidRPr="00EB2E7B">
        <w:rPr>
          <w:rFonts w:asciiTheme="minorHAnsi" w:hAnsiTheme="minorHAnsi" w:cstheme="minorHAnsi"/>
          <w:sz w:val="20"/>
          <w:szCs w:val="20"/>
        </w:rPr>
        <w:t>, muszą spełniać wymagania techniczne i eksploatacyjne zapewniające:</w:t>
      </w:r>
      <w:bookmarkEnd w:id="128"/>
    </w:p>
    <w:p w14:paraId="5BCFD28C" w14:textId="77777777" w:rsidR="00473957" w:rsidRPr="00EB2E7B" w:rsidRDefault="0077111A" w:rsidP="00AE6943">
      <w:pPr>
        <w:pStyle w:val="1przed"/>
        <w:numPr>
          <w:ilvl w:val="0"/>
          <w:numId w:val="28"/>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bezpieczeństwo funkcjonowania systemu elektroenergetycznego, </w:t>
      </w:r>
    </w:p>
    <w:p w14:paraId="4ECD3E64" w14:textId="77777777" w:rsidR="00473957" w:rsidRPr="00EB2E7B" w:rsidRDefault="0077111A" w:rsidP="00AE694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zabezpieczenie systemu elektroenergetycznego przed uszkodzeniami spowodowanymi niewłaściwą pracą przyłączonych urządzeń, instalacji i</w:t>
      </w:r>
      <w:r w:rsidR="005911BF" w:rsidRPr="00EB2E7B">
        <w:rPr>
          <w:rFonts w:asciiTheme="minorHAnsi" w:hAnsiTheme="minorHAnsi" w:cstheme="minorHAnsi"/>
          <w:sz w:val="20"/>
          <w:szCs w:val="20"/>
        </w:rPr>
        <w:t> </w:t>
      </w:r>
      <w:r w:rsidRPr="00EB2E7B">
        <w:rPr>
          <w:rFonts w:asciiTheme="minorHAnsi" w:hAnsiTheme="minorHAnsi" w:cstheme="minorHAnsi"/>
          <w:sz w:val="20"/>
          <w:szCs w:val="20"/>
        </w:rPr>
        <w:t xml:space="preserve">sieci, </w:t>
      </w:r>
    </w:p>
    <w:p w14:paraId="32DF73FF" w14:textId="77777777" w:rsidR="007B1814" w:rsidRPr="00EB2E7B" w:rsidRDefault="007B1814" w:rsidP="00AE694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zabezpieczenie przyłączonych urządzeń, instalacji i sieci przed uszkodzeniami w przypadku awarii lub wprowadzenia ograniczeń w</w:t>
      </w:r>
      <w:r w:rsidR="005911BF" w:rsidRPr="00EB2E7B">
        <w:rPr>
          <w:rFonts w:asciiTheme="minorHAnsi" w:hAnsiTheme="minorHAnsi" w:cstheme="minorHAnsi"/>
          <w:sz w:val="20"/>
          <w:szCs w:val="20"/>
        </w:rPr>
        <w:t> </w:t>
      </w:r>
      <w:r w:rsidRPr="00EB2E7B">
        <w:rPr>
          <w:rFonts w:asciiTheme="minorHAnsi" w:hAnsiTheme="minorHAnsi" w:cstheme="minorHAnsi"/>
          <w:sz w:val="20"/>
          <w:szCs w:val="20"/>
        </w:rPr>
        <w:t>poborze lub dostarczaniu energii,</w:t>
      </w:r>
    </w:p>
    <w:p w14:paraId="4171C62B" w14:textId="77777777" w:rsidR="00473957" w:rsidRPr="00EB2E7B" w:rsidRDefault="0077111A" w:rsidP="00AE694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dotrzymanie w miejscu przyłączenia urządzeń, instalacji i sieci parametrów jakościowych energii, </w:t>
      </w:r>
    </w:p>
    <w:p w14:paraId="44CC32DE" w14:textId="77777777" w:rsidR="00473957" w:rsidRPr="00EB2E7B" w:rsidRDefault="0077111A" w:rsidP="00AE694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spełnianie wymagań w zakresie ochrony środowiska, określonych w</w:t>
      </w:r>
      <w:r w:rsidR="005911BF" w:rsidRPr="00EB2E7B">
        <w:rPr>
          <w:rFonts w:asciiTheme="minorHAnsi" w:hAnsiTheme="minorHAnsi" w:cstheme="minorHAnsi"/>
          <w:sz w:val="20"/>
          <w:szCs w:val="20"/>
        </w:rPr>
        <w:t> </w:t>
      </w:r>
      <w:r w:rsidRPr="00EB2E7B">
        <w:rPr>
          <w:rFonts w:asciiTheme="minorHAnsi" w:hAnsiTheme="minorHAnsi" w:cstheme="minorHAnsi"/>
          <w:sz w:val="20"/>
          <w:szCs w:val="20"/>
        </w:rPr>
        <w:t xml:space="preserve">odrębnych przepisach, </w:t>
      </w:r>
    </w:p>
    <w:p w14:paraId="68C840EB" w14:textId="36BC0AE2" w:rsidR="00473957" w:rsidRPr="00EB2E7B" w:rsidRDefault="00644A0A" w:rsidP="00AE694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możliwość dokonywania pomiarów wielkości i parametrów, w tym niezbędnych do prowadzenia ruchu sieci oraz rozliczeń.</w:t>
      </w:r>
      <w:r w:rsidR="0077111A" w:rsidRPr="00EB2E7B">
        <w:rPr>
          <w:rFonts w:asciiTheme="minorHAnsi" w:hAnsiTheme="minorHAnsi" w:cstheme="minorHAnsi"/>
          <w:sz w:val="20"/>
          <w:szCs w:val="20"/>
        </w:rPr>
        <w:t xml:space="preserve"> </w:t>
      </w:r>
    </w:p>
    <w:p w14:paraId="656F6224" w14:textId="0E5E1C0F"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Urządzenia, instalacje i sieci, o których mowa w pkt.</w:t>
      </w:r>
      <w:r w:rsidR="009E49A8" w:rsidRPr="00EB2E7B">
        <w:rPr>
          <w:rFonts w:asciiTheme="minorHAnsi" w:hAnsiTheme="minorHAnsi" w:cstheme="minorHAnsi"/>
          <w:sz w:val="20"/>
          <w:szCs w:val="20"/>
        </w:rPr>
        <w:t xml:space="preserve"> </w:t>
      </w:r>
      <w:r w:rsidR="009E49A8" w:rsidRPr="00EB2E7B">
        <w:rPr>
          <w:rFonts w:asciiTheme="minorHAnsi" w:hAnsiTheme="minorHAnsi" w:cstheme="minorHAnsi"/>
          <w:sz w:val="20"/>
          <w:szCs w:val="20"/>
        </w:rPr>
        <w:fldChar w:fldCharType="begin"/>
      </w:r>
      <w:r w:rsidR="009E49A8" w:rsidRPr="00EB2E7B">
        <w:rPr>
          <w:rFonts w:asciiTheme="minorHAnsi" w:hAnsiTheme="minorHAnsi" w:cstheme="minorHAnsi"/>
          <w:sz w:val="20"/>
          <w:szCs w:val="20"/>
        </w:rPr>
        <w:instrText xml:space="preserve"> REF _Ref75433102 \r \h </w:instrText>
      </w:r>
      <w:r w:rsidR="004D74FE" w:rsidRPr="00EB2E7B">
        <w:rPr>
          <w:rFonts w:asciiTheme="minorHAnsi" w:hAnsiTheme="minorHAnsi" w:cstheme="minorHAnsi"/>
          <w:sz w:val="20"/>
          <w:szCs w:val="20"/>
        </w:rPr>
        <w:instrText xml:space="preserve"> \* MERGEFORMAT </w:instrText>
      </w:r>
      <w:r w:rsidR="009E49A8" w:rsidRPr="00EB2E7B">
        <w:rPr>
          <w:rFonts w:asciiTheme="minorHAnsi" w:hAnsiTheme="minorHAnsi" w:cstheme="minorHAnsi"/>
          <w:sz w:val="20"/>
          <w:szCs w:val="20"/>
        </w:rPr>
      </w:r>
      <w:r w:rsidR="009E49A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II.4.1.1</w:t>
      </w:r>
      <w:r w:rsidR="009E49A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muszą spełniać także wymagania określone w odrębnych przepisach, w szczególności przepisach: prawa budowlanego, o ochronie przeciwporażeniowej, o ochronie przeciwprzepięciowej, o ochronie przeciwpożarowej, o systemie oceny zgodności oraz w przepisach dotyczących technologii wytwarzania energii.</w:t>
      </w:r>
    </w:p>
    <w:p w14:paraId="7D14F90F"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Budowa linii bezpośredniej wymaga, przed wydaniem decyzji o pozwoleniu na budowę w rozumieniu przepisów prawa budowlanego, uzyskania zgody Prezesa Urzędu Regulacji Energetyki; zgoda jest udzielana w drodze decyzji. </w:t>
      </w:r>
    </w:p>
    <w:p w14:paraId="28A3A990" w14:textId="7DDDF62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Urządzenia, instalacje i sieci podmiotów ubiegających się o przyłączenie oraz podmiotów przyłączonych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nie mogą wprowadzać do sieci zaburzeń parametrów technicznych energii elektrycznej powyżej dopuszczalnych poziomów określonych w warunkach przyłączenia i/lub pkt.</w:t>
      </w:r>
      <w:r w:rsidR="00ED0D10" w:rsidRPr="00EB2E7B">
        <w:rPr>
          <w:rFonts w:asciiTheme="minorHAnsi" w:hAnsiTheme="minorHAnsi" w:cstheme="minorHAnsi"/>
          <w:sz w:val="20"/>
          <w:szCs w:val="20"/>
        </w:rPr>
        <w:t xml:space="preserve"> </w:t>
      </w:r>
      <w:r w:rsidR="00A03742" w:rsidRPr="00EB2E7B">
        <w:rPr>
          <w:rFonts w:asciiTheme="minorHAnsi" w:hAnsiTheme="minorHAnsi" w:cstheme="minorHAnsi"/>
          <w:sz w:val="20"/>
          <w:szCs w:val="20"/>
        </w:rPr>
        <w:fldChar w:fldCharType="begin"/>
      </w:r>
      <w:r w:rsidR="00A03742" w:rsidRPr="00EB2E7B">
        <w:rPr>
          <w:rFonts w:asciiTheme="minorHAnsi" w:hAnsiTheme="minorHAnsi" w:cstheme="minorHAnsi"/>
          <w:sz w:val="20"/>
          <w:szCs w:val="20"/>
        </w:rPr>
        <w:instrText xml:space="preserve"> REF _Ref183617371 \r \h </w:instrText>
      </w:r>
      <w:r w:rsidR="00846EB8" w:rsidRPr="00EB2E7B">
        <w:rPr>
          <w:rFonts w:asciiTheme="minorHAnsi" w:hAnsiTheme="minorHAnsi" w:cstheme="minorHAnsi"/>
          <w:sz w:val="20"/>
          <w:szCs w:val="20"/>
        </w:rPr>
        <w:instrText xml:space="preserve"> \* MERGEFORMAT </w:instrText>
      </w:r>
      <w:r w:rsidR="00A03742" w:rsidRPr="00EB2E7B">
        <w:rPr>
          <w:rFonts w:asciiTheme="minorHAnsi" w:hAnsiTheme="minorHAnsi" w:cstheme="minorHAnsi"/>
          <w:sz w:val="20"/>
          <w:szCs w:val="20"/>
        </w:rPr>
      </w:r>
      <w:r w:rsidR="00A0374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VIII.3</w:t>
      </w:r>
      <w:r w:rsidR="00A0374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powodujących pogorszenie parametrów jakościowych energii elektrycznej określonych odpowiednio w rozporządzeniu wydanym na podstawie delegacji zawartej w ustawie Prawo energetyczne lub w umowie o</w:t>
      </w:r>
      <w:r w:rsidR="005911BF" w:rsidRPr="00EB2E7B">
        <w:rPr>
          <w:rFonts w:asciiTheme="minorHAnsi" w:hAnsiTheme="minorHAnsi" w:cstheme="minorHAnsi"/>
          <w:sz w:val="20"/>
          <w:szCs w:val="20"/>
        </w:rPr>
        <w:t> </w:t>
      </w:r>
      <w:r w:rsidRPr="00EB2E7B">
        <w:rPr>
          <w:rFonts w:asciiTheme="minorHAnsi" w:hAnsiTheme="minorHAnsi" w:cstheme="minorHAnsi"/>
          <w:sz w:val="20"/>
          <w:szCs w:val="20"/>
        </w:rPr>
        <w:t>świadczenie usług dystrybucji lub umowie kompleksowej lub zawartych w</w:t>
      </w:r>
      <w:r w:rsidR="00B44D50" w:rsidRPr="00EB2E7B">
        <w:rPr>
          <w:rFonts w:asciiTheme="minorHAnsi" w:hAnsiTheme="minorHAnsi" w:cstheme="minorHAnsi"/>
          <w:sz w:val="20"/>
          <w:szCs w:val="20"/>
        </w:rPr>
        <w:t> </w:t>
      </w:r>
      <w:r w:rsidRPr="00EB2E7B">
        <w:rPr>
          <w:rFonts w:asciiTheme="minorHAnsi" w:hAnsiTheme="minorHAnsi" w:cstheme="minorHAnsi"/>
          <w:sz w:val="20"/>
          <w:szCs w:val="20"/>
        </w:rPr>
        <w:t>pkt.</w:t>
      </w:r>
      <w:r w:rsidR="009E49A8" w:rsidRPr="00EB2E7B">
        <w:rPr>
          <w:rFonts w:asciiTheme="minorHAnsi" w:hAnsiTheme="minorHAnsi" w:cstheme="minorHAnsi"/>
          <w:sz w:val="20"/>
          <w:szCs w:val="20"/>
        </w:rPr>
        <w:t xml:space="preserve"> </w:t>
      </w:r>
      <w:r w:rsidR="009E49A8" w:rsidRPr="00EB2E7B">
        <w:rPr>
          <w:rFonts w:asciiTheme="minorHAnsi" w:hAnsiTheme="minorHAnsi" w:cstheme="minorHAnsi"/>
          <w:sz w:val="20"/>
          <w:szCs w:val="20"/>
        </w:rPr>
        <w:fldChar w:fldCharType="begin"/>
      </w:r>
      <w:r w:rsidR="009E49A8" w:rsidRPr="00EB2E7B">
        <w:rPr>
          <w:rFonts w:asciiTheme="minorHAnsi" w:hAnsiTheme="minorHAnsi" w:cstheme="minorHAnsi"/>
          <w:sz w:val="20"/>
          <w:szCs w:val="20"/>
        </w:rPr>
        <w:instrText xml:space="preserve"> REF _Ref75433168 \r \h </w:instrText>
      </w:r>
      <w:r w:rsidR="005F44A5" w:rsidRPr="00EB2E7B">
        <w:rPr>
          <w:rFonts w:asciiTheme="minorHAnsi" w:hAnsiTheme="minorHAnsi" w:cstheme="minorHAnsi"/>
          <w:sz w:val="20"/>
          <w:szCs w:val="20"/>
        </w:rPr>
        <w:instrText xml:space="preserve"> \* MERGEFORMAT </w:instrText>
      </w:r>
      <w:r w:rsidR="009E49A8" w:rsidRPr="00EB2E7B">
        <w:rPr>
          <w:rFonts w:asciiTheme="minorHAnsi" w:hAnsiTheme="minorHAnsi" w:cstheme="minorHAnsi"/>
          <w:sz w:val="20"/>
          <w:szCs w:val="20"/>
        </w:rPr>
      </w:r>
      <w:r w:rsidR="009E49A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VIII.1</w:t>
      </w:r>
      <w:r w:rsidR="009E49A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29ACCF8F" w14:textId="5861E7F5" w:rsidR="00473957" w:rsidRPr="00EB2E7B" w:rsidRDefault="0077111A" w:rsidP="009A432E">
      <w:pPr>
        <w:pStyle w:val="Nagwek4"/>
        <w:rPr>
          <w:rFonts w:asciiTheme="minorHAnsi" w:hAnsiTheme="minorHAnsi" w:cstheme="minorHAnsi"/>
          <w:sz w:val="20"/>
          <w:szCs w:val="20"/>
        </w:rPr>
      </w:pPr>
      <w:bookmarkStart w:id="129" w:name="_Ref75433275"/>
      <w:r w:rsidRPr="00EB2E7B">
        <w:rPr>
          <w:rFonts w:asciiTheme="minorHAnsi" w:hAnsiTheme="minorHAnsi" w:cstheme="minorHAnsi"/>
          <w:sz w:val="20"/>
          <w:szCs w:val="20"/>
        </w:rPr>
        <w:t xml:space="preserve">Jeżeli w dacie wejścia w życie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urządzenia, instalacje lub sieci przyłączone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nie spełniają wymagań technicznych, o których mowa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wówczas wymagania techniczne stawiane tym urządzeniom, instalacjom lub sieciom, muszą zostać spełnione po przeprowadzonej modernizacji</w:t>
      </w:r>
      <w:r w:rsidR="004B1965" w:rsidRPr="00EB2E7B">
        <w:rPr>
          <w:rFonts w:asciiTheme="minorHAnsi" w:hAnsiTheme="minorHAnsi" w:cstheme="minorHAnsi"/>
          <w:sz w:val="20"/>
          <w:szCs w:val="20"/>
        </w:rPr>
        <w:t xml:space="preserve"> dotyczącej wymagań technicznych</w:t>
      </w:r>
      <w:r w:rsidRPr="00EB2E7B">
        <w:rPr>
          <w:rFonts w:asciiTheme="minorHAnsi" w:hAnsiTheme="minorHAnsi" w:cstheme="minorHAnsi"/>
          <w:sz w:val="20"/>
          <w:szCs w:val="20"/>
        </w:rPr>
        <w:t>, której zakres obejmuje również urządzenia, instalacje lub sieci nie spełniające wymagań.</w:t>
      </w:r>
      <w:bookmarkEnd w:id="129"/>
    </w:p>
    <w:p w14:paraId="65A3570C" w14:textId="4DF30BA0" w:rsidR="00473957" w:rsidRPr="00EB2E7B" w:rsidRDefault="0077111A" w:rsidP="009A432E">
      <w:pPr>
        <w:pStyle w:val="Nagwek4"/>
        <w:rPr>
          <w:rFonts w:asciiTheme="minorHAnsi" w:hAnsiTheme="minorHAnsi" w:cstheme="minorHAnsi"/>
          <w:sz w:val="20"/>
          <w:szCs w:val="20"/>
        </w:rPr>
      </w:pPr>
      <w:bookmarkStart w:id="130" w:name="_Ref75433283"/>
      <w:r w:rsidRPr="00EB2E7B">
        <w:rPr>
          <w:rFonts w:asciiTheme="minorHAnsi" w:hAnsiTheme="minorHAnsi" w:cstheme="minorHAnsi"/>
          <w:sz w:val="20"/>
          <w:szCs w:val="20"/>
        </w:rPr>
        <w:t xml:space="preserve">Jeżeli ograniczenia techniczne, w tym zastosowana technologia urządzeń, instalacji lub sieci, pomimo planowanej do przeprowadzenia modernizacji, uniemożliwia spełnienie wymagań technicznych, o których mowa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wówczas podmiot posiadający ww. urządzenia, instalacje lub sieci, na etapie opracowywania założeń do planowanej modernizacji przekazuje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opinię o braku możliwości spełniania tych wymagań. Jeżeli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zgłosi uzasadnione wątpliwości dotyczące ww. opinii, wówczas podmiot przedkładający tę opinię ma obowiązek przedłożyć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opinię w tym zakresie sporządzoną przez niezależną firmę ekspercką.</w:t>
      </w:r>
      <w:bookmarkEnd w:id="130"/>
      <w:r w:rsidRPr="00EB2E7B">
        <w:rPr>
          <w:rFonts w:asciiTheme="minorHAnsi" w:hAnsiTheme="minorHAnsi" w:cstheme="minorHAnsi"/>
          <w:sz w:val="20"/>
          <w:szCs w:val="20"/>
        </w:rPr>
        <w:t xml:space="preserve"> </w:t>
      </w:r>
    </w:p>
    <w:p w14:paraId="464F46BE" w14:textId="709F2DA5" w:rsidR="00473957" w:rsidRPr="00EB2E7B" w:rsidRDefault="00073FC4" w:rsidP="001A3305">
      <w:pPr>
        <w:ind w:left="1134" w:firstLine="0"/>
        <w:rPr>
          <w:rFonts w:asciiTheme="minorHAnsi" w:hAnsiTheme="minorHAnsi" w:cstheme="minorHAnsi"/>
          <w:sz w:val="20"/>
          <w:szCs w:val="20"/>
        </w:rPr>
      </w:pPr>
      <w:r w:rsidRPr="00EB2E7B">
        <w:rPr>
          <w:rFonts w:asciiTheme="minorHAnsi" w:hAnsiTheme="minorHAnsi" w:cstheme="minorHAnsi"/>
          <w:sz w:val="20"/>
          <w:szCs w:val="20"/>
        </w:rPr>
        <w:t>Postanowienia tego punktu</w:t>
      </w:r>
      <w:r w:rsidR="0077111A" w:rsidRPr="00EB2E7B">
        <w:rPr>
          <w:rFonts w:asciiTheme="minorHAnsi" w:hAnsiTheme="minorHAnsi" w:cstheme="minorHAnsi"/>
          <w:sz w:val="20"/>
          <w:szCs w:val="20"/>
        </w:rPr>
        <w:t xml:space="preserve"> nie dotyczą układów pomiarowo-rozliczeniowych energii elektrycznej. </w:t>
      </w:r>
    </w:p>
    <w:p w14:paraId="55972BD0" w14:textId="0F8687A7" w:rsidR="00644A0A" w:rsidRPr="00EB2E7B" w:rsidRDefault="00644A0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Wymagania techniczne w zakresie przyłączania do sieci, funkcjonowania oraz zapewniania bezpieczeństwa pracy urządzeń, instalacji i sieci określają przepisy Rozporządzenia Parlamentu Europejskiego i Rady (UE) 2019/943 z dnia 5 czerwca 2019 r. w sprawie rynku wewnętrznego energii elektrycznej Dz. Urz. UE L 158/54 z 14.06.2019 r.,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xml:space="preserve">. zm., zwane dalej „rozporządzeniem 2019/943”), przepisy wydane na podstawie art. 59 i art. 61 rozporządzenia 2019/943, </w:t>
      </w:r>
      <w:r w:rsidRPr="00EB2E7B">
        <w:rPr>
          <w:rFonts w:asciiTheme="minorHAnsi" w:hAnsiTheme="minorHAnsi" w:cstheme="minorHAnsi"/>
          <w:sz w:val="20"/>
          <w:szCs w:val="20"/>
        </w:rPr>
        <w:lastRenderedPageBreak/>
        <w:t xml:space="preserve">postanowienia TCM przyjętych na podstawie rozporządzeń Komisji Europejskiej wydanych na podstawie art. 59 i art. 61 rozporządzenia 2019/943, załącznik nr 1 do Rozporządzenia systemowego oraz niniejsza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6A59C9A0" w14:textId="77777777" w:rsidR="00473957" w:rsidRPr="00EB2E7B" w:rsidRDefault="0077111A" w:rsidP="003A5506">
      <w:pPr>
        <w:pStyle w:val="Nagwek3gruby"/>
        <w:ind w:left="1134" w:hanging="1134"/>
        <w:rPr>
          <w:rFonts w:asciiTheme="minorHAnsi" w:hAnsiTheme="minorHAnsi" w:cstheme="minorHAnsi"/>
          <w:sz w:val="20"/>
          <w:szCs w:val="20"/>
        </w:rPr>
      </w:pPr>
      <w:bookmarkStart w:id="131" w:name="_Ref75433591"/>
      <w:r w:rsidRPr="00EB2E7B">
        <w:rPr>
          <w:rFonts w:asciiTheme="minorHAnsi" w:hAnsiTheme="minorHAnsi" w:cstheme="minorHAnsi"/>
          <w:sz w:val="20"/>
          <w:szCs w:val="20"/>
        </w:rPr>
        <w:t>Wymagania techniczne dla urządzeń, instalacji i sieci odbiorców</w:t>
      </w:r>
      <w:bookmarkEnd w:id="131"/>
      <w:r w:rsidRPr="00EB2E7B">
        <w:rPr>
          <w:rFonts w:asciiTheme="minorHAnsi" w:hAnsiTheme="minorHAnsi" w:cstheme="minorHAnsi"/>
          <w:sz w:val="20"/>
          <w:szCs w:val="20"/>
        </w:rPr>
        <w:t xml:space="preserve"> </w:t>
      </w:r>
    </w:p>
    <w:p w14:paraId="119900D4" w14:textId="55F30774"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Urządzenia, instalacje i sieci przyłączone do sieci</w:t>
      </w:r>
      <w:r w:rsidR="008877C8" w:rsidRPr="00EB2E7B">
        <w:rPr>
          <w:rFonts w:asciiTheme="minorHAnsi" w:hAnsiTheme="minorHAnsi" w:cstheme="minorHAnsi"/>
          <w:sz w:val="20"/>
          <w:szCs w:val="20"/>
        </w:rPr>
        <w:t xml:space="preserve"> SN</w:t>
      </w:r>
      <w:r w:rsidR="008E67EA" w:rsidRPr="00EB2E7B">
        <w:rPr>
          <w:rFonts w:asciiTheme="minorHAnsi" w:hAnsiTheme="minorHAnsi" w:cstheme="minorHAnsi"/>
          <w:sz w:val="20"/>
          <w:szCs w:val="20"/>
        </w:rPr>
        <w:t xml:space="preserve"> i </w:t>
      </w:r>
      <w:proofErr w:type="spellStart"/>
      <w:r w:rsidR="008E67EA"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muszą być przystosowane do warunków zwarciowych w miejscu ich przyłączenia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225F3D2C" w14:textId="206FA94A" w:rsidR="001C4D50"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r w:rsidR="009E49A8" w:rsidRPr="00EB2E7B">
        <w:rPr>
          <w:rFonts w:asciiTheme="minorHAnsi" w:hAnsiTheme="minorHAnsi" w:cstheme="minorHAnsi"/>
          <w:sz w:val="20"/>
          <w:szCs w:val="20"/>
        </w:rPr>
        <w:t>określa warunki stosowania elektroenergetycznej automatyki zabezpieczeniowej przez podmioty przyłączone</w:t>
      </w:r>
      <w:r w:rsidR="0020720C" w:rsidRPr="00EB2E7B">
        <w:rPr>
          <w:rFonts w:asciiTheme="minorHAnsi" w:hAnsiTheme="minorHAnsi" w:cstheme="minorHAnsi"/>
          <w:sz w:val="20"/>
          <w:szCs w:val="20"/>
        </w:rPr>
        <w:t xml:space="preserve"> do sieci SN i </w:t>
      </w:r>
      <w:proofErr w:type="spellStart"/>
      <w:r w:rsidR="0020720C" w:rsidRPr="00EB2E7B">
        <w:rPr>
          <w:rFonts w:asciiTheme="minorHAnsi" w:hAnsiTheme="minorHAnsi" w:cstheme="minorHAnsi"/>
          <w:sz w:val="20"/>
          <w:szCs w:val="20"/>
        </w:rPr>
        <w:t>nN</w:t>
      </w:r>
      <w:r w:rsidR="001C4D50" w:rsidRPr="00EB2E7B">
        <w:rPr>
          <w:rFonts w:asciiTheme="minorHAnsi" w:hAnsiTheme="minorHAnsi" w:cstheme="minorHAnsi"/>
          <w:sz w:val="20"/>
          <w:szCs w:val="20"/>
        </w:rPr>
        <w:t>.</w:t>
      </w:r>
      <w:proofErr w:type="spellEnd"/>
    </w:p>
    <w:p w14:paraId="35C1889A" w14:textId="77C27972" w:rsidR="00473957" w:rsidRPr="00EB2E7B" w:rsidRDefault="00C207F1"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Wymagania techniczne w zakresie EAZ, dla urządzeń, instalacji i sieci przyłączonych do sieci SN 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określone są w pkt.</w:t>
      </w:r>
      <w:r w:rsidR="00F5204F" w:rsidRPr="00EB2E7B">
        <w:rPr>
          <w:rFonts w:asciiTheme="minorHAnsi" w:hAnsiTheme="minorHAnsi" w:cstheme="minorHAnsi"/>
          <w:sz w:val="20"/>
          <w:szCs w:val="20"/>
        </w:rPr>
        <w:t xml:space="preserve"> </w:t>
      </w:r>
      <w:r w:rsidR="00F5204F" w:rsidRPr="00EB2E7B">
        <w:rPr>
          <w:rFonts w:asciiTheme="minorHAnsi" w:hAnsiTheme="minorHAnsi" w:cstheme="minorHAnsi"/>
          <w:sz w:val="20"/>
          <w:szCs w:val="20"/>
        </w:rPr>
        <w:fldChar w:fldCharType="begin"/>
      </w:r>
      <w:r w:rsidR="00F5204F" w:rsidRPr="00EB2E7B">
        <w:rPr>
          <w:rFonts w:asciiTheme="minorHAnsi" w:hAnsiTheme="minorHAnsi" w:cstheme="minorHAnsi"/>
          <w:sz w:val="20"/>
          <w:szCs w:val="20"/>
        </w:rPr>
        <w:instrText xml:space="preserve"> REF _Ref190079610 \w \h  \* MERGEFORMAT </w:instrText>
      </w:r>
      <w:r w:rsidR="00F5204F" w:rsidRPr="00EB2E7B">
        <w:rPr>
          <w:rFonts w:asciiTheme="minorHAnsi" w:hAnsiTheme="minorHAnsi" w:cstheme="minorHAnsi"/>
          <w:sz w:val="20"/>
          <w:szCs w:val="20"/>
        </w:rPr>
      </w:r>
      <w:r w:rsidR="00F5204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II.4.5</w:t>
      </w:r>
      <w:r w:rsidR="00F5204F"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5CA24FA4" w14:textId="77777777" w:rsidR="00473957" w:rsidRPr="00EB2E7B" w:rsidRDefault="0077111A" w:rsidP="003A5506">
      <w:pPr>
        <w:pStyle w:val="Nagwek3gruby"/>
        <w:ind w:left="1134" w:hanging="1134"/>
        <w:rPr>
          <w:rFonts w:asciiTheme="minorHAnsi" w:hAnsiTheme="minorHAnsi" w:cstheme="minorHAnsi"/>
          <w:sz w:val="20"/>
          <w:szCs w:val="20"/>
        </w:rPr>
      </w:pPr>
      <w:bookmarkStart w:id="132" w:name="_Ref75433599"/>
      <w:r w:rsidRPr="00EB2E7B">
        <w:rPr>
          <w:rFonts w:asciiTheme="minorHAnsi" w:hAnsiTheme="minorHAnsi" w:cstheme="minorHAnsi"/>
          <w:sz w:val="20"/>
          <w:szCs w:val="20"/>
        </w:rPr>
        <w:t>Wymagania techniczne dla jednostek wytwórczych</w:t>
      </w:r>
      <w:bookmarkEnd w:id="132"/>
      <w:r w:rsidRPr="00EB2E7B">
        <w:rPr>
          <w:rFonts w:asciiTheme="minorHAnsi" w:hAnsiTheme="minorHAnsi" w:cstheme="minorHAnsi"/>
          <w:sz w:val="20"/>
          <w:szCs w:val="20"/>
        </w:rPr>
        <w:t xml:space="preserve">  </w:t>
      </w:r>
    </w:p>
    <w:p w14:paraId="59D61C4B" w14:textId="25A6FEC4" w:rsidR="00473957" w:rsidRPr="00EB2E7B" w:rsidRDefault="0077111A" w:rsidP="009A432E">
      <w:pPr>
        <w:pStyle w:val="Nagwek4"/>
        <w:rPr>
          <w:rFonts w:asciiTheme="minorHAnsi" w:hAnsiTheme="minorHAnsi" w:cstheme="minorHAnsi"/>
          <w:sz w:val="20"/>
          <w:szCs w:val="20"/>
        </w:rPr>
      </w:pPr>
      <w:bookmarkStart w:id="133" w:name="_Ref75433485"/>
      <w:r w:rsidRPr="00EB2E7B">
        <w:rPr>
          <w:rFonts w:asciiTheme="minorHAnsi" w:hAnsiTheme="minorHAnsi" w:cstheme="minorHAnsi"/>
          <w:sz w:val="20"/>
          <w:szCs w:val="20"/>
        </w:rPr>
        <w:t xml:space="preserve">Wymagania techniczne </w:t>
      </w:r>
      <w:r w:rsidR="00E55703" w:rsidRPr="00EB2E7B">
        <w:rPr>
          <w:rFonts w:asciiTheme="minorHAnsi" w:hAnsiTheme="minorHAnsi" w:cstheme="minorHAnsi"/>
          <w:sz w:val="20"/>
          <w:szCs w:val="20"/>
        </w:rPr>
        <w:t xml:space="preserve">oraz zalecenia </w:t>
      </w:r>
      <w:r w:rsidRPr="00EB2E7B">
        <w:rPr>
          <w:rFonts w:asciiTheme="minorHAnsi" w:hAnsiTheme="minorHAnsi" w:cstheme="minorHAnsi"/>
          <w:sz w:val="20"/>
          <w:szCs w:val="20"/>
        </w:rPr>
        <w:t xml:space="preserve">dla jednostek </w:t>
      </w:r>
      <w:r w:rsidR="00DC324B" w:rsidRPr="00EB2E7B">
        <w:rPr>
          <w:rFonts w:asciiTheme="minorHAnsi" w:hAnsiTheme="minorHAnsi" w:cstheme="minorHAnsi"/>
          <w:sz w:val="20"/>
          <w:szCs w:val="20"/>
        </w:rPr>
        <w:t>wytwórczych</w:t>
      </w:r>
      <w:r w:rsidR="00A25DF5" w:rsidRPr="00EB2E7B">
        <w:rPr>
          <w:rFonts w:asciiTheme="minorHAnsi" w:hAnsiTheme="minorHAnsi" w:cstheme="minorHAnsi"/>
          <w:sz w:val="20"/>
          <w:szCs w:val="20"/>
        </w:rPr>
        <w:t xml:space="preserve"> o mocy osiągalnej niższej niż 50 MW przy</w:t>
      </w:r>
      <w:r w:rsidR="00AF6EA2" w:rsidRPr="00EB2E7B">
        <w:rPr>
          <w:rFonts w:asciiTheme="minorHAnsi" w:hAnsiTheme="minorHAnsi" w:cstheme="minorHAnsi"/>
          <w:sz w:val="20"/>
          <w:szCs w:val="20"/>
        </w:rPr>
        <w:t>łączonych do sieci innej ni</w:t>
      </w:r>
      <w:r w:rsidR="00B73E71" w:rsidRPr="00EB2E7B">
        <w:rPr>
          <w:rFonts w:asciiTheme="minorHAnsi" w:hAnsiTheme="minorHAnsi" w:cstheme="minorHAnsi"/>
          <w:sz w:val="20"/>
          <w:szCs w:val="20"/>
        </w:rPr>
        <w:t xml:space="preserve">ż koordynowana sieć 110 </w:t>
      </w:r>
      <w:proofErr w:type="spellStart"/>
      <w:r w:rsidR="00B73E71" w:rsidRPr="00EB2E7B">
        <w:rPr>
          <w:rFonts w:asciiTheme="minorHAnsi" w:hAnsiTheme="minorHAnsi" w:cstheme="minorHAnsi"/>
          <w:sz w:val="20"/>
          <w:szCs w:val="20"/>
        </w:rPr>
        <w:t>kV</w:t>
      </w:r>
      <w:proofErr w:type="spellEnd"/>
      <w:r w:rsidR="00DC324B"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są ustalane pomiędzy wytwórcą, a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z uwzględnieniem szczegółowych wymagań technicznych dla jednostek wytwórczych przyłączanych do sieci dystrybucyjnej określonych w niniejszym rozdziale oraz Załączniku</w:t>
      </w:r>
      <w:r w:rsidR="001564FC" w:rsidRPr="00EB2E7B">
        <w:rPr>
          <w:rFonts w:asciiTheme="minorHAnsi" w:hAnsiTheme="minorHAnsi" w:cstheme="minorHAnsi"/>
          <w:sz w:val="20"/>
          <w:szCs w:val="20"/>
        </w:rPr>
        <w:t xml:space="preserve"> nr 1</w:t>
      </w:r>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133"/>
      <w:r w:rsidRPr="00EB2E7B">
        <w:rPr>
          <w:rFonts w:asciiTheme="minorHAnsi" w:hAnsiTheme="minorHAnsi" w:cstheme="minorHAnsi"/>
          <w:sz w:val="20"/>
          <w:szCs w:val="20"/>
        </w:rPr>
        <w:t xml:space="preserve"> </w:t>
      </w:r>
    </w:p>
    <w:p w14:paraId="060861A9" w14:textId="4EF0F8AA" w:rsidR="006C67C9"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Wymagania techniczne dla jednostek wytwórczych o których mowa w pkt.</w:t>
      </w:r>
      <w:r w:rsidR="003C68F4" w:rsidRPr="00EB2E7B">
        <w:rPr>
          <w:rFonts w:asciiTheme="minorHAnsi" w:hAnsiTheme="minorHAnsi" w:cstheme="minorHAnsi"/>
          <w:sz w:val="20"/>
          <w:szCs w:val="20"/>
        </w:rPr>
        <w:t xml:space="preserve"> </w:t>
      </w:r>
      <w:r w:rsidR="003C68F4" w:rsidRPr="00EB2E7B">
        <w:rPr>
          <w:rFonts w:asciiTheme="minorHAnsi" w:hAnsiTheme="minorHAnsi" w:cstheme="minorHAnsi"/>
          <w:sz w:val="20"/>
          <w:szCs w:val="20"/>
        </w:rPr>
        <w:fldChar w:fldCharType="begin"/>
      </w:r>
      <w:r w:rsidR="003C68F4" w:rsidRPr="00EB2E7B">
        <w:rPr>
          <w:rFonts w:asciiTheme="minorHAnsi" w:hAnsiTheme="minorHAnsi" w:cstheme="minorHAnsi"/>
          <w:sz w:val="20"/>
          <w:szCs w:val="20"/>
        </w:rPr>
        <w:instrText xml:space="preserve"> REF _Ref75433485 \r \h </w:instrText>
      </w:r>
      <w:r w:rsidR="00807C29" w:rsidRPr="00EB2E7B">
        <w:rPr>
          <w:rFonts w:asciiTheme="minorHAnsi" w:hAnsiTheme="minorHAnsi" w:cstheme="minorHAnsi"/>
          <w:sz w:val="20"/>
          <w:szCs w:val="20"/>
        </w:rPr>
        <w:instrText xml:space="preserve"> \* MERGEFORMAT </w:instrText>
      </w:r>
      <w:r w:rsidR="003C68F4" w:rsidRPr="00EB2E7B">
        <w:rPr>
          <w:rFonts w:asciiTheme="minorHAnsi" w:hAnsiTheme="minorHAnsi" w:cstheme="minorHAnsi"/>
          <w:sz w:val="20"/>
          <w:szCs w:val="20"/>
        </w:rPr>
      </w:r>
      <w:r w:rsidR="003C68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II.4.3.1</w:t>
      </w:r>
      <w:r w:rsidR="003C68F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obejmują, w zależności od potrzeb, wymagania w zakresie: </w:t>
      </w:r>
    </w:p>
    <w:p w14:paraId="0A973FE7" w14:textId="77777777" w:rsidR="00473957"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układów wzbudzenia, </w:t>
      </w:r>
    </w:p>
    <w:p w14:paraId="7CB4A063" w14:textId="77777777" w:rsidR="003A5506"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układów regulacji napięcia,</w:t>
      </w:r>
    </w:p>
    <w:p w14:paraId="677B3A89" w14:textId="19D26BD4" w:rsidR="00473957" w:rsidRPr="00EB2E7B" w:rsidRDefault="003A5506"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sposobów wykorzystania układów grupowej regulacji napięć jednostek wytwórczych (Układ ARNE),</w:t>
      </w:r>
    </w:p>
    <w:p w14:paraId="6E282C35" w14:textId="07188C82" w:rsidR="00473957"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systemów elektroenergetycznej automatyki zabezpieczeniowej, </w:t>
      </w:r>
    </w:p>
    <w:p w14:paraId="1634DA47" w14:textId="1C259E2D" w:rsidR="00473957"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urządzeń regulacji pierwotnej, </w:t>
      </w:r>
    </w:p>
    <w:p w14:paraId="04A6945D" w14:textId="52909A1F" w:rsidR="00473957"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czasów rozruchu i minimalnej liczby rozruchów w ciągu roku, </w:t>
      </w:r>
    </w:p>
    <w:p w14:paraId="05965A9A" w14:textId="46F6098B" w:rsidR="00473957"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ograniczników maksymalnych prądów stojana i wirnika, </w:t>
      </w:r>
    </w:p>
    <w:p w14:paraId="741E7CDD" w14:textId="54DB4331" w:rsidR="00473957"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możliwości synchronizacji jednostki wytwórczej z siecią, </w:t>
      </w:r>
    </w:p>
    <w:p w14:paraId="50A92FF5" w14:textId="014FA5E8" w:rsidR="00473957"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wytwarzanych mocy czynnych i biernych, </w:t>
      </w:r>
    </w:p>
    <w:p w14:paraId="05A1A5A5" w14:textId="25D37F57" w:rsidR="00473957" w:rsidRPr="00EB2E7B" w:rsidRDefault="0077111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wyposażenia linii blokowych w układy automatyki</w:t>
      </w:r>
      <w:r w:rsidR="00644A0A" w:rsidRPr="00EB2E7B">
        <w:rPr>
          <w:rFonts w:asciiTheme="minorHAnsi" w:hAnsiTheme="minorHAnsi" w:cstheme="minorHAnsi"/>
          <w:sz w:val="20"/>
          <w:szCs w:val="20"/>
        </w:rPr>
        <w:t>,</w:t>
      </w:r>
    </w:p>
    <w:p w14:paraId="682724F6" w14:textId="40DDB7FF" w:rsidR="00644A0A" w:rsidRPr="00EB2E7B" w:rsidRDefault="00644A0A" w:rsidP="003A5506">
      <w:pPr>
        <w:pStyle w:val="aprzed"/>
        <w:numPr>
          <w:ilvl w:val="0"/>
          <w:numId w:val="29"/>
        </w:numPr>
        <w:ind w:left="1701" w:hanging="566"/>
        <w:rPr>
          <w:rFonts w:asciiTheme="minorHAnsi" w:hAnsiTheme="minorHAnsi" w:cstheme="minorHAnsi"/>
          <w:sz w:val="20"/>
          <w:szCs w:val="20"/>
        </w:rPr>
      </w:pPr>
      <w:r w:rsidRPr="00EB2E7B">
        <w:rPr>
          <w:rFonts w:asciiTheme="minorHAnsi" w:hAnsiTheme="minorHAnsi" w:cstheme="minorHAnsi"/>
          <w:sz w:val="20"/>
          <w:szCs w:val="20"/>
        </w:rPr>
        <w:t>magazynu energii elektrycznej, gdy jest częścią jednostki wytwórczej.</w:t>
      </w:r>
    </w:p>
    <w:p w14:paraId="165B7849" w14:textId="12B81DBD" w:rsidR="00367EDE" w:rsidRPr="00EB2E7B" w:rsidRDefault="00367EDE"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Wymagania techniczne </w:t>
      </w:r>
      <w:r w:rsidR="00227315" w:rsidRPr="00EB2E7B">
        <w:rPr>
          <w:rFonts w:asciiTheme="minorHAnsi" w:hAnsiTheme="minorHAnsi" w:cstheme="minorHAnsi"/>
          <w:sz w:val="20"/>
          <w:szCs w:val="20"/>
        </w:rPr>
        <w:t xml:space="preserve">w zakresie EAZ, dla jednostek wytwórczych przyłączonych do sieci SN i </w:t>
      </w:r>
      <w:proofErr w:type="spellStart"/>
      <w:r w:rsidR="00227315" w:rsidRPr="00EB2E7B">
        <w:rPr>
          <w:rFonts w:asciiTheme="minorHAnsi" w:hAnsiTheme="minorHAnsi" w:cstheme="minorHAnsi"/>
          <w:sz w:val="20"/>
          <w:szCs w:val="20"/>
        </w:rPr>
        <w:t>nN</w:t>
      </w:r>
      <w:proofErr w:type="spellEnd"/>
      <w:r w:rsidR="00227315" w:rsidRPr="00EB2E7B">
        <w:rPr>
          <w:rFonts w:asciiTheme="minorHAnsi" w:hAnsiTheme="minorHAnsi" w:cstheme="minorHAnsi"/>
          <w:sz w:val="20"/>
          <w:szCs w:val="20"/>
        </w:rPr>
        <w:t>, określone są w pkt.</w:t>
      </w:r>
      <w:r w:rsidR="008D36AB" w:rsidRPr="00EB2E7B">
        <w:rPr>
          <w:rFonts w:asciiTheme="minorHAnsi" w:hAnsiTheme="minorHAnsi" w:cstheme="minorHAnsi"/>
          <w:sz w:val="20"/>
          <w:szCs w:val="20"/>
        </w:rPr>
        <w:t xml:space="preserve"> </w:t>
      </w:r>
      <w:r w:rsidR="008D36AB" w:rsidRPr="00EB2E7B">
        <w:rPr>
          <w:rFonts w:asciiTheme="minorHAnsi" w:hAnsiTheme="minorHAnsi" w:cstheme="minorHAnsi"/>
          <w:sz w:val="20"/>
          <w:szCs w:val="20"/>
        </w:rPr>
        <w:fldChar w:fldCharType="begin"/>
      </w:r>
      <w:r w:rsidR="008D36AB" w:rsidRPr="00EB2E7B">
        <w:rPr>
          <w:rFonts w:asciiTheme="minorHAnsi" w:hAnsiTheme="minorHAnsi" w:cstheme="minorHAnsi"/>
          <w:sz w:val="20"/>
          <w:szCs w:val="20"/>
        </w:rPr>
        <w:instrText xml:space="preserve"> REF _Ref190079610 \w \h  \* MERGEFORMAT </w:instrText>
      </w:r>
      <w:r w:rsidR="008D36AB" w:rsidRPr="00EB2E7B">
        <w:rPr>
          <w:rFonts w:asciiTheme="minorHAnsi" w:hAnsiTheme="minorHAnsi" w:cstheme="minorHAnsi"/>
          <w:sz w:val="20"/>
          <w:szCs w:val="20"/>
        </w:rPr>
      </w:r>
      <w:r w:rsidR="008D36A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II.4.5</w:t>
      </w:r>
      <w:r w:rsidR="008D36AB" w:rsidRPr="00EB2E7B">
        <w:rPr>
          <w:rFonts w:asciiTheme="minorHAnsi" w:hAnsiTheme="minorHAnsi" w:cstheme="minorHAnsi"/>
          <w:sz w:val="20"/>
          <w:szCs w:val="20"/>
        </w:rPr>
        <w:fldChar w:fldCharType="end"/>
      </w:r>
      <w:r w:rsidR="00227315"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p w14:paraId="255C640A" w14:textId="77777777" w:rsidR="00473957" w:rsidRPr="00EB2E7B" w:rsidRDefault="0077111A" w:rsidP="003A5506">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Wymagania</w:t>
      </w:r>
      <w:r w:rsidR="00B25ECA" w:rsidRPr="00EB2E7B">
        <w:rPr>
          <w:rFonts w:asciiTheme="minorHAnsi" w:hAnsiTheme="minorHAnsi" w:cstheme="minorHAnsi"/>
          <w:sz w:val="20"/>
          <w:szCs w:val="20"/>
        </w:rPr>
        <w:t xml:space="preserve"> </w:t>
      </w:r>
      <w:r w:rsidRPr="00EB2E7B">
        <w:rPr>
          <w:rFonts w:asciiTheme="minorHAnsi" w:hAnsiTheme="minorHAnsi" w:cstheme="minorHAnsi"/>
          <w:sz w:val="20"/>
          <w:szCs w:val="20"/>
        </w:rPr>
        <w:t>techniczne dla połączeń międzysystemowych oraz linii bezpośrednich</w:t>
      </w:r>
    </w:p>
    <w:p w14:paraId="647696D7" w14:textId="75445F22"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Warunkiem przystąpienia do budowy </w:t>
      </w:r>
      <w:r w:rsidR="00A30D9A" w:rsidRPr="00EB2E7B">
        <w:rPr>
          <w:rFonts w:asciiTheme="minorHAnsi" w:hAnsiTheme="minorHAnsi" w:cstheme="minorHAnsi"/>
          <w:sz w:val="20"/>
          <w:szCs w:val="20"/>
        </w:rPr>
        <w:t>połącze</w:t>
      </w:r>
      <w:r w:rsidR="00AF5329" w:rsidRPr="00EB2E7B">
        <w:rPr>
          <w:rFonts w:asciiTheme="minorHAnsi" w:hAnsiTheme="minorHAnsi" w:cstheme="minorHAnsi"/>
          <w:sz w:val="20"/>
          <w:szCs w:val="20"/>
        </w:rPr>
        <w:t xml:space="preserve">ń </w:t>
      </w:r>
      <w:r w:rsidR="00865D97" w:rsidRPr="00EB2E7B">
        <w:rPr>
          <w:rFonts w:asciiTheme="minorHAnsi" w:hAnsiTheme="minorHAnsi" w:cstheme="minorHAnsi"/>
          <w:sz w:val="20"/>
          <w:szCs w:val="20"/>
        </w:rPr>
        <w:t xml:space="preserve">międzysystemowych oraz </w:t>
      </w:r>
      <w:r w:rsidRPr="00EB2E7B">
        <w:rPr>
          <w:rFonts w:asciiTheme="minorHAnsi" w:hAnsiTheme="minorHAnsi" w:cstheme="minorHAnsi"/>
          <w:sz w:val="20"/>
          <w:szCs w:val="20"/>
        </w:rPr>
        <w:t xml:space="preserve">linii bezpośrednich jest wcześniejsze spełnienie wymagań zawartych w ustawie Prawo energetyczne. </w:t>
      </w:r>
    </w:p>
    <w:p w14:paraId="3485B3B0" w14:textId="560B1E66" w:rsidR="00473957" w:rsidRPr="00EB2E7B" w:rsidRDefault="0077111A" w:rsidP="009A432E">
      <w:pPr>
        <w:pStyle w:val="Nagwek4"/>
        <w:rPr>
          <w:rFonts w:asciiTheme="minorHAnsi" w:hAnsiTheme="minorHAnsi" w:cstheme="minorHAnsi"/>
          <w:sz w:val="20"/>
          <w:szCs w:val="20"/>
        </w:rPr>
      </w:pPr>
      <w:bookmarkStart w:id="134" w:name="_Ref75433556"/>
      <w:r w:rsidRPr="00EB2E7B">
        <w:rPr>
          <w:rFonts w:asciiTheme="minorHAnsi" w:hAnsiTheme="minorHAnsi" w:cstheme="minorHAnsi"/>
          <w:sz w:val="20"/>
          <w:szCs w:val="20"/>
        </w:rPr>
        <w:t>Budowa i przyłączanie linii bezpośrednich</w:t>
      </w:r>
      <w:r w:rsidR="005E5226" w:rsidRPr="00EB2E7B">
        <w:rPr>
          <w:rFonts w:asciiTheme="minorHAnsi" w:hAnsiTheme="minorHAnsi" w:cstheme="minorHAnsi"/>
          <w:sz w:val="20"/>
          <w:szCs w:val="20"/>
        </w:rPr>
        <w:t xml:space="preserve"> oraz realizacja połączeń międzysystemowych</w:t>
      </w:r>
      <w:r w:rsidRPr="00EB2E7B">
        <w:rPr>
          <w:rFonts w:asciiTheme="minorHAnsi" w:hAnsiTheme="minorHAnsi" w:cstheme="minorHAnsi"/>
          <w:sz w:val="20"/>
          <w:szCs w:val="20"/>
        </w:rPr>
        <w:t xml:space="preserve"> winny odbywać się z zachowaniem zasad dotyczących przyłączania określonych w pkt.</w:t>
      </w:r>
      <w:r w:rsidR="003C68F4" w:rsidRPr="00EB2E7B">
        <w:rPr>
          <w:rFonts w:asciiTheme="minorHAnsi" w:hAnsiTheme="minorHAnsi" w:cstheme="minorHAnsi"/>
          <w:sz w:val="20"/>
          <w:szCs w:val="20"/>
        </w:rPr>
        <w:t xml:space="preserve"> </w:t>
      </w:r>
      <w:r w:rsidR="003C68F4" w:rsidRPr="00EB2E7B">
        <w:rPr>
          <w:rFonts w:asciiTheme="minorHAnsi" w:hAnsiTheme="minorHAnsi" w:cstheme="minorHAnsi"/>
          <w:sz w:val="20"/>
          <w:szCs w:val="20"/>
        </w:rPr>
        <w:fldChar w:fldCharType="begin"/>
      </w:r>
      <w:r w:rsidR="003C68F4" w:rsidRPr="00EB2E7B">
        <w:rPr>
          <w:rFonts w:asciiTheme="minorHAnsi" w:hAnsiTheme="minorHAnsi" w:cstheme="minorHAnsi"/>
          <w:sz w:val="20"/>
          <w:szCs w:val="20"/>
        </w:rPr>
        <w:instrText xml:space="preserve"> REF _Ref75433525 \r \h </w:instrText>
      </w:r>
      <w:r w:rsidR="00D675B3" w:rsidRPr="00EB2E7B">
        <w:rPr>
          <w:rFonts w:asciiTheme="minorHAnsi" w:hAnsiTheme="minorHAnsi" w:cstheme="minorHAnsi"/>
          <w:sz w:val="20"/>
          <w:szCs w:val="20"/>
        </w:rPr>
        <w:instrText xml:space="preserve"> \* MERGEFORMAT </w:instrText>
      </w:r>
      <w:r w:rsidR="003C68F4" w:rsidRPr="00EB2E7B">
        <w:rPr>
          <w:rFonts w:asciiTheme="minorHAnsi" w:hAnsiTheme="minorHAnsi" w:cstheme="minorHAnsi"/>
          <w:sz w:val="20"/>
          <w:szCs w:val="20"/>
        </w:rPr>
      </w:r>
      <w:r w:rsidR="003C68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II.1</w:t>
      </w:r>
      <w:r w:rsidR="003C68F4"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134"/>
      <w:r w:rsidRPr="00EB2E7B">
        <w:rPr>
          <w:rFonts w:asciiTheme="minorHAnsi" w:hAnsiTheme="minorHAnsi" w:cstheme="minorHAnsi"/>
          <w:sz w:val="20"/>
          <w:szCs w:val="20"/>
        </w:rPr>
        <w:t xml:space="preserve"> </w:t>
      </w:r>
    </w:p>
    <w:p w14:paraId="084B2AE7" w14:textId="48DAF946" w:rsidR="00473957"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lastRenderedPageBreak/>
        <w:t>ACPRO</w:t>
      </w:r>
      <w:r w:rsidR="0077111A" w:rsidRPr="00EB2E7B">
        <w:rPr>
          <w:rFonts w:asciiTheme="minorHAnsi" w:hAnsiTheme="minorHAnsi" w:cstheme="minorHAnsi"/>
          <w:sz w:val="20"/>
          <w:szCs w:val="20"/>
        </w:rPr>
        <w:t xml:space="preserve"> może podjąć decyzję o odstąpieniu od konieczności realizacji części lub całości zasad, o których mowa w pkt.</w:t>
      </w:r>
      <w:r w:rsidR="003C68F4" w:rsidRPr="00EB2E7B">
        <w:rPr>
          <w:rFonts w:asciiTheme="minorHAnsi" w:hAnsiTheme="minorHAnsi" w:cstheme="minorHAnsi"/>
          <w:sz w:val="20"/>
          <w:szCs w:val="20"/>
        </w:rPr>
        <w:t xml:space="preserve"> </w:t>
      </w:r>
      <w:r w:rsidR="003C68F4" w:rsidRPr="00EB2E7B">
        <w:rPr>
          <w:rFonts w:asciiTheme="minorHAnsi" w:hAnsiTheme="minorHAnsi" w:cstheme="minorHAnsi"/>
          <w:sz w:val="20"/>
          <w:szCs w:val="20"/>
        </w:rPr>
        <w:fldChar w:fldCharType="begin"/>
      </w:r>
      <w:r w:rsidR="003C68F4" w:rsidRPr="00EB2E7B">
        <w:rPr>
          <w:rFonts w:asciiTheme="minorHAnsi" w:hAnsiTheme="minorHAnsi" w:cstheme="minorHAnsi"/>
          <w:sz w:val="20"/>
          <w:szCs w:val="20"/>
        </w:rPr>
        <w:instrText xml:space="preserve"> REF _Ref75433556 \r \h </w:instrText>
      </w:r>
      <w:r w:rsidR="00886B06" w:rsidRPr="00EB2E7B">
        <w:rPr>
          <w:rFonts w:asciiTheme="minorHAnsi" w:hAnsiTheme="minorHAnsi" w:cstheme="minorHAnsi"/>
          <w:sz w:val="20"/>
          <w:szCs w:val="20"/>
        </w:rPr>
        <w:instrText xml:space="preserve"> \* MERGEFORMAT </w:instrText>
      </w:r>
      <w:r w:rsidR="003C68F4" w:rsidRPr="00EB2E7B">
        <w:rPr>
          <w:rFonts w:asciiTheme="minorHAnsi" w:hAnsiTheme="minorHAnsi" w:cstheme="minorHAnsi"/>
          <w:sz w:val="20"/>
          <w:szCs w:val="20"/>
        </w:rPr>
      </w:r>
      <w:r w:rsidR="003C68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II.4.4.2</w:t>
      </w:r>
      <w:r w:rsidR="003C68F4"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t>
      </w:r>
    </w:p>
    <w:p w14:paraId="46B989BA" w14:textId="7877E848" w:rsidR="00473957" w:rsidRPr="00EB2E7B" w:rsidRDefault="00802ADF" w:rsidP="009A432E">
      <w:pPr>
        <w:pStyle w:val="Nagwek4"/>
        <w:rPr>
          <w:rFonts w:asciiTheme="minorHAnsi" w:hAnsiTheme="minorHAnsi" w:cstheme="minorHAnsi"/>
          <w:sz w:val="20"/>
          <w:szCs w:val="20"/>
        </w:rPr>
      </w:pPr>
      <w:r w:rsidRPr="00EB2E7B">
        <w:rPr>
          <w:rFonts w:asciiTheme="minorHAnsi" w:hAnsiTheme="minorHAnsi" w:cstheme="minorHAnsi"/>
          <w:sz w:val="20"/>
          <w:szCs w:val="20"/>
        </w:rPr>
        <w:t>Połączenia międzysystemowe, l</w:t>
      </w:r>
      <w:r w:rsidR="0077111A" w:rsidRPr="00EB2E7B">
        <w:rPr>
          <w:rFonts w:asciiTheme="minorHAnsi" w:hAnsiTheme="minorHAnsi" w:cstheme="minorHAnsi"/>
          <w:sz w:val="20"/>
          <w:szCs w:val="20"/>
        </w:rPr>
        <w:t>inie bezpośrednie oraz łączone za ich pośrednictwem urządzenia, instalacje, sieci oraz jednostki wytwórcze, winny spełniać wymagania techniczne określone w pkt.</w:t>
      </w:r>
      <w:r w:rsidR="003C68F4" w:rsidRPr="00EB2E7B">
        <w:rPr>
          <w:rFonts w:asciiTheme="minorHAnsi" w:hAnsiTheme="minorHAnsi" w:cstheme="minorHAnsi"/>
          <w:sz w:val="20"/>
          <w:szCs w:val="20"/>
        </w:rPr>
        <w:t xml:space="preserve"> </w:t>
      </w:r>
      <w:r w:rsidR="003C68F4" w:rsidRPr="00EB2E7B">
        <w:rPr>
          <w:rFonts w:asciiTheme="minorHAnsi" w:hAnsiTheme="minorHAnsi" w:cstheme="minorHAnsi"/>
          <w:sz w:val="20"/>
          <w:szCs w:val="20"/>
        </w:rPr>
        <w:fldChar w:fldCharType="begin"/>
      </w:r>
      <w:r w:rsidR="003C68F4" w:rsidRPr="00EB2E7B">
        <w:rPr>
          <w:rFonts w:asciiTheme="minorHAnsi" w:hAnsiTheme="minorHAnsi" w:cstheme="minorHAnsi"/>
          <w:sz w:val="20"/>
          <w:szCs w:val="20"/>
        </w:rPr>
        <w:instrText xml:space="preserve"> REF _Ref75433591 \r \h </w:instrText>
      </w:r>
      <w:r w:rsidR="009F32C8" w:rsidRPr="00EB2E7B">
        <w:rPr>
          <w:rFonts w:asciiTheme="minorHAnsi" w:hAnsiTheme="minorHAnsi" w:cstheme="minorHAnsi"/>
          <w:sz w:val="20"/>
          <w:szCs w:val="20"/>
        </w:rPr>
        <w:instrText xml:space="preserve"> \* MERGEFORMAT </w:instrText>
      </w:r>
      <w:r w:rsidR="003C68F4" w:rsidRPr="00EB2E7B">
        <w:rPr>
          <w:rFonts w:asciiTheme="minorHAnsi" w:hAnsiTheme="minorHAnsi" w:cstheme="minorHAnsi"/>
          <w:sz w:val="20"/>
          <w:szCs w:val="20"/>
        </w:rPr>
      </w:r>
      <w:r w:rsidR="003C68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II.4.2</w:t>
      </w:r>
      <w:r w:rsidR="003C68F4"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oraz </w:t>
      </w:r>
      <w:r w:rsidR="003C68F4" w:rsidRPr="00EB2E7B">
        <w:rPr>
          <w:rFonts w:asciiTheme="minorHAnsi" w:hAnsiTheme="minorHAnsi" w:cstheme="minorHAnsi"/>
          <w:sz w:val="20"/>
          <w:szCs w:val="20"/>
        </w:rPr>
        <w:fldChar w:fldCharType="begin"/>
      </w:r>
      <w:r w:rsidR="003C68F4" w:rsidRPr="00EB2E7B">
        <w:rPr>
          <w:rFonts w:asciiTheme="minorHAnsi" w:hAnsiTheme="minorHAnsi" w:cstheme="minorHAnsi"/>
          <w:sz w:val="20"/>
          <w:szCs w:val="20"/>
        </w:rPr>
        <w:instrText xml:space="preserve"> REF _Ref75433599 \r \h </w:instrText>
      </w:r>
      <w:r w:rsidR="009F32C8" w:rsidRPr="00EB2E7B">
        <w:rPr>
          <w:rFonts w:asciiTheme="minorHAnsi" w:hAnsiTheme="minorHAnsi" w:cstheme="minorHAnsi"/>
          <w:sz w:val="20"/>
          <w:szCs w:val="20"/>
        </w:rPr>
        <w:instrText xml:space="preserve"> \* MERGEFORMAT </w:instrText>
      </w:r>
      <w:r w:rsidR="003C68F4" w:rsidRPr="00EB2E7B">
        <w:rPr>
          <w:rFonts w:asciiTheme="minorHAnsi" w:hAnsiTheme="minorHAnsi" w:cstheme="minorHAnsi"/>
          <w:sz w:val="20"/>
          <w:szCs w:val="20"/>
        </w:rPr>
      </w:r>
      <w:r w:rsidR="003C68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II.4.3</w:t>
      </w:r>
      <w:r w:rsidR="003C68F4"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t>
      </w:r>
    </w:p>
    <w:p w14:paraId="56E58C0C" w14:textId="2E2570CF"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Połączenia międzysystemowe, linie bezpośrednie należy wyposażać w układy i</w:t>
      </w:r>
      <w:r w:rsidR="005911BF" w:rsidRPr="00EB2E7B">
        <w:rPr>
          <w:rFonts w:asciiTheme="minorHAnsi" w:hAnsiTheme="minorHAnsi" w:cstheme="minorHAnsi"/>
          <w:sz w:val="20"/>
          <w:szCs w:val="20"/>
        </w:rPr>
        <w:t> </w:t>
      </w:r>
      <w:r w:rsidRPr="00EB2E7B">
        <w:rPr>
          <w:rFonts w:asciiTheme="minorHAnsi" w:hAnsiTheme="minorHAnsi" w:cstheme="minorHAnsi"/>
          <w:sz w:val="20"/>
          <w:szCs w:val="20"/>
        </w:rPr>
        <w:t>systemy pomiarowo-rozliczeniowe zgodnie z zapisami pkt.</w:t>
      </w:r>
      <w:r w:rsidR="003C68F4" w:rsidRPr="00EB2E7B">
        <w:rPr>
          <w:rFonts w:asciiTheme="minorHAnsi" w:hAnsiTheme="minorHAnsi" w:cstheme="minorHAnsi"/>
          <w:sz w:val="20"/>
          <w:szCs w:val="20"/>
        </w:rPr>
        <w:t xml:space="preserve"> </w:t>
      </w:r>
      <w:r w:rsidR="003C68F4" w:rsidRPr="00EB2E7B">
        <w:rPr>
          <w:rFonts w:asciiTheme="minorHAnsi" w:hAnsiTheme="minorHAnsi" w:cstheme="minorHAnsi"/>
          <w:sz w:val="20"/>
          <w:szCs w:val="20"/>
        </w:rPr>
        <w:fldChar w:fldCharType="begin"/>
      </w:r>
      <w:r w:rsidR="003C68F4" w:rsidRPr="00EB2E7B">
        <w:rPr>
          <w:rFonts w:asciiTheme="minorHAnsi" w:hAnsiTheme="minorHAnsi" w:cstheme="minorHAnsi"/>
          <w:sz w:val="20"/>
          <w:szCs w:val="20"/>
        </w:rPr>
        <w:instrText xml:space="preserve"> REF _Ref75433632 \r \h </w:instrText>
      </w:r>
      <w:r w:rsidR="00524806" w:rsidRPr="00EB2E7B">
        <w:rPr>
          <w:rFonts w:asciiTheme="minorHAnsi" w:hAnsiTheme="minorHAnsi" w:cstheme="minorHAnsi"/>
          <w:sz w:val="20"/>
          <w:szCs w:val="20"/>
        </w:rPr>
        <w:instrText xml:space="preserve"> \* MERGEFORMAT </w:instrText>
      </w:r>
      <w:r w:rsidR="003C68F4" w:rsidRPr="00EB2E7B">
        <w:rPr>
          <w:rFonts w:asciiTheme="minorHAnsi" w:hAnsiTheme="minorHAnsi" w:cstheme="minorHAnsi"/>
          <w:sz w:val="20"/>
          <w:szCs w:val="20"/>
        </w:rPr>
      </w:r>
      <w:r w:rsidR="003C68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w:t>
      </w:r>
      <w:r w:rsidR="003C68F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3F3A7C48" w14:textId="6BFA1EEF"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 uzasadnionych przypadkach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może określić w warunkach</w:t>
      </w:r>
      <w:r w:rsidR="005A3632"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przyłączenia </w:t>
      </w:r>
      <w:r w:rsidR="00EE6343" w:rsidRPr="00EB2E7B">
        <w:rPr>
          <w:rFonts w:asciiTheme="minorHAnsi" w:hAnsiTheme="minorHAnsi" w:cstheme="minorHAnsi"/>
          <w:sz w:val="20"/>
          <w:szCs w:val="20"/>
        </w:rPr>
        <w:t xml:space="preserve">inne lub </w:t>
      </w:r>
      <w:r w:rsidRPr="00EB2E7B">
        <w:rPr>
          <w:rFonts w:asciiTheme="minorHAnsi" w:hAnsiTheme="minorHAnsi" w:cstheme="minorHAnsi"/>
          <w:sz w:val="20"/>
          <w:szCs w:val="20"/>
        </w:rPr>
        <w:t xml:space="preserve">dodatkowe wymagania techniczne związane z przyłączaniem linii bezpośrednich oraz połączeń międzysystemowych. </w:t>
      </w:r>
    </w:p>
    <w:p w14:paraId="41BE9A6B" w14:textId="7DF64EBD" w:rsidR="00473957" w:rsidRPr="00EB2E7B" w:rsidRDefault="00232DA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r w:rsidR="00D12247" w:rsidRPr="00EB2E7B">
        <w:rPr>
          <w:rFonts w:asciiTheme="minorHAnsi" w:hAnsiTheme="minorHAnsi" w:cstheme="minorHAnsi"/>
          <w:sz w:val="20"/>
          <w:szCs w:val="20"/>
        </w:rPr>
        <w:t xml:space="preserve">na zasadach określonych w umowie o świadczenie usług dystrybucji energii elektrycznej </w:t>
      </w:r>
      <w:r w:rsidR="0077111A" w:rsidRPr="00EB2E7B">
        <w:rPr>
          <w:rFonts w:asciiTheme="minorHAnsi" w:hAnsiTheme="minorHAnsi" w:cstheme="minorHAnsi"/>
          <w:sz w:val="20"/>
          <w:szCs w:val="20"/>
        </w:rPr>
        <w:t xml:space="preserve">może zdecydować o czasowym wyłączeniu lub załączeniu </w:t>
      </w:r>
      <w:r w:rsidR="00D12247" w:rsidRPr="00EB2E7B">
        <w:rPr>
          <w:rFonts w:asciiTheme="minorHAnsi" w:hAnsiTheme="minorHAnsi" w:cstheme="minorHAnsi"/>
          <w:sz w:val="20"/>
          <w:szCs w:val="20"/>
        </w:rPr>
        <w:t xml:space="preserve">połączeń międzysystemowych </w:t>
      </w:r>
      <w:r w:rsidR="006B0E9D" w:rsidRPr="00EB2E7B">
        <w:rPr>
          <w:rFonts w:asciiTheme="minorHAnsi" w:hAnsiTheme="minorHAnsi" w:cstheme="minorHAnsi"/>
          <w:sz w:val="20"/>
          <w:szCs w:val="20"/>
        </w:rPr>
        <w:t xml:space="preserve">oraz </w:t>
      </w:r>
      <w:r w:rsidR="0077111A" w:rsidRPr="00EB2E7B">
        <w:rPr>
          <w:rFonts w:asciiTheme="minorHAnsi" w:hAnsiTheme="minorHAnsi" w:cstheme="minorHAnsi"/>
          <w:sz w:val="20"/>
          <w:szCs w:val="20"/>
        </w:rPr>
        <w:t xml:space="preserve">linii bezpośrednich w tym także do pracy w układach innych niż normalny, jeżeli jest to podyktowane względami bezpieczeństwa pracy systemu elektroenergetycznego. </w:t>
      </w:r>
    </w:p>
    <w:p w14:paraId="4836C08E"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Przyłączanie i praca linii bezpośrednich nie może powodować negatywnych skutków dla pozostałych użytkowników sieci dystrybucyjnej np. spowodować pogorszenia parametrów jakościowych energii elektrycznej, pogorszenia niezawodności pracy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7785DE93" w14:textId="77777777" w:rsidR="00473957" w:rsidRPr="00EB2E7B" w:rsidRDefault="0077111A" w:rsidP="003A5506">
      <w:pPr>
        <w:pStyle w:val="Nagwek3gruby"/>
        <w:ind w:left="1134" w:hanging="1134"/>
        <w:rPr>
          <w:rFonts w:asciiTheme="minorHAnsi" w:hAnsiTheme="minorHAnsi" w:cstheme="minorHAnsi"/>
          <w:sz w:val="20"/>
          <w:szCs w:val="20"/>
        </w:rPr>
      </w:pPr>
      <w:bookmarkStart w:id="135" w:name="_Ref190079610"/>
      <w:r w:rsidRPr="00EB2E7B">
        <w:rPr>
          <w:rFonts w:asciiTheme="minorHAnsi" w:hAnsiTheme="minorHAnsi" w:cstheme="minorHAnsi"/>
          <w:sz w:val="20"/>
          <w:szCs w:val="20"/>
        </w:rPr>
        <w:t xml:space="preserve">Wymagania techniczne dla układów </w:t>
      </w:r>
      <w:r w:rsidR="006C67C9" w:rsidRPr="00EB2E7B">
        <w:rPr>
          <w:rFonts w:asciiTheme="minorHAnsi" w:hAnsiTheme="minorHAnsi" w:cstheme="minorHAnsi"/>
          <w:sz w:val="20"/>
          <w:szCs w:val="20"/>
        </w:rPr>
        <w:t>e</w:t>
      </w:r>
      <w:r w:rsidRPr="00EB2E7B">
        <w:rPr>
          <w:rFonts w:asciiTheme="minorHAnsi" w:hAnsiTheme="minorHAnsi" w:cstheme="minorHAnsi"/>
          <w:sz w:val="20"/>
          <w:szCs w:val="20"/>
        </w:rPr>
        <w:t>lektroenergetycznej automatyki zabezpieczeniowej i urządzeń współpracujących.</w:t>
      </w:r>
      <w:bookmarkEnd w:id="135"/>
      <w:r w:rsidRPr="00EB2E7B">
        <w:rPr>
          <w:rFonts w:asciiTheme="minorHAnsi" w:hAnsiTheme="minorHAnsi" w:cstheme="minorHAnsi"/>
          <w:sz w:val="20"/>
          <w:szCs w:val="20"/>
        </w:rPr>
        <w:t xml:space="preserve"> </w:t>
      </w:r>
    </w:p>
    <w:p w14:paraId="65B8A92F"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Wymagania ogólne. </w:t>
      </w:r>
    </w:p>
    <w:p w14:paraId="783F4C9C" w14:textId="39BF98A4"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zawarte w niniejszym rozdziale dotyczą urządzeń i układów EAZ w obiektach </w:t>
      </w:r>
      <w:r w:rsidR="002E2938" w:rsidRPr="00EB2E7B">
        <w:rPr>
          <w:rFonts w:asciiTheme="minorHAnsi" w:hAnsiTheme="minorHAnsi" w:cstheme="minorHAnsi"/>
          <w:sz w:val="20"/>
          <w:szCs w:val="20"/>
        </w:rPr>
        <w:t xml:space="preserve">podmiotów przyłączanych – </w:t>
      </w:r>
      <w:r w:rsidRPr="00EB2E7B">
        <w:rPr>
          <w:rFonts w:asciiTheme="minorHAnsi" w:hAnsiTheme="minorHAnsi" w:cstheme="minorHAnsi"/>
          <w:sz w:val="20"/>
          <w:szCs w:val="20"/>
        </w:rPr>
        <w:t xml:space="preserve">nowobudowanych i </w:t>
      </w:r>
      <w:r w:rsidR="002E2938" w:rsidRPr="00EB2E7B">
        <w:rPr>
          <w:rFonts w:asciiTheme="minorHAnsi" w:hAnsiTheme="minorHAnsi" w:cstheme="minorHAnsi"/>
          <w:sz w:val="20"/>
          <w:szCs w:val="20"/>
        </w:rPr>
        <w:t xml:space="preserve">przyłączonych </w:t>
      </w:r>
      <w:r w:rsidRPr="00EB2E7B">
        <w:rPr>
          <w:rFonts w:asciiTheme="minorHAnsi" w:hAnsiTheme="minorHAnsi" w:cstheme="minorHAnsi"/>
          <w:sz w:val="20"/>
          <w:szCs w:val="20"/>
        </w:rPr>
        <w:t xml:space="preserve">modernizowanych. </w:t>
      </w:r>
    </w:p>
    <w:p w14:paraId="7BC78435" w14:textId="697F5E76" w:rsidR="00473957" w:rsidRPr="00EB2E7B" w:rsidRDefault="3FE7975F"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Układy i urządzenia EAZ powinny spełniać szczegółowe wymagania określone przez ACPRO. Układy i urządzenia EAZ powinny być na etapie projektów wstępnych techniczno-montażowych uzgadniane i zatwierdzane przez ACPRO. Dotyczy to w szczególności doboru i nastaw funkcji zabezpieczeniowych, realizacji impulsów wyłączających oraz sposobu zasilania napięciem pomocniczym. </w:t>
      </w:r>
    </w:p>
    <w:p w14:paraId="3027E9CE" w14:textId="77777777" w:rsidR="00473957" w:rsidRPr="00EB2E7B" w:rsidRDefault="0077111A" w:rsidP="00113925">
      <w:pPr>
        <w:ind w:left="1134"/>
        <w:rPr>
          <w:rFonts w:asciiTheme="minorHAnsi" w:hAnsiTheme="minorHAnsi" w:cstheme="minorHAnsi"/>
          <w:sz w:val="20"/>
          <w:szCs w:val="20"/>
        </w:rPr>
      </w:pPr>
      <w:r w:rsidRPr="00EB2E7B">
        <w:rPr>
          <w:rFonts w:asciiTheme="minorHAnsi" w:hAnsiTheme="minorHAnsi" w:cstheme="minorHAnsi"/>
          <w:sz w:val="20"/>
          <w:szCs w:val="20"/>
        </w:rPr>
        <w:t xml:space="preserve">Urządzenia i elementy stosowane w EAZ oraz urządzenia i układy współpracujące z EAZ powinny być wykonane zgodnie z aktualnymi normami, a jeśli w danym zakresie brak norm, należy korzystać z aktualnej wiedzy technicznej. Zgodność ta powinna być potwierdzona odpowiednimi dokumentami. </w:t>
      </w:r>
    </w:p>
    <w:p w14:paraId="064143C1" w14:textId="78F936F8" w:rsidR="00473957" w:rsidRPr="00EB2E7B" w:rsidRDefault="3FE7975F"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Czasy działania układów EAZ muszą spełniać wymagania aktualnego rozporządzenia dotyczącego funkcjonowania systemu elektroenergetycznego. </w:t>
      </w:r>
    </w:p>
    <w:p w14:paraId="10D0F445" w14:textId="4AA8159A"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Warunki </w:t>
      </w:r>
      <w:r w:rsidR="00EA5C40" w:rsidRPr="00EB2E7B">
        <w:rPr>
          <w:rFonts w:asciiTheme="minorHAnsi" w:hAnsiTheme="minorHAnsi" w:cstheme="minorHAnsi"/>
          <w:sz w:val="20"/>
          <w:szCs w:val="20"/>
        </w:rPr>
        <w:t>przyłączenia wydawane podmiotom przyłączanym do sieci powinny zawierać rodzaj i usytuowanie zabezpieczeń, warunki współpracy oraz inne niezbędne wymagania w zakresie elektroenergetycznej automatyki zabezpieczeniowej i systemowej</w:t>
      </w:r>
      <w:r w:rsidRPr="00EB2E7B">
        <w:rPr>
          <w:rFonts w:asciiTheme="minorHAnsi" w:hAnsiTheme="minorHAnsi" w:cstheme="minorHAnsi"/>
          <w:sz w:val="20"/>
          <w:szCs w:val="20"/>
        </w:rPr>
        <w:t xml:space="preserve">. </w:t>
      </w:r>
    </w:p>
    <w:p w14:paraId="3B37B489" w14:textId="77777777" w:rsidR="00473957" w:rsidRPr="00EB2E7B" w:rsidRDefault="00232DA9" w:rsidP="003A5506">
      <w:pPr>
        <w:pStyle w:val="Nagwek5"/>
        <w:ind w:left="1134" w:hanging="1134"/>
        <w:rPr>
          <w:rFonts w:asciiTheme="minorHAnsi" w:hAnsiTheme="minorHAnsi" w:cstheme="minorHAnsi"/>
          <w:sz w:val="20"/>
          <w:szCs w:val="20"/>
        </w:rPr>
      </w:pPr>
      <w:bookmarkStart w:id="136" w:name="_Ref75433244"/>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określa warunki stosowania EAZ przez podmioty przyłączone do sieci dystrybucyjnej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w:t>
      </w:r>
      <w:bookmarkEnd w:id="136"/>
      <w:r w:rsidR="0077111A" w:rsidRPr="00EB2E7B">
        <w:rPr>
          <w:rFonts w:asciiTheme="minorHAnsi" w:hAnsiTheme="minorHAnsi" w:cstheme="minorHAnsi"/>
          <w:sz w:val="20"/>
          <w:szCs w:val="20"/>
        </w:rPr>
        <w:t xml:space="preserve"> </w:t>
      </w:r>
    </w:p>
    <w:p w14:paraId="6315D1D2" w14:textId="77777777" w:rsidR="00473957" w:rsidRPr="00EB2E7B" w:rsidRDefault="00232DA9"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dokonuje koordynacji nastawień zabezpieczeń w stacjach podmiotów przyłączanych i przyłączonych, w tym OSDn. Podmioty te zobowiązane są do aktualizacji danych o wyposażeniu w układy EAZ w trakcie eksploatacji przyłączonego obiektu w przypadku każdorazowej ich zmiany. </w:t>
      </w:r>
    </w:p>
    <w:p w14:paraId="571F4E43" w14:textId="77777777"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EAZ powinna zapewniać odpowiednią szybkość działania, czułość w</w:t>
      </w:r>
      <w:r w:rsidR="005911BF" w:rsidRPr="00EB2E7B">
        <w:rPr>
          <w:rFonts w:asciiTheme="minorHAnsi" w:hAnsiTheme="minorHAnsi" w:cstheme="minorHAnsi"/>
          <w:sz w:val="20"/>
          <w:szCs w:val="20"/>
        </w:rPr>
        <w:t> </w:t>
      </w:r>
      <w:r w:rsidRPr="00EB2E7B">
        <w:rPr>
          <w:rFonts w:asciiTheme="minorHAnsi" w:hAnsiTheme="minorHAnsi" w:cstheme="minorHAnsi"/>
          <w:sz w:val="20"/>
          <w:szCs w:val="20"/>
        </w:rPr>
        <w:t xml:space="preserve">wykrywaniu zakłóceń, wybiórczość, selektywność oraz niezawodność. </w:t>
      </w:r>
    </w:p>
    <w:p w14:paraId="670A4C89" w14:textId="307E8FAD"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Nastawy EAZ </w:t>
      </w:r>
      <w:r w:rsidR="008B3149" w:rsidRPr="00EB2E7B">
        <w:rPr>
          <w:rFonts w:asciiTheme="minorHAnsi" w:hAnsiTheme="minorHAnsi" w:cstheme="minorHAnsi"/>
          <w:sz w:val="20"/>
          <w:szCs w:val="20"/>
        </w:rPr>
        <w:t>powinny zapewniać</w:t>
      </w:r>
      <w:r w:rsidRPr="00EB2E7B">
        <w:rPr>
          <w:rFonts w:asciiTheme="minorHAnsi" w:hAnsiTheme="minorHAnsi" w:cstheme="minorHAnsi"/>
          <w:sz w:val="20"/>
          <w:szCs w:val="20"/>
        </w:rPr>
        <w:t xml:space="preserve"> najkrótsze</w:t>
      </w:r>
      <w:r w:rsidR="00E1690B" w:rsidRPr="00EB2E7B">
        <w:rPr>
          <w:rFonts w:asciiTheme="minorHAnsi" w:hAnsiTheme="minorHAnsi" w:cstheme="minorHAnsi"/>
          <w:sz w:val="20"/>
          <w:szCs w:val="20"/>
        </w:rPr>
        <w:t xml:space="preserve"> czasy wyłączania zakłóceń</w:t>
      </w:r>
      <w:r w:rsidRPr="00EB2E7B">
        <w:rPr>
          <w:rFonts w:asciiTheme="minorHAnsi" w:hAnsiTheme="minorHAnsi" w:cstheme="minorHAnsi"/>
          <w:sz w:val="20"/>
          <w:szCs w:val="20"/>
        </w:rPr>
        <w:t xml:space="preserve">, przy zapewnieniu odpowiedniej wybiorczości i selektywności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oraz aby ograniczały czasy trwania zakłóceń. Zabrania się wydłużania czasów działania zabezpieczeń działających na wyłączenie ponad wartości wynikające z potrzeb selektywności, wybiorczości i odstrojenia od stanów nieustalonych lub innych zjawisk grożących zbędnymi </w:t>
      </w:r>
      <w:proofErr w:type="spellStart"/>
      <w:r w:rsidRPr="00EB2E7B">
        <w:rPr>
          <w:rFonts w:asciiTheme="minorHAnsi" w:hAnsiTheme="minorHAnsi" w:cstheme="minorHAnsi"/>
          <w:sz w:val="20"/>
          <w:szCs w:val="20"/>
        </w:rPr>
        <w:t>zadziałaniami</w:t>
      </w:r>
      <w:proofErr w:type="spellEnd"/>
      <w:r w:rsidRPr="00EB2E7B">
        <w:rPr>
          <w:rFonts w:asciiTheme="minorHAnsi" w:hAnsiTheme="minorHAnsi" w:cstheme="minorHAnsi"/>
          <w:sz w:val="20"/>
          <w:szCs w:val="20"/>
        </w:rPr>
        <w:t>. W celu zapewnienia selektywności zaleca się stopniowanie nastaw czasowych zabezpieczeń co 0,3 – 0,5 s.</w:t>
      </w:r>
      <w:r w:rsidR="005911BF"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Przy stosowaniu zabezpieczeń cyfrowych zaleca się wartość 0,3 s. </w:t>
      </w:r>
    </w:p>
    <w:p w14:paraId="112708B3" w14:textId="77777777" w:rsidR="006C67C9"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Należy tak dobierać zabezpieczenia i ich nastawy, aby każde zabezpieczenie było rezerwowane przez zabezpieczenia sąsiednich elementów</w:t>
      </w:r>
      <w:r w:rsidR="00B25ECA" w:rsidRPr="00EB2E7B">
        <w:rPr>
          <w:rFonts w:asciiTheme="minorHAnsi" w:hAnsiTheme="minorHAnsi" w:cstheme="minorHAnsi"/>
          <w:sz w:val="20"/>
          <w:szCs w:val="20"/>
        </w:rPr>
        <w:t xml:space="preserve"> </w:t>
      </w:r>
      <w:r w:rsidRPr="00EB2E7B">
        <w:rPr>
          <w:rFonts w:asciiTheme="minorHAnsi" w:hAnsiTheme="minorHAnsi" w:cstheme="minorHAnsi"/>
          <w:sz w:val="20"/>
          <w:szCs w:val="20"/>
        </w:rPr>
        <w:t>systemu</w:t>
      </w:r>
      <w:r w:rsidR="00B25ECA"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elektroenergetycznego. Wymaganie obowiązuje także wówczas, gdy w danym punkcie jest zainstalowane zabezpieczenie podstawowe i rezerwowe. </w:t>
      </w:r>
    </w:p>
    <w:p w14:paraId="21858835" w14:textId="22949DFA" w:rsidR="00473957" w:rsidRPr="00EB2E7B" w:rsidRDefault="0077111A" w:rsidP="003A5506">
      <w:pPr>
        <w:pStyle w:val="Nagwek5"/>
        <w:ind w:left="1134" w:hanging="1134"/>
        <w:rPr>
          <w:rFonts w:asciiTheme="minorHAnsi" w:hAnsiTheme="minorHAnsi" w:cstheme="minorHAnsi"/>
          <w:sz w:val="20"/>
          <w:szCs w:val="20"/>
        </w:rPr>
      </w:pPr>
      <w:bookmarkStart w:id="137" w:name="_Ref75434451"/>
      <w:r w:rsidRPr="00EB2E7B">
        <w:rPr>
          <w:rFonts w:asciiTheme="minorHAnsi" w:hAnsiTheme="minorHAnsi" w:cstheme="minorHAnsi"/>
          <w:sz w:val="20"/>
          <w:szCs w:val="20"/>
        </w:rPr>
        <w:t>Zabezpieczenia podstawowe i rezerwowe powinny współpracować z</w:t>
      </w:r>
      <w:r w:rsidR="005911BF" w:rsidRPr="00EB2E7B">
        <w:rPr>
          <w:rFonts w:asciiTheme="minorHAnsi" w:hAnsiTheme="minorHAnsi" w:cstheme="minorHAnsi"/>
          <w:sz w:val="20"/>
          <w:szCs w:val="20"/>
        </w:rPr>
        <w:t> </w:t>
      </w:r>
      <w:r w:rsidRPr="00EB2E7B">
        <w:rPr>
          <w:rFonts w:asciiTheme="minorHAnsi" w:hAnsiTheme="minorHAnsi" w:cstheme="minorHAnsi"/>
          <w:sz w:val="20"/>
          <w:szCs w:val="20"/>
        </w:rPr>
        <w:t xml:space="preserve">oddzielnymi: obwodami pomiarowymi prądowymi i napięciowymi, obwodami napięcia pomocniczego, sterowniczymi oraz obwodami wyłączającymi (cewkami wyłączającymi). Jeżeli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mowa jest o</w:t>
      </w:r>
      <w:r w:rsidR="00B44D50" w:rsidRPr="00EB2E7B">
        <w:rPr>
          <w:rFonts w:asciiTheme="minorHAnsi" w:hAnsiTheme="minorHAnsi" w:cstheme="minorHAnsi"/>
          <w:sz w:val="20"/>
          <w:szCs w:val="20"/>
        </w:rPr>
        <w:t> </w:t>
      </w:r>
      <w:r w:rsidRPr="00EB2E7B">
        <w:rPr>
          <w:rFonts w:asciiTheme="minorHAnsi" w:hAnsiTheme="minorHAnsi" w:cstheme="minorHAnsi"/>
          <w:sz w:val="20"/>
          <w:szCs w:val="20"/>
        </w:rPr>
        <w:t>zabezpieczeniu podstawowym i</w:t>
      </w:r>
      <w:r w:rsidR="003A5506" w:rsidRPr="00EB2E7B">
        <w:rPr>
          <w:rFonts w:asciiTheme="minorHAnsi" w:hAnsiTheme="minorHAnsi" w:cstheme="minorHAnsi"/>
          <w:sz w:val="20"/>
          <w:szCs w:val="20"/>
        </w:rPr>
        <w:t> </w:t>
      </w:r>
      <w:r w:rsidRPr="00EB2E7B">
        <w:rPr>
          <w:rFonts w:asciiTheme="minorHAnsi" w:hAnsiTheme="minorHAnsi" w:cstheme="minorHAnsi"/>
          <w:sz w:val="20"/>
          <w:szCs w:val="20"/>
        </w:rPr>
        <w:t>rezerwowym to rozumie się przez to dwa oddzielne i niezależne urządzenia.</w:t>
      </w:r>
      <w:bookmarkEnd w:id="137"/>
      <w:r w:rsidRPr="00EB2E7B">
        <w:rPr>
          <w:rFonts w:asciiTheme="minorHAnsi" w:hAnsiTheme="minorHAnsi" w:cstheme="minorHAnsi"/>
          <w:sz w:val="20"/>
          <w:szCs w:val="20"/>
        </w:rPr>
        <w:t xml:space="preserve"> </w:t>
      </w:r>
    </w:p>
    <w:p w14:paraId="4714DADD" w14:textId="2A945EBB" w:rsidR="00EA5C40" w:rsidRPr="00EB2E7B" w:rsidRDefault="00EA5C40" w:rsidP="003A5506">
      <w:pPr>
        <w:ind w:left="1134" w:firstLine="0"/>
        <w:rPr>
          <w:rFonts w:asciiTheme="minorHAnsi" w:hAnsiTheme="minorHAnsi" w:cstheme="minorHAnsi"/>
          <w:sz w:val="20"/>
          <w:szCs w:val="20"/>
        </w:rPr>
      </w:pPr>
      <w:r w:rsidRPr="00EB2E7B">
        <w:rPr>
          <w:rFonts w:asciiTheme="minorHAnsi" w:hAnsiTheme="minorHAnsi" w:cstheme="minorHAnsi"/>
          <w:sz w:val="20"/>
          <w:szCs w:val="20"/>
        </w:rPr>
        <w:t>Dla rozdzielni w układzie typu H dopuszcza się stosowanie pojedynczej baterii akumulatorowej zasilającej jedną sekcję rozdzielni potrzeb własnych prądu stałego.</w:t>
      </w:r>
    </w:p>
    <w:p w14:paraId="1AC7102E" w14:textId="3BC9E083"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Źródła </w:t>
      </w:r>
      <w:r w:rsidR="00EA5C40" w:rsidRPr="00EB2E7B">
        <w:rPr>
          <w:rFonts w:asciiTheme="minorHAnsi" w:hAnsiTheme="minorHAnsi" w:cstheme="minorHAnsi"/>
          <w:sz w:val="20"/>
          <w:szCs w:val="20"/>
        </w:rPr>
        <w:t>napięcia pomocniczego (baterie akumulatorów) w obiektach wyposażonych w EAZ powinny przy braku zasilania z sieci elektroenergetycznej zapewniać ciągłość pracy dla układów i urządzeń EAZ (w warunkach obciążenia akumulatorów wszystkimi odbiorami prądu stałego, czynnymi w warunkach braku zasilania zewnętrznego, oraz przy zachowaniu poziomu napięcia na szynach zbiorczych rozdzielnicy prądu stałego w wymaganych granicach), przez okres co najmniej:</w:t>
      </w:r>
    </w:p>
    <w:p w14:paraId="2B387AA6" w14:textId="77777777" w:rsidR="00EA5C40" w:rsidRPr="00EB2E7B" w:rsidRDefault="00EA5C40" w:rsidP="00AE6943">
      <w:pPr>
        <w:pStyle w:val="1przed"/>
        <w:numPr>
          <w:ilvl w:val="0"/>
          <w:numId w:val="196"/>
        </w:numPr>
        <w:ind w:left="1701" w:hanging="567"/>
        <w:rPr>
          <w:rFonts w:asciiTheme="minorHAnsi" w:hAnsiTheme="minorHAnsi" w:cstheme="minorHAnsi"/>
          <w:sz w:val="20"/>
          <w:szCs w:val="20"/>
        </w:rPr>
      </w:pPr>
      <w:r w:rsidRPr="00EB2E7B">
        <w:rPr>
          <w:rFonts w:asciiTheme="minorHAnsi" w:hAnsiTheme="minorHAnsi" w:cstheme="minorHAnsi"/>
          <w:sz w:val="20"/>
          <w:szCs w:val="20"/>
        </w:rPr>
        <w:t>24 godz. – dla obiektów wskazanych w planie odbudowy opracowanym na podstawie art. 23 NC ER,</w:t>
      </w:r>
    </w:p>
    <w:p w14:paraId="65B089C0" w14:textId="307D93BE" w:rsidR="00EA5C40" w:rsidRPr="00EB2E7B" w:rsidRDefault="00EA5C40" w:rsidP="00AE6943">
      <w:pPr>
        <w:pStyle w:val="1przed"/>
        <w:numPr>
          <w:ilvl w:val="0"/>
          <w:numId w:val="196"/>
        </w:numPr>
        <w:ind w:left="1701" w:hanging="567"/>
        <w:rPr>
          <w:rFonts w:asciiTheme="minorHAnsi" w:hAnsiTheme="minorHAnsi" w:cstheme="minorHAnsi"/>
          <w:sz w:val="20"/>
          <w:szCs w:val="20"/>
        </w:rPr>
      </w:pPr>
      <w:r w:rsidRPr="00EB2E7B">
        <w:rPr>
          <w:rFonts w:asciiTheme="minorHAnsi" w:hAnsiTheme="minorHAnsi" w:cstheme="minorHAnsi"/>
          <w:sz w:val="20"/>
          <w:szCs w:val="20"/>
        </w:rPr>
        <w:t>8 godz. – dla pozostałych obiektów.</w:t>
      </w:r>
    </w:p>
    <w:p w14:paraId="61C46DA8" w14:textId="77777777" w:rsidR="00B25ECA"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Jeśli w niniejszym rozdziale wskazano, że zabezpieczenie działa na wyłączenie, należy rozumieć wyłączenie wszystkich trzech faz wyłącznika</w:t>
      </w:r>
      <w:r w:rsidR="003C68F4" w:rsidRPr="00EB2E7B">
        <w:rPr>
          <w:rFonts w:asciiTheme="minorHAnsi" w:hAnsiTheme="minorHAnsi" w:cstheme="minorHAnsi"/>
          <w:sz w:val="20"/>
          <w:szCs w:val="20"/>
        </w:rPr>
        <w:t>.</w:t>
      </w:r>
    </w:p>
    <w:p w14:paraId="47AFA1AB" w14:textId="623297F8"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Należy stosować urządzenia </w:t>
      </w:r>
      <w:r w:rsidR="002F169B" w:rsidRPr="00EB2E7B">
        <w:rPr>
          <w:rFonts w:asciiTheme="minorHAnsi" w:hAnsiTheme="minorHAnsi" w:cstheme="minorHAnsi"/>
          <w:sz w:val="20"/>
          <w:szCs w:val="20"/>
        </w:rPr>
        <w:t xml:space="preserve">EAZ </w:t>
      </w:r>
      <w:r w:rsidRPr="00EB2E7B">
        <w:rPr>
          <w:rFonts w:asciiTheme="minorHAnsi" w:hAnsiTheme="minorHAnsi" w:cstheme="minorHAnsi"/>
          <w:sz w:val="20"/>
          <w:szCs w:val="20"/>
        </w:rPr>
        <w:t xml:space="preserve">realizujące funkcje ciągłej kontroli </w:t>
      </w:r>
      <w:r w:rsidR="002F169B" w:rsidRPr="00EB2E7B">
        <w:rPr>
          <w:rFonts w:asciiTheme="minorHAnsi" w:hAnsiTheme="minorHAnsi" w:cstheme="minorHAnsi"/>
          <w:sz w:val="20"/>
          <w:szCs w:val="20"/>
        </w:rPr>
        <w:t xml:space="preserve">stanu </w:t>
      </w:r>
      <w:r w:rsidRPr="00EB2E7B">
        <w:rPr>
          <w:rFonts w:asciiTheme="minorHAnsi" w:hAnsiTheme="minorHAnsi" w:cstheme="minorHAnsi"/>
          <w:sz w:val="20"/>
          <w:szCs w:val="20"/>
        </w:rPr>
        <w:t>i</w:t>
      </w:r>
      <w:r w:rsidR="005911BF" w:rsidRPr="00EB2E7B">
        <w:rPr>
          <w:rFonts w:asciiTheme="minorHAnsi" w:hAnsiTheme="minorHAnsi" w:cstheme="minorHAnsi"/>
          <w:sz w:val="20"/>
          <w:szCs w:val="20"/>
        </w:rPr>
        <w:t> </w:t>
      </w:r>
      <w:proofErr w:type="spellStart"/>
      <w:r w:rsidRPr="00EB2E7B">
        <w:rPr>
          <w:rFonts w:asciiTheme="minorHAnsi" w:hAnsiTheme="minorHAnsi" w:cstheme="minorHAnsi"/>
          <w:sz w:val="20"/>
          <w:szCs w:val="20"/>
        </w:rPr>
        <w:t>samotestowania</w:t>
      </w:r>
      <w:proofErr w:type="spellEnd"/>
      <w:r w:rsidRPr="00EB2E7B">
        <w:rPr>
          <w:rFonts w:asciiTheme="minorHAnsi" w:hAnsiTheme="minorHAnsi" w:cstheme="minorHAnsi"/>
          <w:sz w:val="20"/>
          <w:szCs w:val="20"/>
        </w:rPr>
        <w:t xml:space="preserve">. </w:t>
      </w:r>
    </w:p>
    <w:p w14:paraId="37D9FC95" w14:textId="48F1CEE5" w:rsidR="00473957" w:rsidRPr="00EB2E7B" w:rsidRDefault="00D4277E"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Układy i urządzenia EAZ wyposaża się w układy kontroli ciągłości obwodów wyłączania.</w:t>
      </w:r>
    </w:p>
    <w:p w14:paraId="40BBA357" w14:textId="77777777"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niniejszym rozdziale podano wymagania minimalne. W poszczególnych urządzeniach lub polach można stosować dodatkowe zabezpieczenia działające na wyłączenie lub sygnalizację, np. wynikające z konstrukcji rozdzielnicy lub innych zabezpieczanych elementów. </w:t>
      </w:r>
    </w:p>
    <w:p w14:paraId="797617D2" w14:textId="6B959D7F" w:rsidR="00473957" w:rsidRPr="00EB2E7B" w:rsidRDefault="3FE7975F"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Zaleca się wyposażenie w rejestratory zdarzeń i zakłóceń pól SN. Wymaga się wyposażania w rejestratory zdarzeń i zakłóceń pól SN transformatorów zasilających, pól transformatorów potrzeb własnych oraz pól linii współpracujących z lokalnymi źródłami wytwórczymi. Rejestratory zakłóceń powinny rejestrować wielkości przed wystąpieniem zakłócenia oraz po jego wystąpieniu aż do wyłączenia.</w:t>
      </w:r>
    </w:p>
    <w:p w14:paraId="427CBD9D" w14:textId="253EE5E5"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Stosuje się następujące sygnalizacje: </w:t>
      </w:r>
    </w:p>
    <w:p w14:paraId="46830049" w14:textId="77777777" w:rsidR="00473957" w:rsidRPr="00EB2E7B" w:rsidRDefault="0077111A" w:rsidP="00AE6943">
      <w:pPr>
        <w:pStyle w:val="1przed"/>
        <w:numPr>
          <w:ilvl w:val="0"/>
          <w:numId w:val="30"/>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Al (alarm), która jest pobudzana przy zaniku i obniżeniu napięcia pomocniczego lub uszkodzeniu układu EAZ, </w:t>
      </w:r>
    </w:p>
    <w:p w14:paraId="2AAEB89A" w14:textId="77777777" w:rsidR="00473957" w:rsidRPr="00EB2E7B" w:rsidRDefault="0077111A" w:rsidP="00AE6943">
      <w:pPr>
        <w:pStyle w:val="1przed"/>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Aw</w:t>
      </w:r>
      <w:proofErr w:type="spellEnd"/>
      <w:r w:rsidRPr="00EB2E7B">
        <w:rPr>
          <w:rFonts w:asciiTheme="minorHAnsi" w:hAnsiTheme="minorHAnsi" w:cstheme="minorHAnsi"/>
          <w:sz w:val="20"/>
          <w:szCs w:val="20"/>
        </w:rPr>
        <w:t xml:space="preserve"> (awaria), która jest pobudzana po otwarciu wyłącznika w polu przez dowolne zabezpieczenie. Jeśli w polu jest czynna automatyka SPZ, pobudzenie powinno nastąpić dopiero po definitywnym wyłączeniu, </w:t>
      </w:r>
    </w:p>
    <w:p w14:paraId="0BECBBBF" w14:textId="7A766DF0" w:rsidR="00473957" w:rsidRPr="00EB2E7B" w:rsidRDefault="0077111A" w:rsidP="00AE6943">
      <w:pPr>
        <w:pStyle w:val="1przed"/>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Up</w:t>
      </w:r>
      <w:proofErr w:type="spellEnd"/>
      <w:r w:rsidRPr="00EB2E7B">
        <w:rPr>
          <w:rFonts w:asciiTheme="minorHAnsi" w:hAnsiTheme="minorHAnsi" w:cstheme="minorHAnsi"/>
          <w:sz w:val="20"/>
          <w:szCs w:val="20"/>
        </w:rPr>
        <w:t xml:space="preserve"> (uszkodzenie pola), która jest pobudzana przez różne zakłócenia w</w:t>
      </w:r>
      <w:r w:rsidR="00B44D50" w:rsidRPr="00EB2E7B">
        <w:rPr>
          <w:rFonts w:asciiTheme="minorHAnsi" w:hAnsiTheme="minorHAnsi" w:cstheme="minorHAnsi"/>
          <w:sz w:val="20"/>
          <w:szCs w:val="20"/>
        </w:rPr>
        <w:t> </w:t>
      </w:r>
      <w:r w:rsidRPr="00EB2E7B">
        <w:rPr>
          <w:rFonts w:asciiTheme="minorHAnsi" w:hAnsiTheme="minorHAnsi" w:cstheme="minorHAnsi"/>
          <w:sz w:val="20"/>
          <w:szCs w:val="20"/>
        </w:rPr>
        <w:t xml:space="preserve">działaniu urządzeń pola nie wymagającego natychmiastowego wyłączenia wyłącznika. </w:t>
      </w:r>
    </w:p>
    <w:p w14:paraId="13EB5306" w14:textId="77777777" w:rsidR="00473957" w:rsidRPr="00EB2E7B" w:rsidRDefault="0077111A"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Dla potrzeb elementów EAZ współpracujących współbieżnie lub realizacji bezwarunkowych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drugiego końca linii, wymaga się stosowania łączy niezależnych. Czas przekazywania sygnałów nie powinien przekraczać 20 ms dla sygnałów binarnych oraz 5 ms dla sygnałów analogowych. </w:t>
      </w:r>
    </w:p>
    <w:p w14:paraId="536C5FF6" w14:textId="343FBA64" w:rsidR="00A47650" w:rsidRPr="00EB2E7B" w:rsidRDefault="00030CA3" w:rsidP="00A47650">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Elementy rozdzielni NN będące własnością ACPRO w zakresie wyposażenia:</w:t>
      </w:r>
    </w:p>
    <w:p w14:paraId="16A50182" w14:textId="5F28192C" w:rsidR="00A47650" w:rsidRPr="00EB2E7B" w:rsidRDefault="00030CA3" w:rsidP="001A3305">
      <w:pPr>
        <w:pStyle w:val="Akapitzlist"/>
        <w:numPr>
          <w:ilvl w:val="2"/>
          <w:numId w:val="388"/>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 EAZ – podlegają wymaganiom </w:t>
      </w:r>
      <w:proofErr w:type="spellStart"/>
      <w:r w:rsidRPr="00EB2E7B">
        <w:rPr>
          <w:rFonts w:asciiTheme="minorHAnsi" w:hAnsiTheme="minorHAnsi" w:cstheme="minorHAnsi"/>
          <w:sz w:val="20"/>
          <w:szCs w:val="20"/>
        </w:rPr>
        <w:t>IRiE</w:t>
      </w:r>
      <w:r w:rsidR="00EA14D1" w:rsidRPr="00EB2E7B">
        <w:rPr>
          <w:rFonts w:asciiTheme="minorHAnsi" w:hAnsiTheme="minorHAnsi" w:cstheme="minorHAnsi"/>
          <w:sz w:val="20"/>
          <w:szCs w:val="20"/>
        </w:rPr>
        <w:t>S</w:t>
      </w:r>
      <w:r w:rsidRPr="00EB2E7B">
        <w:rPr>
          <w:rFonts w:asciiTheme="minorHAnsi" w:hAnsiTheme="minorHAnsi" w:cstheme="minorHAnsi"/>
          <w:sz w:val="20"/>
          <w:szCs w:val="20"/>
        </w:rPr>
        <w:t>P</w:t>
      </w:r>
      <w:proofErr w:type="spellEnd"/>
    </w:p>
    <w:p w14:paraId="34FA880D" w14:textId="6DFBD410" w:rsidR="00030CA3" w:rsidRPr="00EB2E7B" w:rsidRDefault="00EA14D1" w:rsidP="00EA14D1">
      <w:pPr>
        <w:pStyle w:val="Akapitzlist"/>
        <w:numPr>
          <w:ilvl w:val="2"/>
          <w:numId w:val="388"/>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 środki komunikacji, w tym komunikacji realizowanej między urządzeniami EAZ - podlegają wymaganiom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45DCCF57" w14:textId="0C28C78D"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Wymagania dla transformatorów </w:t>
      </w:r>
    </w:p>
    <w:p w14:paraId="430B255B" w14:textId="65C8116A" w:rsidR="00584F68" w:rsidRPr="00EB2E7B" w:rsidRDefault="00D4277E" w:rsidP="003A5506">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Do zabezpieczania transformatorów o górnym napięciu znamionowym SN i mocy większej niż 1 MVA, posiadających wyłącznik przynajmniej po stronie wyższego napięcia, stosuje się co najmniej następujące zabezpieczenia</w:t>
      </w:r>
      <w:r w:rsidR="00584F68" w:rsidRPr="00EB2E7B">
        <w:rPr>
          <w:rFonts w:asciiTheme="minorHAnsi" w:hAnsiTheme="minorHAnsi" w:cstheme="minorHAnsi"/>
          <w:sz w:val="20"/>
          <w:szCs w:val="20"/>
        </w:rPr>
        <w:t>:</w:t>
      </w:r>
    </w:p>
    <w:p w14:paraId="069BC3B1" w14:textId="77777777" w:rsidR="00D4277E" w:rsidRPr="00EB2E7B" w:rsidRDefault="00D4277E" w:rsidP="00BC00F0">
      <w:pPr>
        <w:pStyle w:val="1przed"/>
        <w:numPr>
          <w:ilvl w:val="0"/>
          <w:numId w:val="197"/>
        </w:numPr>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od skutków zwarć wewnętrznych w transformatorze i na wyprowadzeniach (nadprądowe zwarciowe, a dla transformatorów o mocy powyżej 5 MVA różnicowe),</w:t>
      </w:r>
    </w:p>
    <w:p w14:paraId="20AF0949" w14:textId="77777777" w:rsidR="00D4277E" w:rsidRPr="00EB2E7B" w:rsidRDefault="00D4277E"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od skutków zwarć zewnętrznych nadprądowe zwłoczne po każdej stronie,</w:t>
      </w:r>
    </w:p>
    <w:p w14:paraId="760400E5" w14:textId="77777777" w:rsidR="00D4277E" w:rsidRPr="00EB2E7B" w:rsidRDefault="00D4277E"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przeciążeniowe,</w:t>
      </w:r>
    </w:p>
    <w:p w14:paraId="30B0EA33" w14:textId="0D073FB4" w:rsidR="00473957" w:rsidRPr="00EB2E7B" w:rsidRDefault="00D4277E" w:rsidP="00BC00F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technologiczne transformatorów</w:t>
      </w:r>
      <w:r w:rsidR="0077111A" w:rsidRPr="00EB2E7B">
        <w:rPr>
          <w:rFonts w:asciiTheme="minorHAnsi" w:hAnsiTheme="minorHAnsi" w:cstheme="minorHAnsi"/>
          <w:sz w:val="20"/>
          <w:szCs w:val="20"/>
        </w:rPr>
        <w:t>.</w:t>
      </w:r>
    </w:p>
    <w:p w14:paraId="74BA0222" w14:textId="5EC89680" w:rsidR="00D4277E" w:rsidRPr="00EB2E7B" w:rsidRDefault="00D4277E" w:rsidP="00E82A1F">
      <w:pPr>
        <w:ind w:left="1134" w:firstLine="0"/>
        <w:rPr>
          <w:rFonts w:asciiTheme="minorHAnsi" w:hAnsiTheme="minorHAnsi" w:cstheme="minorHAnsi"/>
          <w:sz w:val="20"/>
          <w:szCs w:val="20"/>
        </w:rPr>
      </w:pPr>
      <w:r w:rsidRPr="00EB2E7B">
        <w:rPr>
          <w:rFonts w:asciiTheme="minorHAnsi" w:hAnsiTheme="minorHAnsi" w:cstheme="minorHAnsi"/>
          <w:sz w:val="20"/>
          <w:szCs w:val="20"/>
        </w:rPr>
        <w:t>Zaleca się, aby na wyłączenie działały również wybrane zabezpieczenia technologiczne. Zabezpieczenie przeciążeniowe może działać na sygnalizację.</w:t>
      </w:r>
    </w:p>
    <w:p w14:paraId="6880381D"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Wymagania dla sieci SN</w:t>
      </w:r>
    </w:p>
    <w:p w14:paraId="19F59E75" w14:textId="77777777" w:rsidR="00473957" w:rsidRPr="00EB2E7B" w:rsidRDefault="0077111A" w:rsidP="00E82A1F">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u w:val="single"/>
        </w:rPr>
        <w:t>Wymagania ogólne</w:t>
      </w:r>
    </w:p>
    <w:p w14:paraId="7ECCB3E2" w14:textId="4F052E73" w:rsidR="00473957" w:rsidRPr="00EB2E7B" w:rsidRDefault="0077111A" w:rsidP="00E82A1F">
      <w:pPr>
        <w:pStyle w:val="Nagwek6"/>
        <w:ind w:left="1134" w:hanging="1134"/>
        <w:rPr>
          <w:rFonts w:asciiTheme="minorHAnsi" w:hAnsiTheme="minorHAnsi" w:cstheme="minorHAnsi"/>
          <w:sz w:val="20"/>
          <w:szCs w:val="20"/>
        </w:rPr>
      </w:pPr>
      <w:r w:rsidRPr="00EB2E7B">
        <w:rPr>
          <w:rStyle w:val="Nagwek6Znak"/>
          <w:rFonts w:asciiTheme="minorHAnsi" w:hAnsiTheme="minorHAnsi" w:cstheme="minorHAnsi"/>
          <w:sz w:val="20"/>
          <w:szCs w:val="20"/>
        </w:rPr>
        <w:t>J</w:t>
      </w:r>
      <w:r w:rsidRPr="00EB2E7B">
        <w:rPr>
          <w:rFonts w:asciiTheme="minorHAnsi" w:hAnsiTheme="minorHAnsi" w:cstheme="minorHAnsi"/>
          <w:sz w:val="20"/>
          <w:szCs w:val="20"/>
        </w:rPr>
        <w:t xml:space="preserve">eśli </w:t>
      </w:r>
      <w:r w:rsidR="00D4277E" w:rsidRPr="00EB2E7B">
        <w:rPr>
          <w:rFonts w:asciiTheme="minorHAnsi" w:hAnsiTheme="minorHAnsi" w:cstheme="minorHAnsi"/>
          <w:sz w:val="20"/>
          <w:szCs w:val="20"/>
        </w:rPr>
        <w:t xml:space="preserve">w </w:t>
      </w:r>
      <w:proofErr w:type="spellStart"/>
      <w:r w:rsidR="00D4277E" w:rsidRPr="00EB2E7B">
        <w:rPr>
          <w:rFonts w:asciiTheme="minorHAnsi" w:hAnsiTheme="minorHAnsi" w:cstheme="minorHAnsi"/>
          <w:sz w:val="20"/>
          <w:szCs w:val="20"/>
        </w:rPr>
        <w:t>IRiESD</w:t>
      </w:r>
      <w:proofErr w:type="spellEnd"/>
      <w:r w:rsidR="00D4277E" w:rsidRPr="00EB2E7B">
        <w:rPr>
          <w:rFonts w:asciiTheme="minorHAnsi" w:hAnsiTheme="minorHAnsi" w:cstheme="minorHAnsi"/>
          <w:sz w:val="20"/>
          <w:szCs w:val="20"/>
        </w:rPr>
        <w:t xml:space="preserve"> nie określono inaczej, zabezpieczenia w sieci SN działają na wyłączenie.</w:t>
      </w:r>
      <w:r w:rsidR="00F4317B" w:rsidRPr="00EB2E7B">
        <w:rPr>
          <w:rFonts w:asciiTheme="minorHAnsi" w:hAnsiTheme="minorHAnsi" w:cstheme="minorHAnsi"/>
          <w:sz w:val="20"/>
          <w:szCs w:val="20"/>
        </w:rPr>
        <w:t xml:space="preserve"> </w:t>
      </w:r>
      <w:r w:rsidR="00F164FB" w:rsidRPr="00EB2E7B">
        <w:rPr>
          <w:rFonts w:asciiTheme="minorHAnsi" w:hAnsiTheme="minorHAnsi" w:cstheme="minorHAnsi"/>
          <w:sz w:val="20"/>
          <w:szCs w:val="20"/>
        </w:rPr>
        <w:t>Działanie na sygnalizację jest możliwe tylko w przypadku zabezpieczeń ziemnozwarciowych w określonych sytuacjach (z wyjątkiem sieci z punktem neutralnym uziemionym przez rezystor i tylko w wypadku braku technicznej możliwości zapewnienia selektywnego wyłączania pod warunkiem zachowania wymogów ochrony przeciwporażeniowej w zasilanej sieci), oraz zabezpieczeń napięciowych w polu pomiaru napięcia.</w:t>
      </w:r>
    </w:p>
    <w:p w14:paraId="0E1DECF3" w14:textId="77777777" w:rsidR="00584F68" w:rsidRPr="00EB2E7B" w:rsidRDefault="0077111A" w:rsidP="00E82A1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Dopuszcza się stosowanie blokady zabezpieczeń nadprądowych zwłocznych od pewnych zjawisk w liniach, np. pojawienia się drugiej harmonicznej, wzrostu prądu po zamknięciu wyłącznika. Zabrania się stosowania blokad do zabezpieczenia nadprądowego zwarciowego, z wyjątkiem blokady kierunkowej.</w:t>
      </w:r>
    </w:p>
    <w:p w14:paraId="2D17E5E5" w14:textId="77777777" w:rsidR="00CF3FCE" w:rsidRPr="00EB2E7B" w:rsidRDefault="0077111A" w:rsidP="00E82A1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 Zaleca się stosowanie dla zabezpieczeń nadprądowych zwłocznych od skutków zwarć międzyfazowych następujących wartości współczynników czułości: </w:t>
      </w:r>
    </w:p>
    <w:p w14:paraId="08DB3DD7" w14:textId="77777777" w:rsidR="00CF3FCE" w:rsidRPr="00EB2E7B" w:rsidRDefault="0077111A" w:rsidP="001A3305">
      <w:pPr>
        <w:pStyle w:val="1przed"/>
        <w:numPr>
          <w:ilvl w:val="0"/>
          <w:numId w:val="3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1,5 dla zabezpieczeń podstawowych, </w:t>
      </w:r>
    </w:p>
    <w:p w14:paraId="5DE004B2"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1,2 dla zabezpieczeń rezerwowych. </w:t>
      </w:r>
    </w:p>
    <w:p w14:paraId="76210537" w14:textId="77777777" w:rsidR="00473957" w:rsidRPr="00EB2E7B" w:rsidRDefault="0077111A" w:rsidP="00E82A1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Zaleca się następujące wartości współczynników czułości dla zabezpieczeń ziemnozwarciowych w liniach SN: </w:t>
      </w:r>
    </w:p>
    <w:p w14:paraId="6BD2060A" w14:textId="77777777" w:rsidR="00473957" w:rsidRPr="00EB2E7B" w:rsidRDefault="0077111A" w:rsidP="001A3305">
      <w:pPr>
        <w:pStyle w:val="1przed"/>
        <w:numPr>
          <w:ilvl w:val="0"/>
          <w:numId w:val="32"/>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1,5 dla zabezpieczeń </w:t>
      </w:r>
      <w:proofErr w:type="spellStart"/>
      <w:r w:rsidRPr="00EB2E7B">
        <w:rPr>
          <w:rFonts w:asciiTheme="minorHAnsi" w:hAnsiTheme="minorHAnsi" w:cstheme="minorHAnsi"/>
          <w:sz w:val="20"/>
          <w:szCs w:val="20"/>
        </w:rPr>
        <w:t>zerowoprądowych</w:t>
      </w:r>
      <w:proofErr w:type="spellEnd"/>
      <w:r w:rsidRPr="00EB2E7B">
        <w:rPr>
          <w:rFonts w:asciiTheme="minorHAnsi" w:hAnsiTheme="minorHAnsi" w:cstheme="minorHAnsi"/>
          <w:sz w:val="20"/>
          <w:szCs w:val="20"/>
        </w:rPr>
        <w:t xml:space="preserve"> podczas zwarć </w:t>
      </w:r>
      <w:proofErr w:type="spellStart"/>
      <w:r w:rsidRPr="00EB2E7B">
        <w:rPr>
          <w:rFonts w:asciiTheme="minorHAnsi" w:hAnsiTheme="minorHAnsi" w:cstheme="minorHAnsi"/>
          <w:sz w:val="20"/>
          <w:szCs w:val="20"/>
        </w:rPr>
        <w:t>bezoporowych</w:t>
      </w:r>
      <w:proofErr w:type="spellEnd"/>
      <w:r w:rsidRPr="00EB2E7B">
        <w:rPr>
          <w:rFonts w:asciiTheme="minorHAnsi" w:hAnsiTheme="minorHAnsi" w:cstheme="minorHAnsi"/>
          <w:sz w:val="20"/>
          <w:szCs w:val="20"/>
        </w:rPr>
        <w:t xml:space="preserve">, czyli jeśli składowa zerowa napięcia jest równa napięciu fazowemu sieci, </w:t>
      </w:r>
    </w:p>
    <w:p w14:paraId="733E9F99" w14:textId="77777777" w:rsidR="00584F68"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1,2 dla zabezpieczeń </w:t>
      </w:r>
      <w:proofErr w:type="spellStart"/>
      <w:r w:rsidRPr="00EB2E7B">
        <w:rPr>
          <w:rFonts w:asciiTheme="minorHAnsi" w:hAnsiTheme="minorHAnsi" w:cstheme="minorHAnsi"/>
          <w:sz w:val="20"/>
          <w:szCs w:val="20"/>
        </w:rPr>
        <w:t>zerowoprądowych</w:t>
      </w:r>
      <w:proofErr w:type="spellEnd"/>
      <w:r w:rsidRPr="00EB2E7B">
        <w:rPr>
          <w:rFonts w:asciiTheme="minorHAnsi" w:hAnsiTheme="minorHAnsi" w:cstheme="minorHAnsi"/>
          <w:sz w:val="20"/>
          <w:szCs w:val="20"/>
        </w:rPr>
        <w:t xml:space="preserve"> podczas zwarć oporowych, czyli jeśli składowa zerowa napięcia wynosi 50 % napięcia fazowego, </w:t>
      </w:r>
    </w:p>
    <w:p w14:paraId="447D9510"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2,0 dla zabezpieczeń </w:t>
      </w:r>
      <w:proofErr w:type="spellStart"/>
      <w:r w:rsidRPr="00EB2E7B">
        <w:rPr>
          <w:rFonts w:asciiTheme="minorHAnsi" w:hAnsiTheme="minorHAnsi" w:cstheme="minorHAnsi"/>
          <w:sz w:val="20"/>
          <w:szCs w:val="20"/>
        </w:rPr>
        <w:t>admitancyjnych</w:t>
      </w:r>
      <w:proofErr w:type="spellEnd"/>
      <w:r w:rsidRPr="00EB2E7B">
        <w:rPr>
          <w:rFonts w:asciiTheme="minorHAnsi" w:hAnsiTheme="minorHAnsi" w:cstheme="minorHAnsi"/>
          <w:sz w:val="20"/>
          <w:szCs w:val="20"/>
        </w:rPr>
        <w:t xml:space="preserve"> i </w:t>
      </w:r>
      <w:proofErr w:type="spellStart"/>
      <w:r w:rsidRPr="00EB2E7B">
        <w:rPr>
          <w:rFonts w:asciiTheme="minorHAnsi" w:hAnsiTheme="minorHAnsi" w:cstheme="minorHAnsi"/>
          <w:sz w:val="20"/>
          <w:szCs w:val="20"/>
        </w:rPr>
        <w:t>konduktancyjnych</w:t>
      </w:r>
      <w:proofErr w:type="spellEnd"/>
      <w:r w:rsidRPr="00EB2E7B">
        <w:rPr>
          <w:rFonts w:asciiTheme="minorHAnsi" w:hAnsiTheme="minorHAnsi" w:cstheme="minorHAnsi"/>
          <w:sz w:val="20"/>
          <w:szCs w:val="20"/>
        </w:rPr>
        <w:t xml:space="preserve"> w sieciach o</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punkcie neutralnym uziemionym przez rezystor, </w:t>
      </w:r>
    </w:p>
    <w:p w14:paraId="20CC509E"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1,5 dla zabezpieczeń </w:t>
      </w:r>
      <w:proofErr w:type="spellStart"/>
      <w:r w:rsidRPr="00EB2E7B">
        <w:rPr>
          <w:rFonts w:asciiTheme="minorHAnsi" w:hAnsiTheme="minorHAnsi" w:cstheme="minorHAnsi"/>
          <w:sz w:val="20"/>
          <w:szCs w:val="20"/>
        </w:rPr>
        <w:t>konduktancyjnych</w:t>
      </w:r>
      <w:proofErr w:type="spellEnd"/>
      <w:r w:rsidRPr="00EB2E7B">
        <w:rPr>
          <w:rFonts w:asciiTheme="minorHAnsi" w:hAnsiTheme="minorHAnsi" w:cstheme="minorHAnsi"/>
          <w:sz w:val="20"/>
          <w:szCs w:val="20"/>
        </w:rPr>
        <w:t xml:space="preserve"> w sieciach skompensowanych z</w:t>
      </w:r>
      <w:r w:rsidR="00A375BC" w:rsidRPr="00EB2E7B">
        <w:rPr>
          <w:rFonts w:asciiTheme="minorHAnsi" w:hAnsiTheme="minorHAnsi" w:cstheme="minorHAnsi"/>
          <w:sz w:val="20"/>
          <w:szCs w:val="20"/>
        </w:rPr>
        <w:t> </w:t>
      </w:r>
      <w:proofErr w:type="spellStart"/>
      <w:r w:rsidRPr="00EB2E7B">
        <w:rPr>
          <w:rFonts w:asciiTheme="minorHAnsi" w:hAnsiTheme="minorHAnsi" w:cstheme="minorHAnsi"/>
          <w:sz w:val="20"/>
          <w:szCs w:val="20"/>
        </w:rPr>
        <w:t>AWSCz</w:t>
      </w:r>
      <w:proofErr w:type="spellEnd"/>
      <w:r w:rsidRPr="00EB2E7B">
        <w:rPr>
          <w:rFonts w:asciiTheme="minorHAnsi" w:hAnsiTheme="minorHAnsi" w:cstheme="minorHAnsi"/>
          <w:sz w:val="20"/>
          <w:szCs w:val="20"/>
        </w:rPr>
        <w:t xml:space="preserve">, </w:t>
      </w:r>
    </w:p>
    <w:p w14:paraId="593D9404"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1,2 dla zabezpieczeń </w:t>
      </w:r>
      <w:proofErr w:type="spellStart"/>
      <w:r w:rsidRPr="00EB2E7B">
        <w:rPr>
          <w:rFonts w:asciiTheme="minorHAnsi" w:hAnsiTheme="minorHAnsi" w:cstheme="minorHAnsi"/>
          <w:sz w:val="20"/>
          <w:szCs w:val="20"/>
        </w:rPr>
        <w:t>admitancyjnych</w:t>
      </w:r>
      <w:proofErr w:type="spellEnd"/>
      <w:r w:rsidRPr="00EB2E7B">
        <w:rPr>
          <w:rFonts w:asciiTheme="minorHAnsi" w:hAnsiTheme="minorHAnsi" w:cstheme="minorHAnsi"/>
          <w:sz w:val="20"/>
          <w:szCs w:val="20"/>
        </w:rPr>
        <w:t xml:space="preserve"> i </w:t>
      </w:r>
      <w:proofErr w:type="spellStart"/>
      <w:r w:rsidRPr="00EB2E7B">
        <w:rPr>
          <w:rFonts w:asciiTheme="minorHAnsi" w:hAnsiTheme="minorHAnsi" w:cstheme="minorHAnsi"/>
          <w:sz w:val="20"/>
          <w:szCs w:val="20"/>
        </w:rPr>
        <w:t>susceptancyjnych</w:t>
      </w:r>
      <w:proofErr w:type="spellEnd"/>
      <w:r w:rsidRPr="00EB2E7B">
        <w:rPr>
          <w:rFonts w:asciiTheme="minorHAnsi" w:hAnsiTheme="minorHAnsi" w:cstheme="minorHAnsi"/>
          <w:sz w:val="20"/>
          <w:szCs w:val="20"/>
        </w:rPr>
        <w:t xml:space="preserve"> w pozostałych przypadkach. </w:t>
      </w:r>
    </w:p>
    <w:p w14:paraId="2A643665" w14:textId="77777777" w:rsidR="00473957" w:rsidRPr="00EB2E7B" w:rsidRDefault="0077111A" w:rsidP="00E82A1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Zaleca się stosowanie następujących wartości nastawczych zabezpieczeń </w:t>
      </w:r>
      <w:proofErr w:type="spellStart"/>
      <w:r w:rsidRPr="00EB2E7B">
        <w:rPr>
          <w:rFonts w:asciiTheme="minorHAnsi" w:hAnsiTheme="minorHAnsi" w:cstheme="minorHAnsi"/>
          <w:sz w:val="20"/>
          <w:szCs w:val="20"/>
        </w:rPr>
        <w:t>zerowonapięciowych</w:t>
      </w:r>
      <w:proofErr w:type="spellEnd"/>
      <w:r w:rsidRPr="00EB2E7B">
        <w:rPr>
          <w:rFonts w:asciiTheme="minorHAnsi" w:hAnsiTheme="minorHAnsi" w:cstheme="minorHAnsi"/>
          <w:sz w:val="20"/>
          <w:szCs w:val="20"/>
        </w:rPr>
        <w:t xml:space="preserve"> działających samodzielnie lub jako człony rozruchowe innych kryteriów i automatyk wyrażonych w stosunku do składowej zerowej napięcia podczas zwarcia </w:t>
      </w:r>
      <w:proofErr w:type="spellStart"/>
      <w:r w:rsidRPr="00EB2E7B">
        <w:rPr>
          <w:rFonts w:asciiTheme="minorHAnsi" w:hAnsiTheme="minorHAnsi" w:cstheme="minorHAnsi"/>
          <w:sz w:val="20"/>
          <w:szCs w:val="20"/>
        </w:rPr>
        <w:t>bezoporowego</w:t>
      </w:r>
      <w:proofErr w:type="spellEnd"/>
      <w:r w:rsidRPr="00EB2E7B">
        <w:rPr>
          <w:rFonts w:asciiTheme="minorHAnsi" w:hAnsiTheme="minorHAnsi" w:cstheme="minorHAnsi"/>
          <w:sz w:val="20"/>
          <w:szCs w:val="20"/>
        </w:rPr>
        <w:t xml:space="preserve">: </w:t>
      </w:r>
    </w:p>
    <w:p w14:paraId="61878B78" w14:textId="77777777" w:rsidR="00473957" w:rsidRPr="00EB2E7B" w:rsidRDefault="0077111A" w:rsidP="001A3305">
      <w:pPr>
        <w:pStyle w:val="1przed"/>
        <w:numPr>
          <w:ilvl w:val="0"/>
          <w:numId w:val="33"/>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5 - 10 % w sieciach o punkcie neutralnym uziemionym przez rezystor, </w:t>
      </w:r>
    </w:p>
    <w:p w14:paraId="27FE5F13" w14:textId="77777777" w:rsidR="00CF3FCE"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5 - 15 % w sieciach o punkcie neutralnym izolowanym, </w:t>
      </w:r>
    </w:p>
    <w:p w14:paraId="649225A1" w14:textId="77777777" w:rsidR="00473957" w:rsidRPr="00EB2E7B" w:rsidRDefault="0077111A"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10 - 20 % w sieciach skompensowanych. </w:t>
      </w:r>
    </w:p>
    <w:p w14:paraId="55BA8780" w14:textId="77777777" w:rsidR="00473957" w:rsidRPr="00EB2E7B" w:rsidRDefault="0077111A" w:rsidP="00E82A1F">
      <w:pPr>
        <w:ind w:left="1134"/>
        <w:rPr>
          <w:rFonts w:asciiTheme="minorHAnsi" w:hAnsiTheme="minorHAnsi" w:cstheme="minorHAnsi"/>
          <w:sz w:val="20"/>
          <w:szCs w:val="20"/>
        </w:rPr>
      </w:pPr>
      <w:r w:rsidRPr="00EB2E7B">
        <w:rPr>
          <w:rFonts w:asciiTheme="minorHAnsi" w:hAnsiTheme="minorHAnsi" w:cstheme="minorHAnsi"/>
          <w:sz w:val="20"/>
          <w:szCs w:val="20"/>
        </w:rPr>
        <w:t xml:space="preserve">Mniejsze wartości zaleca się stosować w sieciach z dużym udziałem linii kablowych. </w:t>
      </w:r>
    </w:p>
    <w:p w14:paraId="6FED168F" w14:textId="77777777" w:rsidR="00473957" w:rsidRPr="00EB2E7B" w:rsidRDefault="0077111A" w:rsidP="00E82A1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W celu ograniczenia skutków zakłóceń w pracy sieci, zaleca się stosowanie w</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jej głębi automatyki EAZ. </w:t>
      </w:r>
    </w:p>
    <w:p w14:paraId="75875CB7" w14:textId="77777777" w:rsidR="00473957" w:rsidRPr="00EB2E7B" w:rsidRDefault="0077111A" w:rsidP="00E82A1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Przyłączenie źródeł wytwórczych do sieci SN wymaga dostosowania automatyki LRW, SZR i zabezpieczenia szyn rozdzielni SN zasilającą tę sieć SN do nowych warunków pracy. </w:t>
      </w:r>
    </w:p>
    <w:p w14:paraId="64FCC08E" w14:textId="77777777" w:rsidR="00473957" w:rsidRPr="00EB2E7B" w:rsidRDefault="0077111A" w:rsidP="00E82A1F">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u w:val="single"/>
        </w:rPr>
        <w:t>Wymagania dla linii SN</w:t>
      </w:r>
    </w:p>
    <w:p w14:paraId="4F73ECF7" w14:textId="0711378C" w:rsidR="00473957" w:rsidRPr="00EB2E7B" w:rsidRDefault="0077111A" w:rsidP="00E82A1F">
      <w:pPr>
        <w:pStyle w:val="Nagwek6"/>
        <w:ind w:left="1134" w:hanging="1134"/>
        <w:rPr>
          <w:rFonts w:asciiTheme="minorHAnsi" w:hAnsiTheme="minorHAnsi" w:cstheme="minorHAnsi"/>
          <w:sz w:val="20"/>
          <w:szCs w:val="20"/>
        </w:rPr>
      </w:pPr>
      <w:bookmarkStart w:id="138" w:name="_Ref75435771"/>
      <w:r w:rsidRPr="00EB2E7B">
        <w:rPr>
          <w:rFonts w:asciiTheme="minorHAnsi" w:hAnsiTheme="minorHAnsi" w:cstheme="minorHAnsi"/>
          <w:sz w:val="20"/>
          <w:szCs w:val="20"/>
        </w:rPr>
        <w:t xml:space="preserve">Pola </w:t>
      </w:r>
      <w:r w:rsidR="00D4277E" w:rsidRPr="00EB2E7B">
        <w:rPr>
          <w:rFonts w:asciiTheme="minorHAnsi" w:hAnsiTheme="minorHAnsi" w:cstheme="minorHAnsi"/>
          <w:sz w:val="20"/>
          <w:szCs w:val="20"/>
        </w:rPr>
        <w:t>linii SN, do których nie są przyłączone moduły wytwarzania energii powinny być wyposażone co najmniej w następujące zabezpieczenia i automatyki</w:t>
      </w:r>
      <w:r w:rsidRPr="00EB2E7B">
        <w:rPr>
          <w:rFonts w:asciiTheme="minorHAnsi" w:hAnsiTheme="minorHAnsi" w:cstheme="minorHAnsi"/>
          <w:sz w:val="20"/>
          <w:szCs w:val="20"/>
        </w:rPr>
        <w:t>:</w:t>
      </w:r>
      <w:bookmarkEnd w:id="138"/>
      <w:r w:rsidRPr="00EB2E7B">
        <w:rPr>
          <w:rFonts w:asciiTheme="minorHAnsi" w:hAnsiTheme="minorHAnsi" w:cstheme="minorHAnsi"/>
          <w:sz w:val="20"/>
          <w:szCs w:val="20"/>
        </w:rPr>
        <w:t xml:space="preserve"> </w:t>
      </w:r>
    </w:p>
    <w:p w14:paraId="2FD9E330" w14:textId="67D8BB7E" w:rsidR="00D4277E" w:rsidRPr="00EB2E7B" w:rsidRDefault="00D4277E" w:rsidP="001A3305">
      <w:pPr>
        <w:pStyle w:val="1przed"/>
        <w:numPr>
          <w:ilvl w:val="0"/>
          <w:numId w:val="198"/>
        </w:numPr>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od skutków zwarć wielofazowych (nadprądowe zwłoczne i zwarciowe),</w:t>
      </w:r>
    </w:p>
    <w:p w14:paraId="54ED8593" w14:textId="77777777"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zabezpieczenie od skutków zwarć doziemnych,</w:t>
      </w:r>
    </w:p>
    <w:p w14:paraId="372A29C6" w14:textId="3EB4F788"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automatykę wielokrotnego SPZ z możliwością jej programowania i blokowania, w przypadku pól linii napowietrznych i napowietrzno-kablowych SN,</w:t>
      </w:r>
    </w:p>
    <w:p w14:paraId="679174CF" w14:textId="77777777"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umożliwiające współpracę z zabezpieczeniem szyn zbiorczych i układem lokalnej rezerwy wyłącznikowej,</w:t>
      </w:r>
    </w:p>
    <w:p w14:paraId="523B07E8" w14:textId="77777777"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wyposażone w zabezpieczenie </w:t>
      </w:r>
      <w:proofErr w:type="spellStart"/>
      <w:r w:rsidRPr="00EB2E7B">
        <w:rPr>
          <w:rFonts w:asciiTheme="minorHAnsi" w:hAnsiTheme="minorHAnsi" w:cstheme="minorHAnsi"/>
          <w:sz w:val="20"/>
          <w:szCs w:val="20"/>
        </w:rPr>
        <w:t>podczęstotliwościowe</w:t>
      </w:r>
      <w:proofErr w:type="spellEnd"/>
      <w:r w:rsidRPr="00EB2E7B">
        <w:rPr>
          <w:rFonts w:asciiTheme="minorHAnsi" w:hAnsiTheme="minorHAnsi" w:cstheme="minorHAnsi"/>
          <w:sz w:val="20"/>
          <w:szCs w:val="20"/>
        </w:rPr>
        <w:t xml:space="preserve"> umożliwiające realizację blokady tego zabezpieczenia zależnej od kierunku przepływu mocy w polu,</w:t>
      </w:r>
    </w:p>
    <w:p w14:paraId="75F60774" w14:textId="3DAB3FE6" w:rsidR="00473957"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SPZ/SCO - jeśli ACPRO tego wymaga</w:t>
      </w:r>
      <w:r w:rsidR="0077111A" w:rsidRPr="00EB2E7B">
        <w:rPr>
          <w:rFonts w:asciiTheme="minorHAnsi" w:hAnsiTheme="minorHAnsi" w:cstheme="minorHAnsi"/>
          <w:sz w:val="20"/>
          <w:szCs w:val="20"/>
        </w:rPr>
        <w:t xml:space="preserve">. </w:t>
      </w:r>
    </w:p>
    <w:p w14:paraId="7A88F4FB" w14:textId="1D73C1CC" w:rsidR="00473957" w:rsidRPr="00EB2E7B" w:rsidRDefault="0077111A" w:rsidP="00E82A1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Pola </w:t>
      </w:r>
      <w:r w:rsidR="00D4277E" w:rsidRPr="00EB2E7B">
        <w:rPr>
          <w:rFonts w:asciiTheme="minorHAnsi" w:hAnsiTheme="minorHAnsi" w:cstheme="minorHAnsi"/>
          <w:sz w:val="20"/>
          <w:szCs w:val="20"/>
        </w:rPr>
        <w:t>linii SN, do których są przyłączone jednocześnie moduły wytwarzania energii i odbiorcy powinny być wyposażone co najmniej w następujące zabezpieczenia i automatyki</w:t>
      </w:r>
      <w:r w:rsidRPr="00EB2E7B">
        <w:rPr>
          <w:rFonts w:asciiTheme="minorHAnsi" w:hAnsiTheme="minorHAnsi" w:cstheme="minorHAnsi"/>
          <w:sz w:val="20"/>
          <w:szCs w:val="20"/>
        </w:rPr>
        <w:t xml:space="preserve">: </w:t>
      </w:r>
    </w:p>
    <w:p w14:paraId="621BEDC4" w14:textId="57A57AD3" w:rsidR="00D4277E" w:rsidRPr="00EB2E7B" w:rsidRDefault="00D4277E" w:rsidP="001A3305">
      <w:pPr>
        <w:pStyle w:val="1przed"/>
        <w:numPr>
          <w:ilvl w:val="0"/>
          <w:numId w:val="199"/>
        </w:numPr>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od skutków zwarć wielofazowych (zalecane: zwarciowe i nadprądowe zwłoczne o charakterystykach niezależnych z możliwością wprowadzenia blokady kierunkowej),</w:t>
      </w:r>
    </w:p>
    <w:p w14:paraId="647D71E3" w14:textId="77777777"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zabezpieczenie od skutków zwarć doziemnych,</w:t>
      </w:r>
    </w:p>
    <w:p w14:paraId="3B86EAB4" w14:textId="176C260F"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automatykę wielokrotnego SPZ z możliwością jej programowania i blokowania, w przypadku pól linii napowietrznych i napowietrzno-kablowych SN,</w:t>
      </w:r>
    </w:p>
    <w:p w14:paraId="41E6E20B" w14:textId="77777777"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umożliwiające współpracę z zabezpieczeniem szyn zbiorczych i układem lokalnej rezerwy wyłącznikowej,</w:t>
      </w:r>
    </w:p>
    <w:p w14:paraId="517A93FD" w14:textId="77777777" w:rsidR="00D4277E" w:rsidRPr="00EB2E7B" w:rsidRDefault="00D4277E" w:rsidP="00E82A1F">
      <w:pPr>
        <w:ind w:left="1134"/>
        <w:rPr>
          <w:rFonts w:asciiTheme="minorHAnsi" w:hAnsiTheme="minorHAnsi" w:cstheme="minorHAnsi"/>
          <w:sz w:val="20"/>
          <w:szCs w:val="20"/>
        </w:rPr>
      </w:pPr>
      <w:r w:rsidRPr="00EB2E7B">
        <w:rPr>
          <w:rFonts w:asciiTheme="minorHAnsi" w:hAnsiTheme="minorHAnsi" w:cstheme="minorHAnsi"/>
          <w:sz w:val="20"/>
          <w:szCs w:val="20"/>
        </w:rPr>
        <w:t>Dodatkowo w zależności od potrzeb ACPRO, może wymagać zastosowania innych kryteriów zabezpieczeniowych lub funkcji, w tym:</w:t>
      </w:r>
    </w:p>
    <w:p w14:paraId="668C4280" w14:textId="3EAFFF32"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zabezpieczenia nad- i pod-częstotliwościowego, wyposażonego w kryterium </w:t>
      </w:r>
      <w:proofErr w:type="spellStart"/>
      <w:r w:rsidRPr="00EB2E7B">
        <w:rPr>
          <w:rFonts w:asciiTheme="minorHAnsi" w:hAnsiTheme="minorHAnsi" w:cstheme="minorHAnsi"/>
          <w:sz w:val="20"/>
          <w:szCs w:val="20"/>
        </w:rPr>
        <w:t>df</w:t>
      </w:r>
      <w:proofErr w:type="spellEnd"/>
      <w:r w:rsidRPr="00EB2E7B">
        <w:rPr>
          <w:rFonts w:asciiTheme="minorHAnsi" w:hAnsiTheme="minorHAnsi" w:cstheme="minorHAnsi"/>
          <w:sz w:val="20"/>
          <w:szCs w:val="20"/>
        </w:rPr>
        <w:t>/</w:t>
      </w:r>
      <w:proofErr w:type="spellStart"/>
      <w:r w:rsidRPr="00EB2E7B">
        <w:rPr>
          <w:rFonts w:asciiTheme="minorHAnsi" w:hAnsiTheme="minorHAnsi" w:cstheme="minorHAnsi"/>
          <w:sz w:val="20"/>
          <w:szCs w:val="20"/>
        </w:rPr>
        <w:t>dt</w:t>
      </w:r>
      <w:proofErr w:type="spellEnd"/>
      <w:r w:rsidRPr="00EB2E7B">
        <w:rPr>
          <w:rFonts w:asciiTheme="minorHAnsi" w:hAnsiTheme="minorHAnsi" w:cstheme="minorHAnsi"/>
          <w:sz w:val="20"/>
          <w:szCs w:val="20"/>
        </w:rPr>
        <w:t>,</w:t>
      </w:r>
    </w:p>
    <w:p w14:paraId="2DE0106D" w14:textId="77777777"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nad- i podnapięciowego zasilanego z przekładników umieszczonych za wyłącznikiem,</w:t>
      </w:r>
    </w:p>
    <w:p w14:paraId="2F59B026" w14:textId="281A7B16" w:rsidR="00473957" w:rsidRPr="00EB2E7B" w:rsidRDefault="00D4277E">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blokady załączenia wyłącznika w polu w przypadku obecności napięcia w linii lub kontrolę synchronizmu</w:t>
      </w:r>
    </w:p>
    <w:p w14:paraId="17133104" w14:textId="67B872BA" w:rsidR="00A61814" w:rsidRPr="00EB2E7B" w:rsidRDefault="00A61814"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blokady</w:t>
      </w:r>
      <w:r w:rsidR="00CF368F" w:rsidRPr="00EB2E7B">
        <w:rPr>
          <w:rFonts w:asciiTheme="minorHAnsi" w:hAnsiTheme="minorHAnsi" w:cstheme="minorHAnsi"/>
          <w:sz w:val="20"/>
          <w:szCs w:val="20"/>
        </w:rPr>
        <w:t xml:space="preserve"> </w:t>
      </w:r>
      <w:r w:rsidR="005B3C18" w:rsidRPr="00EB2E7B">
        <w:rPr>
          <w:rFonts w:asciiTheme="minorHAnsi" w:hAnsiTheme="minorHAnsi" w:cstheme="minorHAnsi"/>
          <w:sz w:val="20"/>
          <w:szCs w:val="20"/>
        </w:rPr>
        <w:t>kierunkowej wyłączenia wyłącznika w polu reagującej na kierunek przepływu mocy w kierunku do szyn zbiorczych rozdzielni.</w:t>
      </w:r>
    </w:p>
    <w:p w14:paraId="63D6F205" w14:textId="41324E23" w:rsidR="00473957" w:rsidRPr="00EB2E7B" w:rsidRDefault="0077111A" w:rsidP="001A3305">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Pola </w:t>
      </w:r>
      <w:r w:rsidR="00D4277E" w:rsidRPr="00EB2E7B">
        <w:rPr>
          <w:rFonts w:asciiTheme="minorHAnsi" w:hAnsiTheme="minorHAnsi" w:cstheme="minorHAnsi"/>
          <w:sz w:val="20"/>
          <w:szCs w:val="20"/>
        </w:rPr>
        <w:t>linii SN współpracujące wyłącznie z modułami wytwarzania energii powinny być wyposażone co najmniej w następujące zabezpieczenia i automatyki</w:t>
      </w:r>
      <w:r w:rsidRPr="00EB2E7B">
        <w:rPr>
          <w:rFonts w:asciiTheme="minorHAnsi" w:hAnsiTheme="minorHAnsi" w:cstheme="minorHAnsi"/>
          <w:sz w:val="20"/>
          <w:szCs w:val="20"/>
        </w:rPr>
        <w:t xml:space="preserve">: </w:t>
      </w:r>
    </w:p>
    <w:p w14:paraId="59FC424B" w14:textId="67172B4A" w:rsidR="00D4277E" w:rsidRPr="00EB2E7B" w:rsidRDefault="00D4277E" w:rsidP="001A3305">
      <w:pPr>
        <w:pStyle w:val="1przed"/>
        <w:numPr>
          <w:ilvl w:val="0"/>
          <w:numId w:val="200"/>
        </w:numPr>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od skutków zwarć wielofazowych (zalecane: zwarciowe i nadprądowe zwłoczne o charakterystykach niezależnych z możliwością wprowadzenia blokady kierunkowej),</w:t>
      </w:r>
    </w:p>
    <w:p w14:paraId="3D882DEF" w14:textId="77777777"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zabezpieczenie od skutków zwarć doziemnych,</w:t>
      </w:r>
    </w:p>
    <w:p w14:paraId="2C56F8E0" w14:textId="77777777" w:rsidR="00D4277E" w:rsidRPr="00EB2E7B" w:rsidRDefault="00D4277E" w:rsidP="001A330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umożliwiające współpracę z zabezpieczeniem szyn zbiorczych i układem lokalnej rezerwy wyłącznikowej,</w:t>
      </w:r>
    </w:p>
    <w:p w14:paraId="1F96750E" w14:textId="77777777" w:rsidR="00D4277E" w:rsidRPr="00EB2E7B" w:rsidRDefault="00D4277E" w:rsidP="00F07B54">
      <w:pPr>
        <w:ind w:left="1134"/>
        <w:rPr>
          <w:rFonts w:asciiTheme="minorHAnsi" w:hAnsiTheme="minorHAnsi" w:cstheme="minorHAnsi"/>
          <w:sz w:val="20"/>
          <w:szCs w:val="20"/>
        </w:rPr>
      </w:pPr>
      <w:r w:rsidRPr="00EB2E7B">
        <w:rPr>
          <w:rFonts w:asciiTheme="minorHAnsi" w:hAnsiTheme="minorHAnsi" w:cstheme="minorHAnsi"/>
          <w:sz w:val="20"/>
          <w:szCs w:val="20"/>
        </w:rPr>
        <w:t>Dodatkowo w zależności od potrzeb ACPRO, może wymagać zastosowania innych kryteriów zabezpieczeniowych lub funkcji, w tym:</w:t>
      </w:r>
    </w:p>
    <w:p w14:paraId="6A155F18" w14:textId="21959BF1" w:rsidR="00D4277E" w:rsidRPr="00EB2E7B" w:rsidRDefault="00D4277E"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zabezpieczenia nad- i pod-częstotliwościowego, wyposażonego w kryterium </w:t>
      </w:r>
      <w:proofErr w:type="spellStart"/>
      <w:r w:rsidRPr="00EB2E7B">
        <w:rPr>
          <w:rFonts w:asciiTheme="minorHAnsi" w:hAnsiTheme="minorHAnsi" w:cstheme="minorHAnsi"/>
          <w:sz w:val="20"/>
          <w:szCs w:val="20"/>
        </w:rPr>
        <w:t>df</w:t>
      </w:r>
      <w:proofErr w:type="spellEnd"/>
      <w:r w:rsidRPr="00EB2E7B">
        <w:rPr>
          <w:rFonts w:asciiTheme="minorHAnsi" w:hAnsiTheme="minorHAnsi" w:cstheme="minorHAnsi"/>
          <w:sz w:val="20"/>
          <w:szCs w:val="20"/>
        </w:rPr>
        <w:t>/</w:t>
      </w:r>
      <w:proofErr w:type="spellStart"/>
      <w:r w:rsidRPr="00EB2E7B">
        <w:rPr>
          <w:rFonts w:asciiTheme="minorHAnsi" w:hAnsiTheme="minorHAnsi" w:cstheme="minorHAnsi"/>
          <w:sz w:val="20"/>
          <w:szCs w:val="20"/>
        </w:rPr>
        <w:t>dt</w:t>
      </w:r>
      <w:proofErr w:type="spellEnd"/>
      <w:r w:rsidRPr="00EB2E7B">
        <w:rPr>
          <w:rFonts w:asciiTheme="minorHAnsi" w:hAnsiTheme="minorHAnsi" w:cstheme="minorHAnsi"/>
          <w:sz w:val="20"/>
          <w:szCs w:val="20"/>
        </w:rPr>
        <w:t>,</w:t>
      </w:r>
    </w:p>
    <w:p w14:paraId="50EE00B9" w14:textId="77777777" w:rsidR="00D4277E" w:rsidRPr="00EB2E7B" w:rsidRDefault="00D4277E"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zabezpieczenia nad- i podnapięciowego zasilanego z przekładników umieszczonych za wyłącznikiem,</w:t>
      </w:r>
    </w:p>
    <w:p w14:paraId="19AF4AB2" w14:textId="33E32520" w:rsidR="00473957" w:rsidRPr="00EB2E7B" w:rsidRDefault="00D4277E"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blokady załączenia wyłącznika w polu w przypadku obecności napięcia w linii lub kontrolę synchronizmu.</w:t>
      </w:r>
      <w:r w:rsidR="0077111A" w:rsidRPr="00EB2E7B">
        <w:rPr>
          <w:rFonts w:asciiTheme="minorHAnsi" w:hAnsiTheme="minorHAnsi" w:cstheme="minorHAnsi"/>
          <w:sz w:val="20"/>
          <w:szCs w:val="20"/>
        </w:rPr>
        <w:t xml:space="preserve"> </w:t>
      </w:r>
    </w:p>
    <w:p w14:paraId="1CDFF9DD" w14:textId="77777777" w:rsidR="00473957" w:rsidRPr="00EB2E7B" w:rsidRDefault="0077111A" w:rsidP="00F07B5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u w:val="single"/>
        </w:rPr>
        <w:t>Wymagania dla pól transformatorów potrzeb własnych i uziemiających</w:t>
      </w:r>
    </w:p>
    <w:p w14:paraId="578145DC" w14:textId="77777777" w:rsidR="00473957"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Pola potrzeb własnych powinny być wyposażone w następujące układy EAZ: </w:t>
      </w:r>
    </w:p>
    <w:p w14:paraId="1561FA11" w14:textId="77777777" w:rsidR="00473957" w:rsidRPr="00EB2E7B" w:rsidRDefault="0077111A" w:rsidP="00755CC4">
      <w:pPr>
        <w:pStyle w:val="1przed"/>
        <w:numPr>
          <w:ilvl w:val="0"/>
          <w:numId w:val="34"/>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zabezpieczenie reagujące na zwarcia wewnętrzne w transformatorze i na wyprowadzeniach, </w:t>
      </w:r>
    </w:p>
    <w:p w14:paraId="6AC31C4A" w14:textId="77777777" w:rsidR="00CF3FCE"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zabezpieczenie nadprądowe zwłoczne od skutków zwarć zewnętrznych, </w:t>
      </w:r>
    </w:p>
    <w:p w14:paraId="5A2132F9"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zabezpieczenia fabryczne transformatora. </w:t>
      </w:r>
    </w:p>
    <w:p w14:paraId="46AD7078" w14:textId="77777777" w:rsidR="009A0219"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W sieciach skompensowanych zaleca się dla prawidłowego działania zabezpieczeń ziemnozwarciowych w polach liniowych wprowadzenie dodatkowego prądu doziemnego. Wartość i charakter tego prądu powinny być dostosowane do zastosowanych zabezpieczeń.</w:t>
      </w:r>
    </w:p>
    <w:p w14:paraId="06C088A9" w14:textId="77777777" w:rsidR="00473957"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Jeśli w polu potrzeb własnych jest zainstalowany dławik do kompensacji prądów ziemnozwarciowych, to należy wprowadzić możliwość blokady zabezpieczenia nadprądowego zwłocznego od zabezpieczenia nadprądowego w</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punkcie neutralnym oraz uwzględnić zabezpieczenia fabryczne dławika i</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ewentualnie </w:t>
      </w:r>
      <w:proofErr w:type="spellStart"/>
      <w:r w:rsidRPr="00EB2E7B">
        <w:rPr>
          <w:rFonts w:asciiTheme="minorHAnsi" w:hAnsiTheme="minorHAnsi" w:cstheme="minorHAnsi"/>
          <w:sz w:val="20"/>
          <w:szCs w:val="20"/>
        </w:rPr>
        <w:t>AWSCz</w:t>
      </w:r>
      <w:proofErr w:type="spellEnd"/>
      <w:r w:rsidRPr="00EB2E7B">
        <w:rPr>
          <w:rFonts w:asciiTheme="minorHAnsi" w:hAnsiTheme="minorHAnsi" w:cstheme="minorHAnsi"/>
          <w:sz w:val="20"/>
          <w:szCs w:val="20"/>
        </w:rPr>
        <w:t xml:space="preserve"> lub innego układu wprowadzającego dodatkowy prąd doziemny. </w:t>
      </w:r>
    </w:p>
    <w:p w14:paraId="23475F70" w14:textId="5AF424AC" w:rsidR="00473957"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Jeśli w polu potrzeb własnych jest zainstalowany rezystor uziemiający, to zabezpieczenie nadprądowe w punkcie neutralnym powinno mieć możliwość blokady zabezpieczenia nadprądowego zwłocznego transformatora potrzeb własnych oraz chronić rezystor przed skutkami zbyt długiego przepływu prądu w czasie zwarcia doziemnego niewyłączonego przez zabezpieczenia w innych polach. Sposób oddziaływania tego zabezpieczenia na wyłączniki w stacji zależy od wymagań ACPRO</w:t>
      </w:r>
      <w:r w:rsidR="009C67D5"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p w14:paraId="04250D54" w14:textId="77777777" w:rsidR="00473957" w:rsidRPr="00EB2E7B" w:rsidRDefault="0077111A" w:rsidP="00755CC4">
      <w:pPr>
        <w:pStyle w:val="1przed"/>
        <w:numPr>
          <w:ilvl w:val="0"/>
          <w:numId w:val="3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dla transformatorów </w:t>
      </w:r>
      <w:proofErr w:type="spellStart"/>
      <w:r w:rsidRPr="00EB2E7B">
        <w:rPr>
          <w:rFonts w:asciiTheme="minorHAnsi" w:hAnsiTheme="minorHAnsi" w:cstheme="minorHAnsi"/>
          <w:sz w:val="20"/>
          <w:szCs w:val="20"/>
        </w:rPr>
        <w:t>dwuzwojeniowych</w:t>
      </w:r>
      <w:proofErr w:type="spellEnd"/>
      <w:r w:rsidRPr="00EB2E7B">
        <w:rPr>
          <w:rFonts w:asciiTheme="minorHAnsi" w:hAnsiTheme="minorHAnsi" w:cstheme="minorHAnsi"/>
          <w:sz w:val="20"/>
          <w:szCs w:val="20"/>
        </w:rPr>
        <w:t xml:space="preserve"> wyłączenie dwustronne (zalecane) lub tylko po stronie SN, </w:t>
      </w:r>
    </w:p>
    <w:p w14:paraId="1C7D077D"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dla transformatorów </w:t>
      </w:r>
      <w:proofErr w:type="spellStart"/>
      <w:r w:rsidRPr="00EB2E7B">
        <w:rPr>
          <w:rFonts w:asciiTheme="minorHAnsi" w:hAnsiTheme="minorHAnsi" w:cstheme="minorHAnsi"/>
          <w:sz w:val="20"/>
          <w:szCs w:val="20"/>
        </w:rPr>
        <w:t>trójuzwojeniowych</w:t>
      </w:r>
      <w:proofErr w:type="spellEnd"/>
      <w:r w:rsidRPr="00EB2E7B">
        <w:rPr>
          <w:rFonts w:asciiTheme="minorHAnsi" w:hAnsiTheme="minorHAnsi" w:cstheme="minorHAnsi"/>
          <w:sz w:val="20"/>
          <w:szCs w:val="20"/>
        </w:rPr>
        <w:t xml:space="preserve"> wyłączenie tylko po stronie SN dotkniętej zakłóceniem lub ze wszystkich stron, </w:t>
      </w:r>
    </w:p>
    <w:p w14:paraId="03951431"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wyłączenie pola potrzeb własnych (rozwiązanie dopuszczalne, ale nie zalecane), </w:t>
      </w:r>
    </w:p>
    <w:p w14:paraId="09343DBF"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wyłączenie rezystora uziemiającego (rozwiązanie dopuszczalne, ale nie zalecane). </w:t>
      </w:r>
    </w:p>
    <w:p w14:paraId="343186BA" w14:textId="77777777" w:rsidR="00CF3FCE" w:rsidRPr="00EB2E7B" w:rsidRDefault="0077111A" w:rsidP="00F07B5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u w:val="single"/>
        </w:rPr>
        <w:t>Wymagania dla baterii kondensatorów do kompensacji mocy biernej</w:t>
      </w:r>
    </w:p>
    <w:p w14:paraId="6B0A6C34" w14:textId="4A78204E" w:rsidR="00473957"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Pola </w:t>
      </w:r>
      <w:r w:rsidR="00156B7C" w:rsidRPr="00EB2E7B">
        <w:rPr>
          <w:rFonts w:asciiTheme="minorHAnsi" w:hAnsiTheme="minorHAnsi" w:cstheme="minorHAnsi"/>
          <w:sz w:val="20"/>
          <w:szCs w:val="20"/>
        </w:rPr>
        <w:t>baterii kondensatorów wyposaża się co najmniej w następujące zabezpieczenia</w:t>
      </w:r>
      <w:r w:rsidRPr="00EB2E7B">
        <w:rPr>
          <w:rFonts w:asciiTheme="minorHAnsi" w:hAnsiTheme="minorHAnsi" w:cstheme="minorHAnsi"/>
          <w:sz w:val="20"/>
          <w:szCs w:val="20"/>
        </w:rPr>
        <w:t xml:space="preserve">: </w:t>
      </w:r>
    </w:p>
    <w:p w14:paraId="36CEFC45" w14:textId="77777777" w:rsidR="00156B7C" w:rsidRPr="00EB2E7B" w:rsidRDefault="00156B7C" w:rsidP="00755CC4">
      <w:pPr>
        <w:pStyle w:val="1przed"/>
        <w:numPr>
          <w:ilvl w:val="0"/>
          <w:numId w:val="201"/>
        </w:numPr>
        <w:ind w:left="1701" w:hanging="567"/>
        <w:rPr>
          <w:rFonts w:asciiTheme="minorHAnsi" w:hAnsiTheme="minorHAnsi" w:cstheme="minorHAnsi"/>
          <w:sz w:val="20"/>
          <w:szCs w:val="20"/>
        </w:rPr>
      </w:pPr>
      <w:r w:rsidRPr="00EB2E7B">
        <w:rPr>
          <w:rFonts w:asciiTheme="minorHAnsi" w:hAnsiTheme="minorHAnsi" w:cstheme="minorHAnsi"/>
          <w:sz w:val="20"/>
          <w:szCs w:val="20"/>
        </w:rPr>
        <w:t>nadprądowe zwłoczne od skutków przeciążeń,</w:t>
      </w:r>
    </w:p>
    <w:p w14:paraId="3DB0B7BC" w14:textId="77777777" w:rsidR="00156B7C" w:rsidRPr="00EB2E7B" w:rsidRDefault="00156B7C"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nadprądowe bezzwłoczne,</w:t>
      </w:r>
    </w:p>
    <w:p w14:paraId="3F858AE0" w14:textId="77777777" w:rsidR="00156B7C" w:rsidRPr="00EB2E7B" w:rsidRDefault="00156B7C"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od skutków zwarć wewnętrznych,</w:t>
      </w:r>
    </w:p>
    <w:p w14:paraId="31D0A5D2" w14:textId="012D9C94" w:rsidR="00473957" w:rsidRPr="00EB2E7B" w:rsidRDefault="00156B7C"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nadnapięciowe</w:t>
      </w:r>
      <w:r w:rsidR="0077111A" w:rsidRPr="00EB2E7B">
        <w:rPr>
          <w:rFonts w:asciiTheme="minorHAnsi" w:hAnsiTheme="minorHAnsi" w:cstheme="minorHAnsi"/>
          <w:sz w:val="20"/>
          <w:szCs w:val="20"/>
        </w:rPr>
        <w:t xml:space="preserve">. </w:t>
      </w:r>
    </w:p>
    <w:p w14:paraId="2C7627A2" w14:textId="77777777" w:rsidR="00473957" w:rsidRPr="00EB2E7B" w:rsidRDefault="0077111A" w:rsidP="00F07B5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u w:val="single"/>
        </w:rPr>
        <w:t>Wymagania dla łączników szyn</w:t>
      </w:r>
    </w:p>
    <w:p w14:paraId="4BDB2A1F" w14:textId="77777777" w:rsidR="00473957"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Łączniki szyn SN wyposaża się w następujące zabezpieczenia działające na wyłączenie własnego wyłącznika: </w:t>
      </w:r>
    </w:p>
    <w:p w14:paraId="31EBD0E9" w14:textId="77777777" w:rsidR="00473957" w:rsidRPr="00EB2E7B" w:rsidRDefault="0077111A" w:rsidP="00755CC4">
      <w:pPr>
        <w:pStyle w:val="1przed"/>
        <w:numPr>
          <w:ilvl w:val="0"/>
          <w:numId w:val="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zabezpieczenie nadprądowe zwłoczne, </w:t>
      </w:r>
    </w:p>
    <w:p w14:paraId="3EBA58D4" w14:textId="77777777" w:rsidR="009A0219"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zabezpieczenie nadprądowe zwarciowe działające przy załączeniu pola łącznika szyn na zwarcie (zabezpieczenie powinno być aktywne do 10 s po załączeniu wyłącznika),</w:t>
      </w:r>
    </w:p>
    <w:p w14:paraId="0DEEA339"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w sieci z punktem neutralnym uziemionym przez rezystor wymagane jest zabezpieczenie ziemnozwarciowe lub odpowiednie powiązanie z</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zabezpieczeniem nadprądowym w punkcie neutralnym transformatora uziemiającego. </w:t>
      </w:r>
    </w:p>
    <w:p w14:paraId="16F86BE5" w14:textId="77777777" w:rsidR="00473957" w:rsidRPr="00EB2E7B" w:rsidRDefault="0077111A" w:rsidP="00F07B5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u w:val="single"/>
        </w:rPr>
        <w:t>Wymagania dla pól pomiaru napięcia</w:t>
      </w:r>
    </w:p>
    <w:p w14:paraId="534FEDC8" w14:textId="79FB81AD" w:rsidR="00473957"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Jeśli z tego pola wyprowadzane są sygnały SCO i SPZ/SCO, to należy je wyposażyć w przynajmniej dwustopniowe zabezpieczenie </w:t>
      </w:r>
      <w:proofErr w:type="spellStart"/>
      <w:r w:rsidRPr="00EB2E7B">
        <w:rPr>
          <w:rFonts w:asciiTheme="minorHAnsi" w:hAnsiTheme="minorHAnsi" w:cstheme="minorHAnsi"/>
          <w:sz w:val="20"/>
          <w:szCs w:val="20"/>
        </w:rPr>
        <w:t>podczęstotliwościowe</w:t>
      </w:r>
      <w:proofErr w:type="spellEnd"/>
      <w:r w:rsidRPr="00EB2E7B">
        <w:rPr>
          <w:rFonts w:asciiTheme="minorHAnsi" w:hAnsiTheme="minorHAnsi" w:cstheme="minorHAnsi"/>
          <w:sz w:val="20"/>
          <w:szCs w:val="20"/>
        </w:rPr>
        <w:t xml:space="preserve"> i</w:t>
      </w:r>
      <w:r w:rsidR="00C35903" w:rsidRPr="00EB2E7B">
        <w:rPr>
          <w:rFonts w:asciiTheme="minorHAnsi" w:hAnsiTheme="minorHAnsi" w:cstheme="minorHAnsi"/>
          <w:sz w:val="20"/>
          <w:szCs w:val="20"/>
        </w:rPr>
        <w:t> </w:t>
      </w:r>
      <w:r w:rsidRPr="00EB2E7B">
        <w:rPr>
          <w:rFonts w:asciiTheme="minorHAnsi" w:hAnsiTheme="minorHAnsi" w:cstheme="minorHAnsi"/>
          <w:sz w:val="20"/>
          <w:szCs w:val="20"/>
        </w:rPr>
        <w:t xml:space="preserve">zabezpieczenie </w:t>
      </w:r>
      <w:proofErr w:type="spellStart"/>
      <w:r w:rsidRPr="00EB2E7B">
        <w:rPr>
          <w:rFonts w:asciiTheme="minorHAnsi" w:hAnsiTheme="minorHAnsi" w:cstheme="minorHAnsi"/>
          <w:sz w:val="20"/>
          <w:szCs w:val="20"/>
        </w:rPr>
        <w:t>nadczęstotliwościowe</w:t>
      </w:r>
      <w:proofErr w:type="spellEnd"/>
      <w:r w:rsidRPr="00EB2E7B">
        <w:rPr>
          <w:rFonts w:asciiTheme="minorHAnsi" w:hAnsiTheme="minorHAnsi" w:cstheme="minorHAnsi"/>
          <w:sz w:val="20"/>
          <w:szCs w:val="20"/>
        </w:rPr>
        <w:t xml:space="preserve">. </w:t>
      </w:r>
    </w:p>
    <w:p w14:paraId="3C61F756" w14:textId="77777777" w:rsidR="00473957" w:rsidRPr="00EB2E7B" w:rsidRDefault="0077111A" w:rsidP="00F07B5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u w:val="single"/>
        </w:rPr>
        <w:t>Wymagania dla automatyk zabezpieczeniowych rozdzielni SN</w:t>
      </w:r>
    </w:p>
    <w:p w14:paraId="155A6461" w14:textId="77777777" w:rsidR="00473957"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Rozdzielnie SN powinny być wyposażone w: </w:t>
      </w:r>
    </w:p>
    <w:p w14:paraId="47C99150" w14:textId="5650E522" w:rsidR="00473957" w:rsidRPr="00EB2E7B" w:rsidRDefault="0077111A" w:rsidP="00755CC4">
      <w:pPr>
        <w:pStyle w:val="1przed"/>
        <w:numPr>
          <w:ilvl w:val="0"/>
          <w:numId w:val="37"/>
        </w:numPr>
        <w:ind w:left="1701" w:hanging="567"/>
        <w:rPr>
          <w:rFonts w:asciiTheme="minorHAnsi" w:hAnsiTheme="minorHAnsi" w:cstheme="minorHAnsi"/>
          <w:sz w:val="20"/>
          <w:szCs w:val="20"/>
        </w:rPr>
      </w:pPr>
      <w:r w:rsidRPr="00EB2E7B">
        <w:rPr>
          <w:rFonts w:asciiTheme="minorHAnsi" w:hAnsiTheme="minorHAnsi" w:cstheme="minorHAnsi"/>
          <w:sz w:val="20"/>
          <w:szCs w:val="20"/>
        </w:rPr>
        <w:t>SCO umożliwiające realizację przynajmniej dwóch stopni w każdej sekcji, przy czym automatyka może być zrealizowana w polu pomiaru napięcia z</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rozprowadzeniem sygnału do pól odpływowych lub jako rozproszona w</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postaci zabezpieczeń </w:t>
      </w:r>
      <w:proofErr w:type="spellStart"/>
      <w:r w:rsidRPr="00EB2E7B">
        <w:rPr>
          <w:rFonts w:asciiTheme="minorHAnsi" w:hAnsiTheme="minorHAnsi" w:cstheme="minorHAnsi"/>
          <w:sz w:val="20"/>
          <w:szCs w:val="20"/>
        </w:rPr>
        <w:t>podczęstotliwościowych</w:t>
      </w:r>
      <w:proofErr w:type="spellEnd"/>
      <w:r w:rsidRPr="00EB2E7B">
        <w:rPr>
          <w:rFonts w:asciiTheme="minorHAnsi" w:hAnsiTheme="minorHAnsi" w:cstheme="minorHAnsi"/>
          <w:sz w:val="20"/>
          <w:szCs w:val="20"/>
        </w:rPr>
        <w:t xml:space="preserve"> w poszczególnych polach. Automatyki tej nie wolno instalować w rozdzielniach SN GPO. Automatyki tej nie należy uruchamiać w liniach, do których przyłączone są jednostki wytwórcze, </w:t>
      </w:r>
    </w:p>
    <w:p w14:paraId="1AD88D1F"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SPZ/SCO należy stosować w uzgodnieniu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00AA96B0"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LRW w celu rezerwowania wyłączników w polach liniowych, potrzeb własnych i baterii kondensatorów. Automatyka ta powinna wyłączyć zasilanie zwarcia ze wszystkich stron, czyli również wyłączać linie z</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przyłączonymi elektrowniami lokalnymi, </w:t>
      </w:r>
    </w:p>
    <w:p w14:paraId="2B6388CC"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zabezpieczenie szyn zbiorczych, które może być w wykonaniu różnicowym poprzecznym lub nadprądowo-logicznym. Automatyka ta powinna odłączać zasilanie zwarcia ze wszystkich stron, czyli również wyłączać linie z</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przyłączonymi elektrowniami lokalnymi. Zabezpieczenie to powinno działać z czasem nie dłuższym niż 0,3 s, </w:t>
      </w:r>
    </w:p>
    <w:p w14:paraId="2483D00E" w14:textId="77777777" w:rsidR="00473957" w:rsidRPr="00EB2E7B" w:rsidRDefault="0077111A"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rozdzielniach SN wyposażonych w automatykę SZR, do których przyłączone są jednostki wytwórcze, należy zastosować jedno z rozwiązań: </w:t>
      </w:r>
    </w:p>
    <w:p w14:paraId="6FD1752C" w14:textId="77777777" w:rsidR="00473957" w:rsidRPr="00EB2E7B" w:rsidRDefault="0077111A" w:rsidP="00755CC4">
      <w:pPr>
        <w:pStyle w:val="1przed"/>
        <w:numPr>
          <w:ilvl w:val="0"/>
          <w:numId w:val="38"/>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urządzenia SZR z funkcją kontroli napięcia szczątkowego (zalecane), </w:t>
      </w:r>
    </w:p>
    <w:p w14:paraId="51891780"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przed załączeniem zasilania rezerwowego wyłączać linie, do których przyłączone są jednostki wytwórcze. </w:t>
      </w:r>
    </w:p>
    <w:p w14:paraId="44EE0BF4" w14:textId="5A4223C0" w:rsidR="00F51FA1" w:rsidRPr="00EB2E7B" w:rsidRDefault="00F51FA1" w:rsidP="00F07B5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W odniesieniu do lokalnych modułów wytwarzania energii przyłączonych do sieci SN:</w:t>
      </w:r>
    </w:p>
    <w:p w14:paraId="60427B02" w14:textId="77777777" w:rsidR="00F51FA1" w:rsidRPr="00EB2E7B" w:rsidRDefault="00F51FA1" w:rsidP="00755CC4">
      <w:pPr>
        <w:pStyle w:val="1przed"/>
        <w:numPr>
          <w:ilvl w:val="0"/>
          <w:numId w:val="202"/>
        </w:numPr>
        <w:ind w:left="1701" w:hanging="567"/>
        <w:rPr>
          <w:rFonts w:asciiTheme="minorHAnsi" w:hAnsiTheme="minorHAnsi" w:cstheme="minorHAnsi"/>
          <w:sz w:val="20"/>
          <w:szCs w:val="20"/>
        </w:rPr>
      </w:pPr>
      <w:r w:rsidRPr="00EB2E7B">
        <w:rPr>
          <w:rFonts w:asciiTheme="minorHAnsi" w:hAnsiTheme="minorHAnsi" w:cstheme="minorHAnsi"/>
          <w:sz w:val="20"/>
          <w:szCs w:val="20"/>
        </w:rPr>
        <w:t>stacje SN, do których są przyłączone lokalne moduły wytwarzania energii, wyposaża się w układy i urządzenia EAZ mające chronić bezpieczeństwo sieci i odbiorców przyłączonych do sieci, w szczególności reagujące na:</w:t>
      </w:r>
    </w:p>
    <w:p w14:paraId="7175D2DE" w14:textId="77777777" w:rsidR="00F51FA1" w:rsidRPr="00EB2E7B" w:rsidRDefault="00F51FA1" w:rsidP="00755CC4">
      <w:pPr>
        <w:pStyle w:val="apo"/>
        <w:numPr>
          <w:ilvl w:val="0"/>
          <w:numId w:val="203"/>
        </w:numPr>
        <w:ind w:left="2268" w:hanging="567"/>
        <w:rPr>
          <w:rFonts w:asciiTheme="minorHAnsi" w:hAnsiTheme="minorHAnsi" w:cstheme="minorHAnsi"/>
          <w:sz w:val="20"/>
          <w:szCs w:val="20"/>
        </w:rPr>
      </w:pPr>
      <w:r w:rsidRPr="00EB2E7B">
        <w:rPr>
          <w:rFonts w:asciiTheme="minorHAnsi" w:hAnsiTheme="minorHAnsi" w:cstheme="minorHAnsi"/>
          <w:sz w:val="20"/>
          <w:szCs w:val="20"/>
        </w:rPr>
        <w:t>zwarcia wielofazowe i doziemne,</w:t>
      </w:r>
    </w:p>
    <w:p w14:paraId="50277201" w14:textId="04618491" w:rsidR="00F51FA1" w:rsidRPr="00EB2E7B" w:rsidRDefault="00F51FA1" w:rsidP="00755CC4">
      <w:pPr>
        <w:pStyle w:val="apo"/>
        <w:numPr>
          <w:ilvl w:val="0"/>
          <w:numId w:val="203"/>
        </w:numPr>
        <w:ind w:left="2268" w:hanging="567"/>
        <w:rPr>
          <w:rFonts w:asciiTheme="minorHAnsi" w:hAnsiTheme="minorHAnsi" w:cstheme="minorHAnsi"/>
          <w:sz w:val="20"/>
          <w:szCs w:val="20"/>
        </w:rPr>
      </w:pPr>
      <w:r w:rsidRPr="00EB2E7B">
        <w:rPr>
          <w:rFonts w:asciiTheme="minorHAnsi" w:hAnsiTheme="minorHAnsi" w:cstheme="minorHAnsi"/>
          <w:sz w:val="20"/>
          <w:szCs w:val="20"/>
        </w:rPr>
        <w:t>wzrost i obniżenie napięcia,</w:t>
      </w:r>
    </w:p>
    <w:p w14:paraId="144D64CF" w14:textId="7A5178C7" w:rsidR="00F51FA1" w:rsidRPr="00EB2E7B" w:rsidRDefault="00F51FA1" w:rsidP="00755CC4">
      <w:pPr>
        <w:pStyle w:val="apo"/>
        <w:numPr>
          <w:ilvl w:val="0"/>
          <w:numId w:val="203"/>
        </w:numPr>
        <w:ind w:left="2268" w:hanging="567"/>
        <w:rPr>
          <w:rFonts w:asciiTheme="minorHAnsi" w:hAnsiTheme="minorHAnsi" w:cstheme="minorHAnsi"/>
          <w:sz w:val="20"/>
          <w:szCs w:val="20"/>
        </w:rPr>
      </w:pPr>
      <w:r w:rsidRPr="00EB2E7B">
        <w:rPr>
          <w:rFonts w:asciiTheme="minorHAnsi" w:hAnsiTheme="minorHAnsi" w:cstheme="minorHAnsi"/>
          <w:sz w:val="20"/>
          <w:szCs w:val="20"/>
        </w:rPr>
        <w:t>wzrost i obniżenie częstotliwości,</w:t>
      </w:r>
    </w:p>
    <w:p w14:paraId="782127DF" w14:textId="53099A00" w:rsidR="00F51FA1" w:rsidRPr="00EB2E7B" w:rsidRDefault="00F51FA1" w:rsidP="00755CC4">
      <w:pPr>
        <w:pStyle w:val="apo"/>
        <w:numPr>
          <w:ilvl w:val="0"/>
          <w:numId w:val="203"/>
        </w:numPr>
        <w:ind w:left="2268" w:hanging="567"/>
        <w:rPr>
          <w:rFonts w:asciiTheme="minorHAnsi" w:hAnsiTheme="minorHAnsi" w:cstheme="minorHAnsi"/>
          <w:sz w:val="20"/>
          <w:szCs w:val="20"/>
        </w:rPr>
      </w:pPr>
      <w:r w:rsidRPr="00EB2E7B">
        <w:rPr>
          <w:rFonts w:asciiTheme="minorHAnsi" w:hAnsiTheme="minorHAnsi" w:cstheme="minorHAnsi"/>
          <w:sz w:val="20"/>
          <w:szCs w:val="20"/>
        </w:rPr>
        <w:t>utratę połączenia z siecią operatora systemu dystrybucyjnego;</w:t>
      </w:r>
    </w:p>
    <w:p w14:paraId="2B038B93" w14:textId="77777777" w:rsidR="00F51FA1" w:rsidRPr="00EB2E7B" w:rsidRDefault="00F51FA1" w:rsidP="00755CC4">
      <w:pPr>
        <w:pStyle w:val="1przed"/>
        <w:numPr>
          <w:ilvl w:val="0"/>
          <w:numId w:val="202"/>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właściciel modułu wytwarzania wykonuje układ EAZ w taki sposób, aby wyłącznik sprzęgający był łącznikiem przeznaczonym do wyłączania jedynie modułu wytwarzania, a wyłączenie go </w:t>
      </w:r>
      <w:r w:rsidRPr="00EB2E7B">
        <w:rPr>
          <w:rFonts w:asciiTheme="minorHAnsi" w:hAnsiTheme="minorHAnsi" w:cstheme="minorHAnsi"/>
          <w:sz w:val="20"/>
          <w:szCs w:val="20"/>
        </w:rPr>
        <w:lastRenderedPageBreak/>
        <w:t>nie skutkowało pozbawieniem zasilania potrzeb własnych modułu wytwarzania ani jakichkolwiek innych obwodów niezwiązanych z tym modułem;</w:t>
      </w:r>
    </w:p>
    <w:p w14:paraId="420E6017" w14:textId="77777777" w:rsidR="00F51FA1" w:rsidRPr="00EB2E7B" w:rsidRDefault="00F51FA1" w:rsidP="00755CC4">
      <w:pPr>
        <w:pStyle w:val="1przed"/>
        <w:numPr>
          <w:ilvl w:val="0"/>
          <w:numId w:val="202"/>
        </w:numPr>
        <w:ind w:left="1701" w:hanging="567"/>
        <w:rPr>
          <w:rFonts w:asciiTheme="minorHAnsi" w:hAnsiTheme="minorHAnsi" w:cstheme="minorHAnsi"/>
          <w:sz w:val="20"/>
          <w:szCs w:val="20"/>
        </w:rPr>
      </w:pPr>
      <w:r w:rsidRPr="00EB2E7B">
        <w:rPr>
          <w:rFonts w:asciiTheme="minorHAnsi" w:hAnsiTheme="minorHAnsi" w:cstheme="minorHAnsi"/>
          <w:sz w:val="20"/>
          <w:szCs w:val="20"/>
        </w:rPr>
        <w:t>ACPRO określa warunki ewentualnego zasilania lub ponownego zasilenia od strony lokalnego modułu wytwarzania energii, sieci wyłączonej od strony głównego punktu zasilającego oraz ponownej synchronizacji, a także niezbędne do tego środki techniczne;</w:t>
      </w:r>
    </w:p>
    <w:p w14:paraId="3C893C74" w14:textId="4707AEE2" w:rsidR="00F51FA1" w:rsidRPr="00EB2E7B" w:rsidRDefault="00F51FA1" w:rsidP="00755CC4">
      <w:pPr>
        <w:pStyle w:val="1przed"/>
        <w:numPr>
          <w:ilvl w:val="0"/>
          <w:numId w:val="202"/>
        </w:numPr>
        <w:ind w:left="1701" w:hanging="567"/>
        <w:rPr>
          <w:rFonts w:asciiTheme="minorHAnsi" w:hAnsiTheme="minorHAnsi" w:cstheme="minorHAnsi"/>
          <w:sz w:val="20"/>
          <w:szCs w:val="20"/>
        </w:rPr>
      </w:pPr>
      <w:r w:rsidRPr="00EB2E7B">
        <w:rPr>
          <w:rFonts w:asciiTheme="minorHAnsi" w:hAnsiTheme="minorHAnsi" w:cstheme="minorHAnsi"/>
          <w:sz w:val="20"/>
          <w:szCs w:val="20"/>
        </w:rPr>
        <w:t>ACPRO określa warunki dotyczące zakresu telemechaniki stacji z przyłączonymi lokalnymi modułami wytwarzania energii;</w:t>
      </w:r>
    </w:p>
    <w:p w14:paraId="79890385" w14:textId="77E10FC5" w:rsidR="00F51FA1" w:rsidRPr="00EB2E7B" w:rsidRDefault="00F51FA1" w:rsidP="00755CC4">
      <w:pPr>
        <w:pStyle w:val="1przed"/>
        <w:numPr>
          <w:ilvl w:val="0"/>
          <w:numId w:val="202"/>
        </w:numPr>
        <w:ind w:left="1701" w:hanging="567"/>
        <w:rPr>
          <w:rFonts w:asciiTheme="minorHAnsi" w:hAnsiTheme="minorHAnsi" w:cstheme="minorHAnsi"/>
          <w:sz w:val="20"/>
          <w:szCs w:val="20"/>
        </w:rPr>
      </w:pPr>
      <w:r w:rsidRPr="00EB2E7B">
        <w:rPr>
          <w:rFonts w:asciiTheme="minorHAnsi" w:hAnsiTheme="minorHAnsi" w:cstheme="minorHAnsi"/>
          <w:sz w:val="20"/>
          <w:szCs w:val="20"/>
        </w:rPr>
        <w:t>ACPRO określa wymagania dotyczące układów i urządzeń EAZ w stosunku do modułów wytwarzania energii przyłączanych do sieci ACPRO.</w:t>
      </w:r>
    </w:p>
    <w:p w14:paraId="13576B22"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Wymagania dla jednostek wytwórczych w zakresie EAZ</w:t>
      </w:r>
      <w:r w:rsidR="002E1AA2"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p w14:paraId="1BB5C4D4" w14:textId="285D6594" w:rsidR="00473957" w:rsidRPr="00EB2E7B" w:rsidRDefault="0077111A" w:rsidP="00FB2DFF">
      <w:pPr>
        <w:pStyle w:val="Nagwek5"/>
        <w:ind w:left="1134" w:hanging="1134"/>
        <w:rPr>
          <w:rFonts w:asciiTheme="minorHAnsi" w:hAnsiTheme="minorHAnsi" w:cstheme="minorHAnsi"/>
          <w:sz w:val="20"/>
          <w:szCs w:val="20"/>
        </w:rPr>
      </w:pPr>
      <w:bookmarkStart w:id="139" w:name="_Ref75436419"/>
      <w:r w:rsidRPr="00EB2E7B">
        <w:rPr>
          <w:rFonts w:asciiTheme="minorHAnsi" w:hAnsiTheme="minorHAnsi" w:cstheme="minorHAnsi"/>
          <w:sz w:val="20"/>
          <w:szCs w:val="20"/>
        </w:rPr>
        <w:t>Zabrania się przyłączania jednostek wytwórczych wyposażonych wyłącznie w</w:t>
      </w:r>
      <w:r w:rsidR="00B44D50" w:rsidRPr="00EB2E7B">
        <w:rPr>
          <w:rFonts w:asciiTheme="minorHAnsi" w:hAnsiTheme="minorHAnsi" w:cstheme="minorHAnsi"/>
          <w:sz w:val="20"/>
          <w:szCs w:val="20"/>
        </w:rPr>
        <w:t> </w:t>
      </w:r>
      <w:r w:rsidRPr="00EB2E7B">
        <w:rPr>
          <w:rFonts w:asciiTheme="minorHAnsi" w:hAnsiTheme="minorHAnsi" w:cstheme="minorHAnsi"/>
          <w:sz w:val="20"/>
          <w:szCs w:val="20"/>
        </w:rPr>
        <w:t>aparaty instalacyjne np. bezpieczniki topikowe czy wyłączniki nadmiarowe niezależnie od wartości mocy osiągalnej i miejsca przyłączenia.</w:t>
      </w:r>
      <w:bookmarkEnd w:id="139"/>
      <w:r w:rsidRPr="00EB2E7B">
        <w:rPr>
          <w:rFonts w:asciiTheme="minorHAnsi" w:hAnsiTheme="minorHAnsi" w:cstheme="minorHAnsi"/>
          <w:sz w:val="20"/>
          <w:szCs w:val="20"/>
        </w:rPr>
        <w:t xml:space="preserve"> </w:t>
      </w:r>
    </w:p>
    <w:p w14:paraId="274CCBD0" w14:textId="77777777" w:rsidR="00473957" w:rsidRPr="00EB2E7B" w:rsidRDefault="0077111A" w:rsidP="00FB2DFF">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Wszystkie zabezpieczenia jednostek wytwórczych pracujących w sieci trójfazowej powinny powodować ich trójfazowe wyłączenie. </w:t>
      </w:r>
    </w:p>
    <w:p w14:paraId="4833B963" w14:textId="77777777" w:rsidR="00473957" w:rsidRPr="00EB2E7B" w:rsidRDefault="0077111A" w:rsidP="001634E3">
      <w:pPr>
        <w:pStyle w:val="Nagwek5"/>
        <w:ind w:left="1134" w:hanging="1134"/>
        <w:rPr>
          <w:rFonts w:asciiTheme="minorHAnsi" w:hAnsiTheme="minorHAnsi" w:cstheme="minorHAnsi"/>
          <w:sz w:val="20"/>
          <w:szCs w:val="20"/>
        </w:rPr>
      </w:pPr>
      <w:bookmarkStart w:id="140" w:name="_Ref75436431"/>
      <w:r w:rsidRPr="00EB2E7B">
        <w:rPr>
          <w:rFonts w:asciiTheme="minorHAnsi" w:hAnsiTheme="minorHAnsi" w:cstheme="minorHAnsi"/>
          <w:sz w:val="20"/>
          <w:szCs w:val="20"/>
        </w:rPr>
        <w:t xml:space="preserve">Jednostki wytwórcze, dla których miejscem przyłączenia jest sieć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powinny być wyposażone w:</w:t>
      </w:r>
      <w:bookmarkEnd w:id="140"/>
      <w:r w:rsidRPr="00EB2E7B">
        <w:rPr>
          <w:rFonts w:asciiTheme="minorHAnsi" w:hAnsiTheme="minorHAnsi" w:cstheme="minorHAnsi"/>
          <w:sz w:val="20"/>
          <w:szCs w:val="20"/>
        </w:rPr>
        <w:t xml:space="preserve"> </w:t>
      </w:r>
    </w:p>
    <w:p w14:paraId="035BE81B" w14:textId="77777777" w:rsidR="00473957" w:rsidRPr="00EB2E7B" w:rsidRDefault="0077111A" w:rsidP="00755CC4">
      <w:pPr>
        <w:pStyle w:val="1przed"/>
        <w:numPr>
          <w:ilvl w:val="0"/>
          <w:numId w:val="39"/>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zabezpieczenia nadprądowe, </w:t>
      </w:r>
    </w:p>
    <w:p w14:paraId="77E3FED0"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zabezpieczenia pod- i nadnapięciowe, </w:t>
      </w:r>
    </w:p>
    <w:p w14:paraId="00B37BCF"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zabezpieczenia nad- i </w:t>
      </w:r>
      <w:proofErr w:type="spellStart"/>
      <w:r w:rsidRPr="00EB2E7B">
        <w:rPr>
          <w:rFonts w:asciiTheme="minorHAnsi" w:hAnsiTheme="minorHAnsi" w:cstheme="minorHAnsi"/>
          <w:sz w:val="20"/>
          <w:szCs w:val="20"/>
        </w:rPr>
        <w:t>podczęstotliwościowe</w:t>
      </w:r>
      <w:proofErr w:type="spellEnd"/>
      <w:r w:rsidRPr="00EB2E7B">
        <w:rPr>
          <w:rFonts w:asciiTheme="minorHAnsi" w:hAnsiTheme="minorHAnsi" w:cstheme="minorHAnsi"/>
          <w:sz w:val="20"/>
          <w:szCs w:val="20"/>
        </w:rPr>
        <w:t xml:space="preserve">, </w:t>
      </w:r>
    </w:p>
    <w:p w14:paraId="00A16CA0" w14:textId="77777777" w:rsidR="0024284D"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zabezpieczenie skutków od pracy </w:t>
      </w:r>
      <w:proofErr w:type="spellStart"/>
      <w:r w:rsidRPr="00EB2E7B">
        <w:rPr>
          <w:rFonts w:asciiTheme="minorHAnsi" w:hAnsiTheme="minorHAnsi" w:cstheme="minorHAnsi"/>
          <w:sz w:val="20"/>
          <w:szCs w:val="20"/>
        </w:rPr>
        <w:t>niepełnofazowej</w:t>
      </w:r>
      <w:proofErr w:type="spellEnd"/>
      <w:r w:rsidRPr="00EB2E7B">
        <w:rPr>
          <w:rFonts w:asciiTheme="minorHAnsi" w:hAnsiTheme="minorHAnsi" w:cstheme="minorHAnsi"/>
          <w:sz w:val="20"/>
          <w:szCs w:val="20"/>
        </w:rPr>
        <w:t xml:space="preserve">, </w:t>
      </w:r>
    </w:p>
    <w:p w14:paraId="4BD0E0FC"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zabezpieczenie od pracy wyspowej. </w:t>
      </w:r>
    </w:p>
    <w:p w14:paraId="275404FE" w14:textId="16C3A915" w:rsidR="00473957" w:rsidRPr="00EB2E7B" w:rsidRDefault="00232DA9" w:rsidP="00FB2DFF">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decyduje o potrzebie wyposażenia jednostek wytwórczych lub linii w</w:t>
      </w:r>
      <w:r w:rsidR="00A375BC" w:rsidRPr="00EB2E7B">
        <w:rPr>
          <w:rFonts w:asciiTheme="minorHAnsi" w:hAnsiTheme="minorHAnsi" w:cstheme="minorHAnsi"/>
          <w:sz w:val="20"/>
          <w:szCs w:val="20"/>
        </w:rPr>
        <w:t> </w:t>
      </w:r>
      <w:r w:rsidR="000C1BC6" w:rsidRPr="00EB2E7B">
        <w:rPr>
          <w:rFonts w:asciiTheme="minorHAnsi" w:hAnsiTheme="minorHAnsi" w:cstheme="minorHAnsi"/>
          <w:sz w:val="20"/>
          <w:szCs w:val="20"/>
        </w:rPr>
        <w:t>inne zabezpieczenia, poprawiające bezpieczeństwo pracy sieci</w:t>
      </w:r>
      <w:r w:rsidR="0077111A" w:rsidRPr="00EB2E7B">
        <w:rPr>
          <w:rFonts w:asciiTheme="minorHAnsi" w:hAnsiTheme="minorHAnsi" w:cstheme="minorHAnsi"/>
          <w:sz w:val="20"/>
          <w:szCs w:val="20"/>
        </w:rPr>
        <w:t xml:space="preserve">. </w:t>
      </w:r>
    </w:p>
    <w:p w14:paraId="5D503C8B" w14:textId="0A9E7745" w:rsidR="00473957" w:rsidRPr="00EB2E7B" w:rsidRDefault="0077111A" w:rsidP="00FB2DFF">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Nastawy EAZ jednostek wytwórczych powinny być uzgodnione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lub przez niego ustalone. </w:t>
      </w:r>
    </w:p>
    <w:p w14:paraId="6A2F8A25" w14:textId="77777777" w:rsidR="00473957" w:rsidRPr="00EB2E7B" w:rsidRDefault="0077111A" w:rsidP="00FB2DFF">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u w:val="single"/>
        </w:rPr>
        <w:t xml:space="preserve">Jednostki wytwórcze przyłączone poprzez transformatory </w:t>
      </w:r>
      <w:proofErr w:type="spellStart"/>
      <w:r w:rsidRPr="00EB2E7B">
        <w:rPr>
          <w:rFonts w:asciiTheme="minorHAnsi" w:hAnsiTheme="minorHAnsi" w:cstheme="minorHAnsi"/>
          <w:sz w:val="20"/>
          <w:szCs w:val="20"/>
          <w:u w:val="single"/>
        </w:rPr>
        <w:t>nN</w:t>
      </w:r>
      <w:proofErr w:type="spellEnd"/>
      <w:r w:rsidRPr="00EB2E7B">
        <w:rPr>
          <w:rFonts w:asciiTheme="minorHAnsi" w:hAnsiTheme="minorHAnsi" w:cstheme="minorHAnsi"/>
          <w:sz w:val="20"/>
          <w:szCs w:val="20"/>
          <w:u w:val="single"/>
        </w:rPr>
        <w:t>/SN</w:t>
      </w:r>
      <w:r w:rsidRPr="00EB2E7B">
        <w:rPr>
          <w:rFonts w:asciiTheme="minorHAnsi" w:hAnsiTheme="minorHAnsi" w:cstheme="minorHAnsi"/>
          <w:sz w:val="20"/>
          <w:szCs w:val="20"/>
        </w:rPr>
        <w:t>.</w:t>
      </w:r>
    </w:p>
    <w:p w14:paraId="3CD38BA0" w14:textId="77777777" w:rsidR="00473957" w:rsidRPr="00EB2E7B" w:rsidRDefault="0077111A" w:rsidP="00FB2DFF">
      <w:pPr>
        <w:pStyle w:val="Nagwek6"/>
        <w:ind w:left="1134" w:hanging="1134"/>
        <w:rPr>
          <w:rFonts w:asciiTheme="minorHAnsi" w:hAnsiTheme="minorHAnsi" w:cstheme="minorHAnsi"/>
          <w:sz w:val="20"/>
          <w:szCs w:val="20"/>
        </w:rPr>
      </w:pPr>
      <w:bookmarkStart w:id="141" w:name="_Ref75436464"/>
      <w:r w:rsidRPr="00EB2E7B">
        <w:rPr>
          <w:rFonts w:asciiTheme="minorHAnsi" w:hAnsiTheme="minorHAnsi" w:cstheme="minorHAnsi"/>
          <w:sz w:val="20"/>
          <w:szCs w:val="20"/>
        </w:rPr>
        <w:t xml:space="preserve">Jeśli w skład jednostki wytwórczej wchodzi transformator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/SN niezależnie od łącznika po stronie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musi być zainstalowany wyłącznik po stronie SN.</w:t>
      </w:r>
      <w:bookmarkEnd w:id="141"/>
      <w:r w:rsidRPr="00EB2E7B">
        <w:rPr>
          <w:rFonts w:asciiTheme="minorHAnsi" w:hAnsiTheme="minorHAnsi" w:cstheme="minorHAnsi"/>
          <w:sz w:val="20"/>
          <w:szCs w:val="20"/>
        </w:rPr>
        <w:t xml:space="preserve"> </w:t>
      </w:r>
    </w:p>
    <w:p w14:paraId="1AA05F54" w14:textId="77777777" w:rsidR="00473957" w:rsidRPr="00EB2E7B" w:rsidRDefault="0077111A" w:rsidP="00FB2DF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Jednostki wytwórcze z generatorami synchronicznymi pracujące synchronicznie z</w:t>
      </w:r>
      <w:r w:rsidR="0024284D"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siecią muszą być wyposażone w synchronizatory lub inne urządzenie umożliwiające właściwe łączenie z siecią. </w:t>
      </w:r>
    </w:p>
    <w:p w14:paraId="1575EA11" w14:textId="6B3A4F09" w:rsidR="00473957" w:rsidRPr="00EB2E7B" w:rsidRDefault="0077111A" w:rsidP="00FB2DF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 chwilowym zaniku lub obniżeniu napięcia w sieci współpracującej powodującym wyłączenie, jednostki wytwórcze o mocy większej od 100 kVA </w:t>
      </w:r>
      <w:r w:rsidR="00207E0D" w:rsidRPr="00EB2E7B">
        <w:rPr>
          <w:rFonts w:asciiTheme="minorHAnsi" w:hAnsiTheme="minorHAnsi" w:cstheme="minorHAnsi"/>
          <w:sz w:val="20"/>
          <w:szCs w:val="20"/>
        </w:rPr>
        <w:t xml:space="preserve">mogą </w:t>
      </w:r>
      <w:r w:rsidRPr="00EB2E7B">
        <w:rPr>
          <w:rFonts w:asciiTheme="minorHAnsi" w:hAnsiTheme="minorHAnsi" w:cstheme="minorHAnsi"/>
          <w:sz w:val="20"/>
          <w:szCs w:val="20"/>
        </w:rPr>
        <w:t xml:space="preserve">samoczynnie powrócić do pracy w czasie nie krótszym niż 30 s po ustąpieniu zakłócenia. </w:t>
      </w:r>
    </w:p>
    <w:p w14:paraId="67A14BC4" w14:textId="77777777" w:rsidR="00473957" w:rsidRPr="00EB2E7B" w:rsidRDefault="0077111A" w:rsidP="00FB2DFF">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Jednostki wytwórcze powinny mieć następujące zabezpieczenia: </w:t>
      </w:r>
    </w:p>
    <w:p w14:paraId="31E483E2" w14:textId="77777777" w:rsidR="00473957" w:rsidRPr="00EB2E7B" w:rsidRDefault="0077111A" w:rsidP="00755CC4">
      <w:pPr>
        <w:pStyle w:val="1przed"/>
        <w:numPr>
          <w:ilvl w:val="0"/>
          <w:numId w:val="40"/>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nadprądowe od skutków zwarć międzyfazowych zwłoczne i/lub zwarciowe, </w:t>
      </w:r>
    </w:p>
    <w:p w14:paraId="26A43B3C"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nad- i podnapięciowe, </w:t>
      </w:r>
    </w:p>
    <w:p w14:paraId="0581473D"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nad- i </w:t>
      </w:r>
      <w:proofErr w:type="spellStart"/>
      <w:r w:rsidRPr="00EB2E7B">
        <w:rPr>
          <w:rFonts w:asciiTheme="minorHAnsi" w:hAnsiTheme="minorHAnsi" w:cstheme="minorHAnsi"/>
          <w:sz w:val="20"/>
          <w:szCs w:val="20"/>
        </w:rPr>
        <w:t>podczęstotliwościowe</w:t>
      </w:r>
      <w:proofErr w:type="spellEnd"/>
      <w:r w:rsidRPr="00EB2E7B">
        <w:rPr>
          <w:rFonts w:asciiTheme="minorHAnsi" w:hAnsiTheme="minorHAnsi" w:cstheme="minorHAnsi"/>
          <w:sz w:val="20"/>
          <w:szCs w:val="20"/>
        </w:rPr>
        <w:t xml:space="preserve">, </w:t>
      </w:r>
    </w:p>
    <w:p w14:paraId="4B96ABDA"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ziemnozwarciowe, </w:t>
      </w:r>
    </w:p>
    <w:p w14:paraId="6E4BA8FA"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od pracy wyspowej. </w:t>
      </w:r>
    </w:p>
    <w:p w14:paraId="679E7667" w14:textId="77777777" w:rsidR="00473957" w:rsidRPr="00EB2E7B" w:rsidRDefault="0077111A" w:rsidP="00755CC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Jednostki wytwórcze o mocy 25 MVA i większej należy wyposażać w</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zabezpieczenia różnicowoprądowe, przy czym ACPRO może zdecydować o</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potrzebie stosowania zabezpieczeń różnicowoprądowych dla poszczególnych rodzajów jednostek wytwórczych o mocy mniejszej. </w:t>
      </w:r>
    </w:p>
    <w:p w14:paraId="453149B9" w14:textId="77777777" w:rsidR="00473957" w:rsidRPr="00EB2E7B" w:rsidRDefault="0077111A" w:rsidP="00755CC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Zabezpieczenia do ochrony przed skutkami obniżenia lub wzrostu napięcia muszą być wykonane trójfazowo. Jeśli zabezpieczenie jest zainstalowane po stronie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to powinno zadziałać po wzroście lub obniżeniu jednego lub więcej napięć fazowych. Jeśli jest zainstalowane po stronie SN, to powinno zadziałać po wzroście lub obniżeniu jednego lub więcej napięć przewodowych. </w:t>
      </w:r>
    </w:p>
    <w:p w14:paraId="0EE62529" w14:textId="77777777" w:rsidR="00473957" w:rsidRPr="00EB2E7B" w:rsidRDefault="0077111A" w:rsidP="00755CC4">
      <w:pPr>
        <w:pStyle w:val="Nagwek6"/>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Składowa zerowa napięcia dla zabezpieczeń ziemnozwarciowych musi być mierzona po stronie SN. </w:t>
      </w:r>
    </w:p>
    <w:p w14:paraId="2E2C5F67" w14:textId="425DE8D4" w:rsidR="00473957" w:rsidRPr="00EB2E7B" w:rsidRDefault="0077111A" w:rsidP="00755CC4">
      <w:pPr>
        <w:pStyle w:val="Nagwek6"/>
        <w:ind w:left="1134" w:hanging="1134"/>
        <w:rPr>
          <w:rFonts w:asciiTheme="minorHAnsi" w:hAnsiTheme="minorHAnsi" w:cstheme="minorHAnsi"/>
          <w:sz w:val="20"/>
          <w:szCs w:val="20"/>
        </w:rPr>
      </w:pPr>
      <w:bookmarkStart w:id="142" w:name="_Ref75436496"/>
      <w:r w:rsidRPr="00EB2E7B">
        <w:rPr>
          <w:rFonts w:asciiTheme="minorHAnsi" w:hAnsiTheme="minorHAnsi" w:cstheme="minorHAnsi"/>
          <w:sz w:val="20"/>
          <w:szCs w:val="20"/>
        </w:rPr>
        <w:t xml:space="preserve">Jednostki wytwórcze współpracujące z falownikami, oprócz zabezpieczeń wykonanych zgodnie z pkt. od </w:t>
      </w:r>
      <w:r w:rsidR="002E773B" w:rsidRPr="00EB2E7B">
        <w:rPr>
          <w:rFonts w:asciiTheme="minorHAnsi" w:hAnsiTheme="minorHAnsi" w:cstheme="minorHAnsi"/>
          <w:sz w:val="20"/>
          <w:szCs w:val="20"/>
        </w:rPr>
        <w:fldChar w:fldCharType="begin"/>
      </w:r>
      <w:r w:rsidR="002E773B" w:rsidRPr="00EB2E7B">
        <w:rPr>
          <w:rFonts w:asciiTheme="minorHAnsi" w:hAnsiTheme="minorHAnsi" w:cstheme="minorHAnsi"/>
          <w:sz w:val="20"/>
          <w:szCs w:val="20"/>
        </w:rPr>
        <w:instrText xml:space="preserve"> REF _Ref75436419 \r \h </w:instrText>
      </w:r>
      <w:r w:rsidR="00C54566" w:rsidRPr="00EB2E7B">
        <w:rPr>
          <w:rFonts w:asciiTheme="minorHAnsi" w:hAnsiTheme="minorHAnsi" w:cstheme="minorHAnsi"/>
          <w:sz w:val="20"/>
          <w:szCs w:val="20"/>
        </w:rPr>
        <w:instrText xml:space="preserve"> \* MERGEFORMAT </w:instrText>
      </w:r>
      <w:r w:rsidR="002E773B" w:rsidRPr="00EB2E7B">
        <w:rPr>
          <w:rFonts w:asciiTheme="minorHAnsi" w:hAnsiTheme="minorHAnsi" w:cstheme="minorHAnsi"/>
          <w:sz w:val="20"/>
          <w:szCs w:val="20"/>
        </w:rPr>
      </w:r>
      <w:r w:rsidR="002E773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II.4.5.4.1</w:t>
      </w:r>
      <w:r w:rsidR="002E773B" w:rsidRPr="00EB2E7B">
        <w:rPr>
          <w:rFonts w:asciiTheme="minorHAnsi" w:hAnsiTheme="minorHAnsi" w:cstheme="minorHAnsi"/>
          <w:sz w:val="20"/>
          <w:szCs w:val="20"/>
        </w:rPr>
        <w:fldChar w:fldCharType="end"/>
      </w:r>
      <w:r w:rsidR="002E773B"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do </w:t>
      </w:r>
      <w:r w:rsidR="002E773B" w:rsidRPr="00EB2E7B">
        <w:rPr>
          <w:rFonts w:asciiTheme="minorHAnsi" w:hAnsiTheme="minorHAnsi" w:cstheme="minorHAnsi"/>
          <w:sz w:val="20"/>
          <w:szCs w:val="20"/>
        </w:rPr>
        <w:fldChar w:fldCharType="begin"/>
      </w:r>
      <w:r w:rsidR="002E773B" w:rsidRPr="00EB2E7B">
        <w:rPr>
          <w:rFonts w:asciiTheme="minorHAnsi" w:hAnsiTheme="minorHAnsi" w:cstheme="minorHAnsi"/>
          <w:sz w:val="20"/>
          <w:szCs w:val="20"/>
        </w:rPr>
        <w:instrText xml:space="preserve"> REF _Ref75436431 \r \h </w:instrText>
      </w:r>
      <w:r w:rsidR="00C54566" w:rsidRPr="00EB2E7B">
        <w:rPr>
          <w:rFonts w:asciiTheme="minorHAnsi" w:hAnsiTheme="minorHAnsi" w:cstheme="minorHAnsi"/>
          <w:sz w:val="20"/>
          <w:szCs w:val="20"/>
        </w:rPr>
        <w:instrText xml:space="preserve"> \* MERGEFORMAT </w:instrText>
      </w:r>
      <w:r w:rsidR="002E773B" w:rsidRPr="00EB2E7B">
        <w:rPr>
          <w:rFonts w:asciiTheme="minorHAnsi" w:hAnsiTheme="minorHAnsi" w:cstheme="minorHAnsi"/>
          <w:sz w:val="20"/>
          <w:szCs w:val="20"/>
        </w:rPr>
      </w:r>
      <w:r w:rsidR="002E773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II.4.5.4.3</w:t>
      </w:r>
      <w:r w:rsidR="002E773B"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oraz od </w:t>
      </w:r>
      <w:r w:rsidR="002E773B" w:rsidRPr="00EB2E7B">
        <w:rPr>
          <w:rFonts w:asciiTheme="minorHAnsi" w:hAnsiTheme="minorHAnsi" w:cstheme="minorHAnsi"/>
          <w:sz w:val="20"/>
          <w:szCs w:val="20"/>
        </w:rPr>
        <w:fldChar w:fldCharType="begin"/>
      </w:r>
      <w:r w:rsidR="002E773B" w:rsidRPr="00EB2E7B">
        <w:rPr>
          <w:rFonts w:asciiTheme="minorHAnsi" w:hAnsiTheme="minorHAnsi" w:cstheme="minorHAnsi"/>
          <w:sz w:val="20"/>
          <w:szCs w:val="20"/>
        </w:rPr>
        <w:instrText xml:space="preserve"> REF _Ref75436464 \r \h </w:instrText>
      </w:r>
      <w:r w:rsidR="004163F8" w:rsidRPr="00EB2E7B">
        <w:rPr>
          <w:rFonts w:asciiTheme="minorHAnsi" w:hAnsiTheme="minorHAnsi" w:cstheme="minorHAnsi"/>
          <w:sz w:val="20"/>
          <w:szCs w:val="20"/>
        </w:rPr>
        <w:instrText xml:space="preserve"> \* MERGEFORMAT </w:instrText>
      </w:r>
      <w:r w:rsidR="002E773B" w:rsidRPr="00EB2E7B">
        <w:rPr>
          <w:rFonts w:asciiTheme="minorHAnsi" w:hAnsiTheme="minorHAnsi" w:cstheme="minorHAnsi"/>
          <w:sz w:val="20"/>
          <w:szCs w:val="20"/>
        </w:rPr>
      </w:r>
      <w:r w:rsidR="002E773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II.4.5.4.6.1</w:t>
      </w:r>
      <w:r w:rsidR="002E773B"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 </w:t>
      </w:r>
      <w:r w:rsidR="002E773B" w:rsidRPr="00EB2E7B">
        <w:rPr>
          <w:rFonts w:asciiTheme="minorHAnsi" w:hAnsiTheme="minorHAnsi" w:cstheme="minorHAnsi"/>
          <w:sz w:val="20"/>
          <w:szCs w:val="20"/>
        </w:rPr>
        <w:fldChar w:fldCharType="begin"/>
      </w:r>
      <w:r w:rsidR="002E773B" w:rsidRPr="00EB2E7B">
        <w:rPr>
          <w:rFonts w:asciiTheme="minorHAnsi" w:hAnsiTheme="minorHAnsi" w:cstheme="minorHAnsi"/>
          <w:sz w:val="20"/>
          <w:szCs w:val="20"/>
        </w:rPr>
        <w:instrText xml:space="preserve"> REF _Ref75436496 \r \h </w:instrText>
      </w:r>
      <w:r w:rsidR="004163F8" w:rsidRPr="00EB2E7B">
        <w:rPr>
          <w:rFonts w:asciiTheme="minorHAnsi" w:hAnsiTheme="minorHAnsi" w:cstheme="minorHAnsi"/>
          <w:sz w:val="20"/>
          <w:szCs w:val="20"/>
        </w:rPr>
        <w:instrText xml:space="preserve"> \* MERGEFORMAT </w:instrText>
      </w:r>
      <w:r w:rsidR="002E773B" w:rsidRPr="00EB2E7B">
        <w:rPr>
          <w:rFonts w:asciiTheme="minorHAnsi" w:hAnsiTheme="minorHAnsi" w:cstheme="minorHAnsi"/>
          <w:sz w:val="20"/>
          <w:szCs w:val="20"/>
        </w:rPr>
      </w:r>
      <w:r w:rsidR="002E773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II.4.5.4.6.8</w:t>
      </w:r>
      <w:r w:rsidR="002E773B" w:rsidRPr="00EB2E7B">
        <w:rPr>
          <w:rFonts w:asciiTheme="minorHAnsi" w:hAnsiTheme="minorHAnsi" w:cstheme="minorHAnsi"/>
          <w:sz w:val="20"/>
          <w:szCs w:val="20"/>
        </w:rPr>
        <w:fldChar w:fldCharType="end"/>
      </w:r>
      <w:r w:rsidR="002E773B" w:rsidRPr="00EB2E7B">
        <w:rPr>
          <w:rFonts w:asciiTheme="minorHAnsi" w:hAnsiTheme="minorHAnsi" w:cstheme="minorHAnsi"/>
          <w:sz w:val="20"/>
          <w:szCs w:val="20"/>
        </w:rPr>
        <w:t xml:space="preserve"> </w:t>
      </w:r>
      <w:r w:rsidRPr="00EB2E7B">
        <w:rPr>
          <w:rFonts w:asciiTheme="minorHAnsi" w:hAnsiTheme="minorHAnsi" w:cstheme="minorHAnsi"/>
          <w:sz w:val="20"/>
          <w:szCs w:val="20"/>
        </w:rPr>
        <w:t>powinny być wyposażone w urządzenia pozwalające na kontrolowanie i utrzymywanie zadanych parametrów jakościowych energii elektrycznej.</w:t>
      </w:r>
      <w:bookmarkEnd w:id="142"/>
      <w:r w:rsidRPr="00EB2E7B">
        <w:rPr>
          <w:rFonts w:asciiTheme="minorHAnsi" w:hAnsiTheme="minorHAnsi" w:cstheme="minorHAnsi"/>
          <w:sz w:val="20"/>
          <w:szCs w:val="20"/>
        </w:rPr>
        <w:t xml:space="preserve"> </w:t>
      </w:r>
    </w:p>
    <w:p w14:paraId="7754AD29" w14:textId="77777777" w:rsidR="00473957" w:rsidRPr="00EB2E7B" w:rsidRDefault="0077111A" w:rsidP="009A432E">
      <w:pPr>
        <w:pStyle w:val="Nagwek4"/>
        <w:rPr>
          <w:rFonts w:asciiTheme="minorHAnsi" w:hAnsiTheme="minorHAnsi" w:cstheme="minorHAnsi"/>
          <w:sz w:val="20"/>
          <w:szCs w:val="20"/>
        </w:rPr>
      </w:pPr>
      <w:bookmarkStart w:id="143" w:name="_Ref190164469"/>
      <w:r w:rsidRPr="00EB2E7B">
        <w:rPr>
          <w:rFonts w:asciiTheme="minorHAnsi" w:hAnsiTheme="minorHAnsi" w:cstheme="minorHAnsi"/>
          <w:sz w:val="20"/>
          <w:szCs w:val="20"/>
        </w:rPr>
        <w:t>Wybrane zagadnienia eksploatacji EAZ</w:t>
      </w:r>
      <w:r w:rsidR="002E1AA2" w:rsidRPr="00EB2E7B">
        <w:rPr>
          <w:rFonts w:asciiTheme="minorHAnsi" w:hAnsiTheme="minorHAnsi" w:cstheme="minorHAnsi"/>
          <w:sz w:val="20"/>
          <w:szCs w:val="20"/>
        </w:rPr>
        <w:t>.</w:t>
      </w:r>
      <w:bookmarkEnd w:id="143"/>
      <w:r w:rsidRPr="00EB2E7B">
        <w:rPr>
          <w:rFonts w:asciiTheme="minorHAnsi" w:hAnsiTheme="minorHAnsi" w:cstheme="minorHAnsi"/>
          <w:sz w:val="20"/>
          <w:szCs w:val="20"/>
        </w:rPr>
        <w:t xml:space="preserve"> </w:t>
      </w:r>
    </w:p>
    <w:p w14:paraId="0683E753" w14:textId="77777777" w:rsidR="00473957" w:rsidRPr="00EB2E7B" w:rsidRDefault="00232DA9" w:rsidP="005E7332">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prowadzi eksploatację układów EAZ zgodnie z zasadami określonymi w</w:t>
      </w:r>
      <w:r w:rsidR="00A375BC"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niniejszej </w:t>
      </w:r>
      <w:proofErr w:type="spellStart"/>
      <w:r w:rsidR="0077111A" w:rsidRPr="00EB2E7B">
        <w:rPr>
          <w:rFonts w:asciiTheme="minorHAnsi" w:hAnsiTheme="minorHAnsi" w:cstheme="minorHAnsi"/>
          <w:sz w:val="20"/>
          <w:szCs w:val="20"/>
        </w:rPr>
        <w:t>IRiESD</w:t>
      </w:r>
      <w:proofErr w:type="spellEnd"/>
      <w:r w:rsidR="0077111A" w:rsidRPr="00EB2E7B">
        <w:rPr>
          <w:rFonts w:asciiTheme="minorHAnsi" w:hAnsiTheme="minorHAnsi" w:cstheme="minorHAnsi"/>
          <w:sz w:val="20"/>
          <w:szCs w:val="20"/>
        </w:rPr>
        <w:t xml:space="preserve"> oraz w oparciu o szczegółowe instrukcje eksploatacji sieci, instalacji, grup urządzeń lub poszczególnych urządzeń. </w:t>
      </w:r>
    </w:p>
    <w:p w14:paraId="0D4DFE26" w14:textId="77777777" w:rsidR="00473957" w:rsidRPr="00EB2E7B" w:rsidRDefault="0024284D" w:rsidP="005E7332">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Podmioty przyłączone </w:t>
      </w:r>
      <w:r w:rsidR="0077111A" w:rsidRPr="00EB2E7B">
        <w:rPr>
          <w:rFonts w:asciiTheme="minorHAnsi" w:hAnsiTheme="minorHAnsi" w:cstheme="minorHAnsi"/>
          <w:sz w:val="20"/>
          <w:szCs w:val="20"/>
        </w:rPr>
        <w:t>do sieci dystrybucyjnej</w:t>
      </w:r>
      <w:r w:rsidR="00740BED" w:rsidRPr="00EB2E7B">
        <w:rPr>
          <w:rFonts w:asciiTheme="minorHAnsi" w:hAnsiTheme="minorHAnsi" w:cstheme="minorHAnsi"/>
          <w:sz w:val="20"/>
          <w:szCs w:val="20"/>
        </w:rPr>
        <w:t xml:space="preserve"> ACPRO</w:t>
      </w:r>
      <w:r w:rsidR="0077111A" w:rsidRPr="00EB2E7B">
        <w:rPr>
          <w:rFonts w:asciiTheme="minorHAnsi" w:hAnsiTheme="minorHAnsi" w:cstheme="minorHAnsi"/>
          <w:sz w:val="20"/>
          <w:szCs w:val="20"/>
        </w:rPr>
        <w:t xml:space="preserve"> zobowiązane są do eksploatowania urządzeń EAZ będących ich własnością w sposób nie zagrażający bezpiecznej pracy systemu dystrybucyjnego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a tym samym utrzymywania tych elementów w należytym stanie technicznym. W odniesieniu do EAZ bez uzgodnienia z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 szczególności podmiotom tym zabrania się: </w:t>
      </w:r>
    </w:p>
    <w:p w14:paraId="041BA49E" w14:textId="77777777" w:rsidR="00473957" w:rsidRPr="00EB2E7B" w:rsidRDefault="0077111A" w:rsidP="00755CC4">
      <w:pPr>
        <w:pStyle w:val="1przed"/>
        <w:numPr>
          <w:ilvl w:val="0"/>
          <w:numId w:val="4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odstawiania z pracy urządzeń lub ich części, </w:t>
      </w:r>
    </w:p>
    <w:p w14:paraId="3386E657" w14:textId="77777777" w:rsidR="0080039F"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wymiany urządzeń na posiadające inne parametry i właściwości, </w:t>
      </w:r>
    </w:p>
    <w:p w14:paraId="593F6023" w14:textId="77777777" w:rsidR="00473957" w:rsidRPr="00EB2E7B" w:rsidRDefault="0077111A" w:rsidP="00755CC4">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zmiany nastaw i sposobu działania. </w:t>
      </w:r>
    </w:p>
    <w:p w14:paraId="6F57F1F5" w14:textId="77777777" w:rsidR="00473957" w:rsidRPr="00EB2E7B" w:rsidRDefault="00232DA9" w:rsidP="005E7332">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może zażądać od podmiotu p</w:t>
      </w:r>
      <w:r w:rsidR="0024284D" w:rsidRPr="00EB2E7B">
        <w:rPr>
          <w:rFonts w:asciiTheme="minorHAnsi" w:hAnsiTheme="minorHAnsi" w:cstheme="minorHAnsi"/>
          <w:sz w:val="20"/>
          <w:szCs w:val="20"/>
        </w:rPr>
        <w:t>rzyłączonego do sieci wglądu w</w:t>
      </w:r>
      <w:r w:rsidR="00A375BC" w:rsidRPr="00EB2E7B">
        <w:rPr>
          <w:rFonts w:asciiTheme="minorHAnsi" w:hAnsiTheme="minorHAnsi" w:cstheme="minorHAnsi"/>
          <w:sz w:val="20"/>
          <w:szCs w:val="20"/>
        </w:rPr>
        <w:t> </w:t>
      </w:r>
      <w:r w:rsidR="0024284D" w:rsidRPr="00EB2E7B">
        <w:rPr>
          <w:rFonts w:asciiTheme="minorHAnsi" w:hAnsiTheme="minorHAnsi" w:cstheme="minorHAnsi"/>
          <w:sz w:val="20"/>
          <w:szCs w:val="20"/>
        </w:rPr>
        <w:t xml:space="preserve">dokumentację </w:t>
      </w:r>
      <w:r w:rsidR="0077111A" w:rsidRPr="00EB2E7B">
        <w:rPr>
          <w:rFonts w:asciiTheme="minorHAnsi" w:hAnsiTheme="minorHAnsi" w:cstheme="minorHAnsi"/>
          <w:sz w:val="20"/>
          <w:szCs w:val="20"/>
        </w:rPr>
        <w:t xml:space="preserve">eksploatacyjną potwierdzającą terminowość i zakres prowadzonych prac eksploatacyjnych EAZ, których stan techniczny może mieć wpływ na pracę sieci dystrybucyjnej. </w:t>
      </w:r>
    </w:p>
    <w:p w14:paraId="1BEA3CA4" w14:textId="77777777" w:rsidR="00473957" w:rsidRPr="00EB2E7B" w:rsidRDefault="0077111A" w:rsidP="005E7332">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Przyjęcie do eksploatacji urządzeń EAZ nowych i modernizowanych następuje po przeprowadzeniu prób i pomiarów oraz stwierdzeniu spełnienia warunków określonych w niniejszej instrukcji, w zawartych umowach, a także warunków zawartych w dokumentacji projektowej i fabrycznej. Przyjmowane do eksploatacji urządzenia, instalacje i sieci w zależności od potrzeb, powinny posiadać wymaganą dokumentację prawną i techniczną. </w:t>
      </w:r>
    </w:p>
    <w:p w14:paraId="04252424" w14:textId="77777777" w:rsidR="00473957" w:rsidRPr="00EB2E7B" w:rsidRDefault="0077111A" w:rsidP="005E7332">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Podczas oględzin urządzeń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podlegają im również urządzenia EAZ. </w:t>
      </w:r>
    </w:p>
    <w:p w14:paraId="1FE83446" w14:textId="2C7ABD9B" w:rsidR="00473957" w:rsidRPr="00EB2E7B" w:rsidRDefault="0077111A" w:rsidP="00771877">
      <w:pPr>
        <w:pStyle w:val="Nagwek3"/>
        <w:ind w:left="1134" w:hanging="1134"/>
        <w:rPr>
          <w:rFonts w:asciiTheme="minorHAnsi" w:hAnsiTheme="minorHAnsi" w:cstheme="minorHAnsi"/>
          <w:bCs/>
          <w:sz w:val="20"/>
          <w:szCs w:val="20"/>
        </w:rPr>
      </w:pPr>
      <w:r w:rsidRPr="00EB2E7B">
        <w:rPr>
          <w:rFonts w:asciiTheme="minorHAnsi" w:hAnsiTheme="minorHAnsi" w:cstheme="minorHAnsi"/>
          <w:b/>
          <w:sz w:val="20"/>
          <w:szCs w:val="20"/>
        </w:rPr>
        <w:t xml:space="preserve">Wymagania techniczne dla systemu nadzoru i telemechaniki. </w:t>
      </w:r>
    </w:p>
    <w:p w14:paraId="2A2A27F0" w14:textId="60334D03" w:rsidR="00473957" w:rsidRPr="00EB2E7B" w:rsidRDefault="00BC61B5" w:rsidP="009A432E">
      <w:pPr>
        <w:pStyle w:val="Nagwek4"/>
        <w:rPr>
          <w:rFonts w:asciiTheme="minorHAnsi" w:hAnsiTheme="minorHAnsi" w:cstheme="minorHAnsi"/>
          <w:sz w:val="20"/>
          <w:szCs w:val="20"/>
        </w:rPr>
      </w:pPr>
      <w:r w:rsidRPr="00EB2E7B">
        <w:rPr>
          <w:rFonts w:asciiTheme="minorHAnsi" w:hAnsiTheme="minorHAnsi" w:cstheme="minorHAnsi"/>
          <w:sz w:val="20"/>
          <w:szCs w:val="20"/>
        </w:rPr>
        <w:t>Wymagania i zalecenia dotyczące nadzoru stacji elektroenergetycznych obowiązują ACPRO</w:t>
      </w:r>
      <w:r w:rsidR="009A432E" w:rsidRPr="00EB2E7B">
        <w:rPr>
          <w:rFonts w:asciiTheme="minorHAnsi" w:hAnsiTheme="minorHAnsi" w:cstheme="minorHAnsi"/>
          <w:sz w:val="20"/>
          <w:szCs w:val="20"/>
        </w:rPr>
        <w:t xml:space="preserve"> </w:t>
      </w:r>
      <w:r w:rsidRPr="00EB2E7B">
        <w:rPr>
          <w:rFonts w:asciiTheme="minorHAnsi" w:hAnsiTheme="minorHAnsi" w:cstheme="minorHAnsi"/>
          <w:sz w:val="20"/>
          <w:szCs w:val="20"/>
        </w:rPr>
        <w:t>oraz podmioty przyłączane do sieci dystrybucyjnej ACPRO</w:t>
      </w:r>
      <w:r w:rsidRPr="00EB2E7B" w:rsidDel="00BC61B5">
        <w:rPr>
          <w:rFonts w:asciiTheme="minorHAnsi" w:hAnsiTheme="minorHAnsi" w:cstheme="minorHAnsi"/>
          <w:sz w:val="20"/>
          <w:szCs w:val="20"/>
        </w:rPr>
        <w:t xml:space="preserve"> </w:t>
      </w:r>
      <w:r w:rsidR="0077111A" w:rsidRPr="00EB2E7B">
        <w:rPr>
          <w:rFonts w:asciiTheme="minorHAnsi" w:hAnsiTheme="minorHAnsi" w:cstheme="minorHAnsi"/>
          <w:sz w:val="20"/>
          <w:szCs w:val="20"/>
        </w:rPr>
        <w:t>z</w:t>
      </w:r>
      <w:r w:rsidR="00A375BC"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zastrzeżeniem zapisów pkt. </w:t>
      </w:r>
      <w:r w:rsidR="00934140" w:rsidRPr="00EB2E7B">
        <w:rPr>
          <w:rFonts w:asciiTheme="minorHAnsi" w:hAnsiTheme="minorHAnsi" w:cstheme="minorHAnsi"/>
          <w:sz w:val="20"/>
          <w:szCs w:val="20"/>
        </w:rPr>
        <w:fldChar w:fldCharType="begin"/>
      </w:r>
      <w:r w:rsidR="00934140" w:rsidRPr="00EB2E7B">
        <w:rPr>
          <w:rFonts w:asciiTheme="minorHAnsi" w:hAnsiTheme="minorHAnsi" w:cstheme="minorHAnsi"/>
          <w:sz w:val="20"/>
          <w:szCs w:val="20"/>
        </w:rPr>
        <w:instrText xml:space="preserve"> REF _Ref75433275 \w \h </w:instrText>
      </w:r>
      <w:r w:rsidR="001F563F" w:rsidRPr="00EB2E7B">
        <w:rPr>
          <w:rFonts w:asciiTheme="minorHAnsi" w:hAnsiTheme="minorHAnsi" w:cstheme="minorHAnsi"/>
          <w:sz w:val="20"/>
          <w:szCs w:val="20"/>
        </w:rPr>
        <w:instrText xml:space="preserve"> \* MERGEFORMAT </w:instrText>
      </w:r>
      <w:r w:rsidR="00934140" w:rsidRPr="00EB2E7B">
        <w:rPr>
          <w:rFonts w:asciiTheme="minorHAnsi" w:hAnsiTheme="minorHAnsi" w:cstheme="minorHAnsi"/>
          <w:sz w:val="20"/>
          <w:szCs w:val="20"/>
        </w:rPr>
      </w:r>
      <w:r w:rsidR="0093414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II.4.1.5</w:t>
      </w:r>
      <w:r w:rsidR="00934140" w:rsidRPr="00EB2E7B">
        <w:rPr>
          <w:rFonts w:asciiTheme="minorHAnsi" w:hAnsiTheme="minorHAnsi" w:cstheme="minorHAnsi"/>
          <w:sz w:val="20"/>
          <w:szCs w:val="20"/>
        </w:rPr>
        <w:fldChar w:fldCharType="end"/>
      </w:r>
      <w:r w:rsidR="00782855"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 xml:space="preserve">i </w:t>
      </w:r>
      <w:r w:rsidR="002E773B" w:rsidRPr="00EB2E7B">
        <w:rPr>
          <w:rFonts w:asciiTheme="minorHAnsi" w:hAnsiTheme="minorHAnsi" w:cstheme="minorHAnsi"/>
          <w:sz w:val="20"/>
          <w:szCs w:val="20"/>
        </w:rPr>
        <w:fldChar w:fldCharType="begin"/>
      </w:r>
      <w:r w:rsidR="002E773B" w:rsidRPr="00EB2E7B">
        <w:rPr>
          <w:rFonts w:asciiTheme="minorHAnsi" w:hAnsiTheme="minorHAnsi" w:cstheme="minorHAnsi"/>
          <w:sz w:val="20"/>
          <w:szCs w:val="20"/>
        </w:rPr>
        <w:instrText xml:space="preserve"> REF _Ref75433283 \r \h </w:instrText>
      </w:r>
      <w:r w:rsidR="00166400" w:rsidRPr="00EB2E7B">
        <w:rPr>
          <w:rFonts w:asciiTheme="minorHAnsi" w:hAnsiTheme="minorHAnsi" w:cstheme="minorHAnsi"/>
          <w:sz w:val="20"/>
          <w:szCs w:val="20"/>
        </w:rPr>
        <w:instrText xml:space="preserve"> \* MERGEFORMAT </w:instrText>
      </w:r>
      <w:r w:rsidR="002E773B" w:rsidRPr="00EB2E7B">
        <w:rPr>
          <w:rFonts w:asciiTheme="minorHAnsi" w:hAnsiTheme="minorHAnsi" w:cstheme="minorHAnsi"/>
          <w:sz w:val="20"/>
          <w:szCs w:val="20"/>
        </w:rPr>
      </w:r>
      <w:r w:rsidR="002E773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II.4.1.6</w:t>
      </w:r>
      <w:r w:rsidR="002E773B" w:rsidRPr="00EB2E7B">
        <w:rPr>
          <w:rFonts w:asciiTheme="minorHAnsi" w:hAnsiTheme="minorHAnsi" w:cstheme="minorHAnsi"/>
          <w:sz w:val="20"/>
          <w:szCs w:val="20"/>
        </w:rPr>
        <w:fldChar w:fldCharType="end"/>
      </w:r>
      <w:r w:rsidR="002E773B"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r w:rsidR="0073465A" w:rsidRPr="00EB2E7B">
        <w:rPr>
          <w:rFonts w:asciiTheme="minorHAnsi" w:hAnsiTheme="minorHAnsi" w:cstheme="minorHAnsi"/>
          <w:sz w:val="20"/>
          <w:szCs w:val="20"/>
        </w:rPr>
        <w:t xml:space="preserve">Wszystkie bezobsługowe stacje o górnym napięciu 110kV i wyższym powinny być wyposażone w </w:t>
      </w:r>
      <w:r w:rsidR="0073465A" w:rsidRPr="00EB2E7B">
        <w:rPr>
          <w:rFonts w:asciiTheme="minorHAnsi" w:hAnsiTheme="minorHAnsi" w:cstheme="minorHAnsi"/>
          <w:sz w:val="20"/>
          <w:szCs w:val="20"/>
        </w:rPr>
        <w:lastRenderedPageBreak/>
        <w:t>układy telesygnalizacji, telepomiarów i telesterowania umożliwiające zdalne prowadzenie ruchu stacji przez właściwe dyspozycje</w:t>
      </w:r>
      <w:r w:rsidR="001C63E1" w:rsidRPr="00EB2E7B">
        <w:rPr>
          <w:rFonts w:asciiTheme="minorHAnsi" w:hAnsiTheme="minorHAnsi" w:cstheme="minorHAnsi"/>
          <w:sz w:val="20"/>
          <w:szCs w:val="20"/>
        </w:rPr>
        <w:t>.</w:t>
      </w:r>
    </w:p>
    <w:p w14:paraId="2E4AF91B" w14:textId="673F06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Ogólne wymagania stawiane stacyjnemu i dyspozytorskiemu systemowi nadzoru, a podyktowane głównie względami optymalizacyjnymi i</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niezawodnościowymi są następujące: </w:t>
      </w:r>
    </w:p>
    <w:p w14:paraId="0D434F43" w14:textId="77777777" w:rsidR="00473957" w:rsidRPr="00EB2E7B" w:rsidRDefault="0077111A" w:rsidP="005E7332">
      <w:pPr>
        <w:pStyle w:val="aprzed"/>
        <w:numPr>
          <w:ilvl w:val="0"/>
          <w:numId w:val="42"/>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obiektowe systemy nadzoru muszą być kompatybilne z dyspozytorskimi systemami w centrach nadzoru. Stacyjne systemy nadzoru muszą spełniać wymagania stosowne do rodzaju obsługiwanych stacji z uwzględnieniem wymogów jakościowych i konfiguracyjnych, </w:t>
      </w:r>
    </w:p>
    <w:p w14:paraId="6A4477A2" w14:textId="08E07849" w:rsidR="00473957" w:rsidRPr="00EB2E7B" w:rsidRDefault="0077111A" w:rsidP="005E7332">
      <w:pPr>
        <w:pStyle w:val="aprzed"/>
        <w:numPr>
          <w:ilvl w:val="0"/>
          <w:numId w:val="42"/>
        </w:numPr>
        <w:ind w:left="1701" w:hanging="566"/>
        <w:rPr>
          <w:rFonts w:asciiTheme="minorHAnsi" w:hAnsiTheme="minorHAnsi" w:cstheme="minorHAnsi"/>
          <w:sz w:val="20"/>
          <w:szCs w:val="20"/>
        </w:rPr>
      </w:pPr>
      <w:r w:rsidRPr="00EB2E7B">
        <w:rPr>
          <w:rFonts w:asciiTheme="minorHAnsi" w:hAnsiTheme="minorHAnsi" w:cstheme="minorHAnsi"/>
          <w:sz w:val="20"/>
          <w:szCs w:val="20"/>
        </w:rPr>
        <w:t>obiektowe systemy nadzoru powinny być połączone z centrami nadzoru z</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wykorzystaniem niezawodnych i o właściwej przepływności łączy transmisyjnych, aby zapewnić odpowiednią szybkość przepływu informacji z/do centrów dyspozytorskich, </w:t>
      </w:r>
    </w:p>
    <w:p w14:paraId="745A4868" w14:textId="660C2BC6" w:rsidR="005E7332" w:rsidRPr="00EB2E7B" w:rsidRDefault="009F703F" w:rsidP="005E7332">
      <w:pPr>
        <w:pStyle w:val="aprzed"/>
        <w:numPr>
          <w:ilvl w:val="0"/>
          <w:numId w:val="42"/>
        </w:numPr>
        <w:ind w:left="1701" w:hanging="566"/>
        <w:rPr>
          <w:rFonts w:asciiTheme="minorHAnsi" w:hAnsiTheme="minorHAnsi" w:cstheme="minorHAnsi"/>
          <w:sz w:val="20"/>
          <w:szCs w:val="20"/>
        </w:rPr>
      </w:pPr>
      <w:r w:rsidRPr="00EB2E7B">
        <w:rPr>
          <w:rFonts w:asciiTheme="minorHAnsi" w:hAnsiTheme="minorHAnsi" w:cstheme="minorHAnsi"/>
          <w:sz w:val="20"/>
          <w:szCs w:val="20"/>
        </w:rPr>
        <w:t>systemy nadzoru powinny zapewniać archiwizację danych na okres zgodny z wymaganiami norm bezpieczeństwa informacji oraz umożliwić utrzymanie ciągłości nadzoru dyspozytorskiego i dokonywania analiz pracy sieci,</w:t>
      </w:r>
    </w:p>
    <w:p w14:paraId="5B18E54A" w14:textId="68AFBBA3" w:rsidR="009F703F" w:rsidRPr="00EB2E7B" w:rsidRDefault="009F703F" w:rsidP="005E7332">
      <w:pPr>
        <w:pStyle w:val="aprzed"/>
        <w:numPr>
          <w:ilvl w:val="0"/>
          <w:numId w:val="42"/>
        </w:numPr>
        <w:ind w:left="1701" w:hanging="566"/>
        <w:rPr>
          <w:rFonts w:asciiTheme="minorHAnsi" w:hAnsiTheme="minorHAnsi" w:cstheme="minorHAnsi"/>
          <w:sz w:val="20"/>
          <w:szCs w:val="20"/>
        </w:rPr>
      </w:pPr>
      <w:r w:rsidRPr="00EB2E7B">
        <w:rPr>
          <w:rFonts w:asciiTheme="minorHAnsi" w:hAnsiTheme="minorHAnsi" w:cstheme="minorHAnsi"/>
          <w:sz w:val="20"/>
          <w:szCs w:val="20"/>
        </w:rPr>
        <w:t>połączenie systemów nadzoru w dyspozycjach winne być wykonane jako redundantne. Zaleca się realizację z wykorzystaniem sieci komputerowej,</w:t>
      </w:r>
    </w:p>
    <w:p w14:paraId="560A3A22" w14:textId="68D6F84C" w:rsidR="00473957" w:rsidRPr="00EB2E7B" w:rsidRDefault="0077111A" w:rsidP="009F703F">
      <w:pPr>
        <w:pStyle w:val="aprzed"/>
        <w:numPr>
          <w:ilvl w:val="0"/>
          <w:numId w:val="42"/>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wszelkie informacje uzyskiwane dla systemów dyspozytorskich </w:t>
      </w:r>
      <w:r w:rsidR="00302C5C" w:rsidRPr="00EB2E7B">
        <w:rPr>
          <w:rFonts w:asciiTheme="minorHAnsi" w:hAnsiTheme="minorHAnsi" w:cstheme="minorHAnsi"/>
          <w:sz w:val="20"/>
          <w:szCs w:val="20"/>
        </w:rPr>
        <w:t xml:space="preserve">powinny posiadać </w:t>
      </w:r>
      <w:r w:rsidRPr="00EB2E7B">
        <w:rPr>
          <w:rFonts w:asciiTheme="minorHAnsi" w:hAnsiTheme="minorHAnsi" w:cstheme="minorHAnsi"/>
          <w:sz w:val="20"/>
          <w:szCs w:val="20"/>
        </w:rPr>
        <w:t>znacznik czasu. Struktura sieci komunikacyjnych sygnałów telemechaniki winna zapewnić niezawodność i</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optymalizację przepływu informacji. Komunikacja winna być realizowana dwoma redundantnymi kanałami łączności. Jako rezerwową drogę transmisji dopuszcza się transmisje pakietowe, </w:t>
      </w:r>
    </w:p>
    <w:p w14:paraId="6AED1BBF" w14:textId="2BDCE764" w:rsidR="009F703F" w:rsidRPr="00EB2E7B" w:rsidRDefault="009F703F" w:rsidP="009F703F">
      <w:pPr>
        <w:pStyle w:val="aprzed"/>
        <w:numPr>
          <w:ilvl w:val="0"/>
          <w:numId w:val="42"/>
        </w:numPr>
        <w:ind w:left="1701" w:hanging="566"/>
        <w:rPr>
          <w:rFonts w:asciiTheme="minorHAnsi" w:hAnsiTheme="minorHAnsi" w:cstheme="minorHAnsi"/>
          <w:sz w:val="20"/>
          <w:szCs w:val="20"/>
        </w:rPr>
      </w:pPr>
      <w:r w:rsidRPr="00EB2E7B">
        <w:rPr>
          <w:rFonts w:asciiTheme="minorHAnsi" w:hAnsiTheme="minorHAnsi" w:cstheme="minorHAnsi"/>
          <w:sz w:val="20"/>
          <w:szCs w:val="20"/>
        </w:rPr>
        <w:t>protokół transmisji musi być dostosowany do systemu sterowania posiadanego przez operatora systemu dystrybucyjnego,</w:t>
      </w:r>
    </w:p>
    <w:p w14:paraId="7C30142E" w14:textId="1A0067F5" w:rsidR="009F703F" w:rsidRPr="00EB2E7B" w:rsidRDefault="009F703F" w:rsidP="009F703F">
      <w:pPr>
        <w:pStyle w:val="aprzed"/>
        <w:numPr>
          <w:ilvl w:val="0"/>
          <w:numId w:val="42"/>
        </w:numPr>
        <w:ind w:left="1701" w:hanging="566"/>
        <w:rPr>
          <w:rFonts w:asciiTheme="minorHAnsi" w:hAnsiTheme="minorHAnsi" w:cstheme="minorHAnsi"/>
          <w:sz w:val="20"/>
          <w:szCs w:val="20"/>
        </w:rPr>
      </w:pPr>
      <w:r w:rsidRPr="00EB2E7B">
        <w:rPr>
          <w:rFonts w:asciiTheme="minorHAnsi" w:hAnsiTheme="minorHAnsi" w:cstheme="minorHAnsi"/>
          <w:sz w:val="20"/>
          <w:szCs w:val="20"/>
        </w:rPr>
        <w:t>należy dążyć do tego, aby rozdzielczość czasowa przesyłanych sygnałów zawierała się w granicach 1–100 ms.</w:t>
      </w:r>
    </w:p>
    <w:p w14:paraId="6F9ED7FF" w14:textId="2DF9CA9D" w:rsidR="00385957" w:rsidRPr="00EB2E7B" w:rsidRDefault="006F6A4C" w:rsidP="009A432E">
      <w:pPr>
        <w:pStyle w:val="Nagwek4"/>
        <w:rPr>
          <w:rFonts w:asciiTheme="minorHAnsi" w:hAnsiTheme="minorHAnsi" w:cstheme="minorHAnsi"/>
          <w:sz w:val="20"/>
          <w:szCs w:val="20"/>
        </w:rPr>
      </w:pPr>
      <w:r w:rsidRPr="00EB2E7B">
        <w:rPr>
          <w:rFonts w:asciiTheme="minorHAnsi" w:hAnsiTheme="minorHAnsi" w:cstheme="minorHAnsi"/>
          <w:sz w:val="20"/>
          <w:szCs w:val="20"/>
        </w:rPr>
        <w:t>Ważne ruchowo rozdzielnie SN wyposażo</w:t>
      </w:r>
      <w:r w:rsidR="00001379" w:rsidRPr="00EB2E7B">
        <w:rPr>
          <w:rFonts w:asciiTheme="minorHAnsi" w:hAnsiTheme="minorHAnsi" w:cstheme="minorHAnsi"/>
          <w:sz w:val="20"/>
          <w:szCs w:val="20"/>
        </w:rPr>
        <w:t xml:space="preserve">ne w wyłączniki </w:t>
      </w:r>
      <w:r w:rsidR="005D3A05" w:rsidRPr="00EB2E7B">
        <w:rPr>
          <w:rFonts w:asciiTheme="minorHAnsi" w:hAnsiTheme="minorHAnsi" w:cstheme="minorHAnsi"/>
          <w:sz w:val="20"/>
          <w:szCs w:val="20"/>
        </w:rPr>
        <w:t>powinny</w:t>
      </w:r>
      <w:r w:rsidR="00F94555" w:rsidRPr="00EB2E7B">
        <w:rPr>
          <w:rFonts w:asciiTheme="minorHAnsi" w:hAnsiTheme="minorHAnsi" w:cstheme="minorHAnsi"/>
          <w:sz w:val="20"/>
          <w:szCs w:val="20"/>
        </w:rPr>
        <w:t xml:space="preserve"> </w:t>
      </w:r>
      <w:r w:rsidR="001D4196" w:rsidRPr="00EB2E7B">
        <w:rPr>
          <w:rFonts w:asciiTheme="minorHAnsi" w:hAnsiTheme="minorHAnsi" w:cstheme="minorHAnsi"/>
          <w:sz w:val="20"/>
          <w:szCs w:val="20"/>
        </w:rPr>
        <w:t>być objęte co najmniej telemechaniką umożliwiającą:</w:t>
      </w:r>
    </w:p>
    <w:p w14:paraId="061A2CC8" w14:textId="253B6453" w:rsidR="001D4196" w:rsidRPr="00EB2E7B" w:rsidRDefault="00290010"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t</w:t>
      </w:r>
      <w:r w:rsidR="004605C5" w:rsidRPr="00EB2E7B">
        <w:rPr>
          <w:rFonts w:asciiTheme="minorHAnsi" w:hAnsiTheme="minorHAnsi" w:cstheme="minorHAnsi"/>
          <w:sz w:val="20"/>
          <w:szCs w:val="20"/>
        </w:rPr>
        <w:t xml:space="preserve">elesterowanie </w:t>
      </w:r>
    </w:p>
    <w:p w14:paraId="677A32E0" w14:textId="77777777" w:rsidR="00E248EC" w:rsidRPr="00EB2E7B" w:rsidRDefault="00E248EC" w:rsidP="0099115A">
      <w:pPr>
        <w:pStyle w:val="NormalnyIRiESD"/>
        <w:numPr>
          <w:ilvl w:val="0"/>
          <w:numId w:val="413"/>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sterowanie wyłącznikami, </w:t>
      </w:r>
    </w:p>
    <w:p w14:paraId="1D3448C2" w14:textId="7C627046" w:rsidR="00290010" w:rsidRPr="00EB2E7B" w:rsidRDefault="00E248EC" w:rsidP="00755CC4">
      <w:pPr>
        <w:pStyle w:val="NormalnyIRiESD"/>
        <w:numPr>
          <w:ilvl w:val="0"/>
          <w:numId w:val="413"/>
        </w:numPr>
        <w:ind w:left="2268" w:hanging="567"/>
        <w:rPr>
          <w:rFonts w:asciiTheme="minorHAnsi" w:hAnsiTheme="minorHAnsi" w:cstheme="minorHAnsi"/>
          <w:sz w:val="20"/>
          <w:szCs w:val="20"/>
        </w:rPr>
      </w:pPr>
      <w:r w:rsidRPr="00EB2E7B">
        <w:rPr>
          <w:rFonts w:asciiTheme="minorHAnsi" w:hAnsiTheme="minorHAnsi" w:cstheme="minorHAnsi"/>
          <w:sz w:val="20"/>
          <w:szCs w:val="20"/>
        </w:rPr>
        <w:t>sterowanie urządzeniami automatyk stacyjnych;</w:t>
      </w:r>
    </w:p>
    <w:p w14:paraId="3520B3A6" w14:textId="7BF8DBCD" w:rsidR="00290010" w:rsidRPr="00EB2E7B" w:rsidRDefault="00E248EC"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telesygnalizację</w:t>
      </w:r>
    </w:p>
    <w:p w14:paraId="68AB5514" w14:textId="77777777" w:rsidR="000A1543" w:rsidRPr="00EB2E7B" w:rsidRDefault="00953188" w:rsidP="0099115A">
      <w:pPr>
        <w:pStyle w:val="NormalnyIRiESD"/>
        <w:numPr>
          <w:ilvl w:val="0"/>
          <w:numId w:val="414"/>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stanu położenia wyłączników, odłączników szynowych i liniowych oraz uziemników, </w:t>
      </w:r>
    </w:p>
    <w:p w14:paraId="5F1187E0" w14:textId="77777777" w:rsidR="000A1543" w:rsidRPr="00EB2E7B" w:rsidRDefault="00953188" w:rsidP="0099115A">
      <w:pPr>
        <w:pStyle w:val="NormalnyIRiESD"/>
        <w:numPr>
          <w:ilvl w:val="0"/>
          <w:numId w:val="414"/>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stanu automatyk stacyjnych, </w:t>
      </w:r>
    </w:p>
    <w:p w14:paraId="44D18FF2" w14:textId="77777777" w:rsidR="000A1543" w:rsidRPr="00EB2E7B" w:rsidRDefault="00953188" w:rsidP="0099115A">
      <w:pPr>
        <w:pStyle w:val="NormalnyIRiESD"/>
        <w:numPr>
          <w:ilvl w:val="0"/>
          <w:numId w:val="414"/>
        </w:numPr>
        <w:ind w:left="2268" w:hanging="567"/>
        <w:rPr>
          <w:rFonts w:asciiTheme="minorHAnsi" w:hAnsiTheme="minorHAnsi" w:cstheme="minorHAnsi"/>
          <w:sz w:val="20"/>
          <w:szCs w:val="20"/>
        </w:rPr>
      </w:pPr>
      <w:r w:rsidRPr="00EB2E7B">
        <w:rPr>
          <w:rFonts w:asciiTheme="minorHAnsi" w:hAnsiTheme="minorHAnsi" w:cstheme="minorHAnsi"/>
          <w:sz w:val="20"/>
          <w:szCs w:val="20"/>
        </w:rPr>
        <w:t>sygnalizację awaryjną indywidualną z poszczególnych pól rozdzielni,</w:t>
      </w:r>
    </w:p>
    <w:p w14:paraId="199AF395" w14:textId="77777777" w:rsidR="000A1543" w:rsidRPr="00EB2E7B" w:rsidRDefault="00953188" w:rsidP="0099115A">
      <w:pPr>
        <w:pStyle w:val="NormalnyIRiESD"/>
        <w:numPr>
          <w:ilvl w:val="0"/>
          <w:numId w:val="414"/>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sygnalizację zadziałania poszczególnych zabezpieczeń, </w:t>
      </w:r>
    </w:p>
    <w:p w14:paraId="3094ACB5" w14:textId="58BD7D16" w:rsidR="000A1543" w:rsidRPr="00EB2E7B" w:rsidRDefault="00953188" w:rsidP="0099115A">
      <w:pPr>
        <w:pStyle w:val="NormalnyIRiESD"/>
        <w:numPr>
          <w:ilvl w:val="0"/>
          <w:numId w:val="414"/>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sygnalizację awaryjną z potrzeb własnych prądu stałego dotyczącą w szczególności: uszkodzenia prostownika, braku ciągłości obwodów prądu stałego wraz z baterią oraz </w:t>
      </w:r>
      <w:proofErr w:type="spellStart"/>
      <w:r w:rsidRPr="00EB2E7B">
        <w:rPr>
          <w:rFonts w:asciiTheme="minorHAnsi" w:hAnsiTheme="minorHAnsi" w:cstheme="minorHAnsi"/>
          <w:sz w:val="20"/>
          <w:szCs w:val="20"/>
        </w:rPr>
        <w:t>doziemienia</w:t>
      </w:r>
      <w:proofErr w:type="spellEnd"/>
      <w:r w:rsidRPr="00EB2E7B">
        <w:rPr>
          <w:rFonts w:asciiTheme="minorHAnsi" w:hAnsiTheme="minorHAnsi" w:cstheme="minorHAnsi"/>
          <w:sz w:val="20"/>
          <w:szCs w:val="20"/>
        </w:rPr>
        <w:t xml:space="preserve"> w obwodach prądu stałego,</w:t>
      </w:r>
    </w:p>
    <w:p w14:paraId="41975F1D" w14:textId="77777777" w:rsidR="000A1543" w:rsidRPr="00EB2E7B" w:rsidRDefault="00953188" w:rsidP="0099115A">
      <w:pPr>
        <w:pStyle w:val="NormalnyIRiESD"/>
        <w:numPr>
          <w:ilvl w:val="0"/>
          <w:numId w:val="414"/>
        </w:numPr>
        <w:ind w:left="2268" w:hanging="567"/>
        <w:rPr>
          <w:rFonts w:asciiTheme="minorHAnsi" w:hAnsiTheme="minorHAnsi" w:cstheme="minorHAnsi"/>
          <w:sz w:val="20"/>
          <w:szCs w:val="20"/>
        </w:rPr>
      </w:pPr>
      <w:r w:rsidRPr="00EB2E7B">
        <w:rPr>
          <w:rFonts w:asciiTheme="minorHAnsi" w:hAnsiTheme="minorHAnsi" w:cstheme="minorHAnsi"/>
          <w:sz w:val="20"/>
          <w:szCs w:val="20"/>
        </w:rPr>
        <w:t>sygnalizację awaryjną z urządzeń zasilania bezprzerwowego,</w:t>
      </w:r>
    </w:p>
    <w:p w14:paraId="27C1A318" w14:textId="4B61964A" w:rsidR="00E248EC" w:rsidRPr="00EB2E7B" w:rsidRDefault="00953188" w:rsidP="0099115A">
      <w:pPr>
        <w:pStyle w:val="NormalnyIRiESD"/>
        <w:numPr>
          <w:ilvl w:val="0"/>
          <w:numId w:val="414"/>
        </w:numPr>
        <w:ind w:left="2268"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 sygnalizację włamaniową i przeciwpożarową;</w:t>
      </w:r>
    </w:p>
    <w:p w14:paraId="72043A70" w14:textId="752C8D02" w:rsidR="000A1543" w:rsidRPr="00EB2E7B" w:rsidRDefault="000A1543" w:rsidP="001F76B3">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telemetrię</w:t>
      </w:r>
    </w:p>
    <w:p w14:paraId="0F85593E" w14:textId="4D436A65" w:rsidR="000A1543" w:rsidRPr="00EB2E7B" w:rsidRDefault="004A3C4A" w:rsidP="0099115A">
      <w:pPr>
        <w:pStyle w:val="NormalnyIRiESD"/>
        <w:numPr>
          <w:ilvl w:val="0"/>
          <w:numId w:val="415"/>
        </w:numPr>
        <w:ind w:left="2268" w:hanging="567"/>
        <w:rPr>
          <w:rFonts w:asciiTheme="minorHAnsi" w:hAnsiTheme="minorHAnsi" w:cstheme="minorHAnsi"/>
          <w:sz w:val="20"/>
          <w:szCs w:val="20"/>
        </w:rPr>
      </w:pPr>
      <w:r w:rsidRPr="00EB2E7B">
        <w:rPr>
          <w:rFonts w:asciiTheme="minorHAnsi" w:hAnsiTheme="minorHAnsi" w:cstheme="minorHAnsi"/>
          <w:sz w:val="20"/>
          <w:szCs w:val="20"/>
        </w:rPr>
        <w:t>pomiar prądu w posz</w:t>
      </w:r>
      <w:r w:rsidR="00FB0EC1" w:rsidRPr="00EB2E7B">
        <w:rPr>
          <w:rFonts w:asciiTheme="minorHAnsi" w:hAnsiTheme="minorHAnsi" w:cstheme="minorHAnsi"/>
          <w:sz w:val="20"/>
          <w:szCs w:val="20"/>
        </w:rPr>
        <w:t>cz</w:t>
      </w:r>
      <w:r w:rsidRPr="00EB2E7B">
        <w:rPr>
          <w:rFonts w:asciiTheme="minorHAnsi" w:hAnsiTheme="minorHAnsi" w:cstheme="minorHAnsi"/>
          <w:sz w:val="20"/>
          <w:szCs w:val="20"/>
        </w:rPr>
        <w:t>ególnych polach</w:t>
      </w:r>
      <w:r w:rsidR="00FB0EC1" w:rsidRPr="00EB2E7B">
        <w:rPr>
          <w:rFonts w:asciiTheme="minorHAnsi" w:hAnsiTheme="minorHAnsi" w:cstheme="minorHAnsi"/>
          <w:sz w:val="20"/>
          <w:szCs w:val="20"/>
        </w:rPr>
        <w:t>,</w:t>
      </w:r>
    </w:p>
    <w:p w14:paraId="42E0DB28" w14:textId="044FD1EF" w:rsidR="004A3C4A" w:rsidRPr="00EB2E7B" w:rsidRDefault="00696814" w:rsidP="00755CC4">
      <w:pPr>
        <w:pStyle w:val="NormalnyIRiESD"/>
        <w:numPr>
          <w:ilvl w:val="0"/>
          <w:numId w:val="415"/>
        </w:numPr>
        <w:ind w:left="2268" w:hanging="567"/>
        <w:rPr>
          <w:rFonts w:asciiTheme="minorHAnsi" w:hAnsiTheme="minorHAnsi" w:cstheme="minorHAnsi"/>
          <w:sz w:val="20"/>
          <w:szCs w:val="20"/>
        </w:rPr>
      </w:pPr>
      <w:r w:rsidRPr="00EB2E7B">
        <w:rPr>
          <w:rFonts w:asciiTheme="minorHAnsi" w:hAnsiTheme="minorHAnsi" w:cstheme="minorHAnsi"/>
          <w:sz w:val="20"/>
          <w:szCs w:val="20"/>
        </w:rPr>
        <w:t>pomiar napięcia na poszczególnych układach szyn.</w:t>
      </w:r>
    </w:p>
    <w:p w14:paraId="11212AB7" w14:textId="2274A306"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Urządzenia telemechaniki powinny być wyposażone w co najmniej dwa porty transmisji danych. </w:t>
      </w:r>
    </w:p>
    <w:p w14:paraId="4070658E" w14:textId="0BE022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Urządzenia </w:t>
      </w:r>
      <w:r w:rsidR="00C676F8" w:rsidRPr="00EB2E7B">
        <w:rPr>
          <w:rFonts w:asciiTheme="minorHAnsi" w:hAnsiTheme="minorHAnsi" w:cstheme="minorHAnsi"/>
          <w:sz w:val="20"/>
          <w:szCs w:val="20"/>
        </w:rPr>
        <w:t>telemechaniki obiektowej oraz systemy nadzoru w dyspozycjach powinny być zasilane z układu napięcia bezprzerwowego o czasie autonomii nie krótszym niż:</w:t>
      </w:r>
    </w:p>
    <w:p w14:paraId="1064E367" w14:textId="77777777" w:rsidR="00C676F8" w:rsidRPr="00EB2E7B" w:rsidRDefault="00C676F8" w:rsidP="00755CC4">
      <w:pPr>
        <w:pStyle w:val="1przed"/>
        <w:numPr>
          <w:ilvl w:val="0"/>
          <w:numId w:val="204"/>
        </w:numPr>
        <w:ind w:left="1701" w:hanging="567"/>
        <w:rPr>
          <w:rFonts w:asciiTheme="minorHAnsi" w:hAnsiTheme="minorHAnsi" w:cstheme="minorHAnsi"/>
          <w:sz w:val="20"/>
          <w:szCs w:val="20"/>
        </w:rPr>
      </w:pPr>
      <w:r w:rsidRPr="00EB2E7B">
        <w:rPr>
          <w:rFonts w:asciiTheme="minorHAnsi" w:hAnsiTheme="minorHAnsi" w:cstheme="minorHAnsi"/>
          <w:sz w:val="20"/>
          <w:szCs w:val="20"/>
        </w:rPr>
        <w:t>24 godz. – dla obiektów wskazanych w planie odbudowy opracowanym na podstawie art. 23 NC ER,</w:t>
      </w:r>
    </w:p>
    <w:p w14:paraId="498558A1" w14:textId="6FC21C96" w:rsidR="00C676F8" w:rsidRPr="00EB2E7B" w:rsidRDefault="00C676F8">
      <w:pPr>
        <w:pStyle w:val="1przed"/>
        <w:numPr>
          <w:ilvl w:val="0"/>
          <w:numId w:val="204"/>
        </w:numPr>
        <w:ind w:left="1701" w:hanging="567"/>
        <w:rPr>
          <w:rFonts w:asciiTheme="minorHAnsi" w:hAnsiTheme="minorHAnsi" w:cstheme="minorHAnsi"/>
          <w:sz w:val="20"/>
          <w:szCs w:val="20"/>
        </w:rPr>
      </w:pPr>
      <w:r w:rsidRPr="00EB2E7B">
        <w:rPr>
          <w:rFonts w:asciiTheme="minorHAnsi" w:hAnsiTheme="minorHAnsi" w:cstheme="minorHAnsi"/>
          <w:sz w:val="20"/>
          <w:szCs w:val="20"/>
        </w:rPr>
        <w:t>8 godz. – dla pozostałych obiektów.</w:t>
      </w:r>
    </w:p>
    <w:p w14:paraId="3F94A9AA" w14:textId="77777777" w:rsidR="00E273BB" w:rsidRPr="00EB2E7B" w:rsidRDefault="00E273BB"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Do przekazywania danych bezpośrednio z obiektów elektroenergetycznych do systemu SCADA OSP podstawowo jest stosowany protokół IEC60870-5-104. </w:t>
      </w:r>
    </w:p>
    <w:p w14:paraId="3422517B" w14:textId="10D7448B" w:rsidR="00E273BB" w:rsidRPr="00EB2E7B" w:rsidRDefault="00E273BB" w:rsidP="00E636A2">
      <w:pPr>
        <w:ind w:left="1134" w:firstLine="0"/>
        <w:rPr>
          <w:rFonts w:asciiTheme="minorHAnsi" w:hAnsiTheme="minorHAnsi" w:cstheme="minorHAnsi"/>
          <w:sz w:val="20"/>
          <w:szCs w:val="20"/>
        </w:rPr>
      </w:pPr>
      <w:r w:rsidRPr="00EB2E7B">
        <w:rPr>
          <w:rFonts w:asciiTheme="minorHAnsi" w:hAnsiTheme="minorHAnsi" w:cstheme="minorHAnsi"/>
          <w:sz w:val="20"/>
          <w:szCs w:val="20"/>
        </w:rPr>
        <w:t>Za zgodą OSP, przejściowo dopuszcza się stosowanie protokołów DNP3 lub IEC608705-101 pracujących na łączach szeregowych.</w:t>
      </w:r>
    </w:p>
    <w:p w14:paraId="32F4BF78" w14:textId="187A1DBC" w:rsidR="00473957" w:rsidRPr="00EB2E7B" w:rsidRDefault="00F61E69" w:rsidP="009F703F">
      <w:pPr>
        <w:pStyle w:val="Nagwek3gruby"/>
        <w:ind w:left="1134" w:hanging="1134"/>
        <w:rPr>
          <w:rFonts w:asciiTheme="minorHAnsi" w:hAnsiTheme="minorHAnsi" w:cstheme="minorHAnsi"/>
          <w:sz w:val="20"/>
          <w:szCs w:val="20"/>
        </w:rPr>
      </w:pPr>
      <w:bookmarkStart w:id="144" w:name="_Ref75433632"/>
      <w:r w:rsidRPr="00EB2E7B">
        <w:rPr>
          <w:rFonts w:asciiTheme="minorHAnsi" w:hAnsiTheme="minorHAnsi" w:cstheme="minorHAnsi"/>
          <w:sz w:val="20"/>
          <w:szCs w:val="20"/>
        </w:rPr>
        <w:t>Wymagania techniczne dla układów pomiarowo-rozliczeniowych</w:t>
      </w:r>
      <w:r w:rsidR="0077111A" w:rsidRPr="00EB2E7B">
        <w:rPr>
          <w:rFonts w:asciiTheme="minorHAnsi" w:hAnsiTheme="minorHAnsi" w:cstheme="minorHAnsi"/>
          <w:sz w:val="20"/>
          <w:szCs w:val="20"/>
        </w:rPr>
        <w:t>.</w:t>
      </w:r>
      <w:bookmarkEnd w:id="144"/>
      <w:r w:rsidR="0077111A" w:rsidRPr="00EB2E7B">
        <w:rPr>
          <w:rFonts w:asciiTheme="minorHAnsi" w:hAnsiTheme="minorHAnsi" w:cstheme="minorHAnsi"/>
          <w:sz w:val="20"/>
          <w:szCs w:val="20"/>
        </w:rPr>
        <w:t xml:space="preserve"> </w:t>
      </w:r>
    </w:p>
    <w:p w14:paraId="726231FC" w14:textId="77777777" w:rsidR="00473957" w:rsidRPr="00EB2E7B" w:rsidRDefault="0077111A" w:rsidP="009A432E">
      <w:pPr>
        <w:pStyle w:val="Nagwek4"/>
        <w:rPr>
          <w:rFonts w:asciiTheme="minorHAnsi" w:hAnsiTheme="minorHAnsi" w:cstheme="minorHAnsi"/>
          <w:sz w:val="20"/>
          <w:szCs w:val="20"/>
        </w:rPr>
      </w:pPr>
      <w:bookmarkStart w:id="145" w:name="_Ref190094098"/>
      <w:r w:rsidRPr="00EB2E7B">
        <w:rPr>
          <w:rFonts w:asciiTheme="minorHAnsi" w:hAnsiTheme="minorHAnsi" w:cstheme="minorHAnsi"/>
          <w:sz w:val="20"/>
          <w:szCs w:val="20"/>
        </w:rPr>
        <w:t>Wymagania ogólne</w:t>
      </w:r>
      <w:bookmarkEnd w:id="145"/>
      <w:r w:rsidRPr="00EB2E7B">
        <w:rPr>
          <w:rFonts w:asciiTheme="minorHAnsi" w:hAnsiTheme="minorHAnsi" w:cstheme="minorHAnsi"/>
          <w:sz w:val="20"/>
          <w:szCs w:val="20"/>
        </w:rPr>
        <w:t xml:space="preserve"> </w:t>
      </w:r>
    </w:p>
    <w:p w14:paraId="3C24971E" w14:textId="3E217F78" w:rsidR="00473957" w:rsidRPr="00EB2E7B" w:rsidRDefault="00F61E69" w:rsidP="00680FDB">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Wymagania techniczne dla układów pomiarowo-rozliczeniowych określone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obowiązują dla układów pomiarowo-rozliczeniowych instalowanych i</w:t>
      </w:r>
      <w:r w:rsidR="00680FDB" w:rsidRPr="00EB2E7B">
        <w:rPr>
          <w:rFonts w:asciiTheme="minorHAnsi" w:hAnsiTheme="minorHAnsi" w:cstheme="minorHAnsi"/>
          <w:sz w:val="20"/>
          <w:szCs w:val="20"/>
        </w:rPr>
        <w:t> </w:t>
      </w:r>
      <w:r w:rsidRPr="00EB2E7B">
        <w:rPr>
          <w:rFonts w:asciiTheme="minorHAnsi" w:hAnsiTheme="minorHAnsi" w:cstheme="minorHAnsi"/>
          <w:sz w:val="20"/>
          <w:szCs w:val="20"/>
        </w:rPr>
        <w:t>modernizowanych.</w:t>
      </w:r>
    </w:p>
    <w:p w14:paraId="18C130A4" w14:textId="77777777" w:rsidR="00F61E69" w:rsidRPr="00EB2E7B" w:rsidRDefault="00F61E6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Obowiązek dostosowania układów pomiarowo-rozliczeniowych lub ich elementów do wymagań określonych odpowiednio w rozporządzeniu pomiarowym oraz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spoczywa na ich właścicielu.</w:t>
      </w:r>
    </w:p>
    <w:p w14:paraId="4673B3E8" w14:textId="77777777" w:rsidR="00F61E69" w:rsidRPr="00EB2E7B" w:rsidRDefault="00F61E6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zamiaru skorzystania z prawa wyboru sprzedawcy przez odbiorcę lub wytwórcę, należy dostosować układ pomiarowo-rozliczeniowy do wymagań określonych odpowiednio w rozporządzeniu pomiarowym oraz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06F2FABA" w14:textId="150B60BC" w:rsidR="00F61E69" w:rsidRPr="00EB2E7B" w:rsidRDefault="00F61E6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Powyższe wymagania nie dotyczą układów pomiarowo-rozliczeniowych zainstalowanych u odbiorców,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_Ref151916418 \r \h </w:instrText>
      </w:r>
      <w:r w:rsidR="003859B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G.1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dla których ACPRO przydziela standardowy profil zużycia zgodnie z rozdziałem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_Ref75525715 \r \h </w:instrText>
      </w:r>
      <w:r w:rsidR="003859B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G</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52A4F820" w14:textId="4E15116D" w:rsidR="00473957" w:rsidRPr="00EB2E7B" w:rsidRDefault="0077111A" w:rsidP="00680FDB">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Urządzenia wchodzące w skład każdego układu pomiarowo-rozliczeniowego muszą spełniać wymagania prawa, a w szczególności posiadać legalizację lub certyfikat zgodności z wymaganiami zasadniczymi (MID) lub homologację, zgodnie z</w:t>
      </w:r>
      <w:r w:rsidR="00680FDB" w:rsidRPr="00EB2E7B">
        <w:rPr>
          <w:rFonts w:asciiTheme="minorHAnsi" w:hAnsiTheme="minorHAnsi" w:cstheme="minorHAnsi"/>
          <w:sz w:val="20"/>
          <w:szCs w:val="20"/>
        </w:rPr>
        <w:t> </w:t>
      </w:r>
      <w:r w:rsidRPr="00EB2E7B">
        <w:rPr>
          <w:rFonts w:asciiTheme="minorHAnsi" w:hAnsiTheme="minorHAnsi" w:cstheme="minorHAnsi"/>
          <w:sz w:val="20"/>
          <w:szCs w:val="20"/>
        </w:rPr>
        <w:t xml:space="preserve">wymaganiami określonymi dla danego urządzenia.  </w:t>
      </w:r>
    </w:p>
    <w:p w14:paraId="1DCFB79F" w14:textId="6C3AE577" w:rsidR="00473957" w:rsidRPr="00EB2E7B" w:rsidRDefault="0077111A"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urządzeń, które nie podlegają prawnej kontroli metrologicznej lub dla których nie jest wymagana homologacja, urządzenie musi posiadać odpowiednie świadectwo badań (świadectwo wzorcowania), potwierdzające poprawność pomiarów zgodnie z obowiązującymi normami i przepisami. Powyższe badania powinny być wykonane przez uprawnione laboratoria posiadające akredytację w przedmiotowym zakresie. Okres pomiędzy kolejnymi </w:t>
      </w:r>
      <w:proofErr w:type="spellStart"/>
      <w:r w:rsidRPr="00EB2E7B">
        <w:rPr>
          <w:rFonts w:asciiTheme="minorHAnsi" w:hAnsiTheme="minorHAnsi" w:cstheme="minorHAnsi"/>
          <w:sz w:val="20"/>
          <w:szCs w:val="20"/>
        </w:rPr>
        <w:t>wzorcowaniami</w:t>
      </w:r>
      <w:proofErr w:type="spellEnd"/>
      <w:r w:rsidRPr="00EB2E7B">
        <w:rPr>
          <w:rFonts w:asciiTheme="minorHAnsi" w:hAnsiTheme="minorHAnsi" w:cstheme="minorHAnsi"/>
          <w:sz w:val="20"/>
          <w:szCs w:val="20"/>
        </w:rPr>
        <w:t xml:space="preserve"> tych urządzeń (za wyjątkiem przekładników pomiarowych prądowych i napięciowych) nie powinien przekraczać okresu ważności cech legalizacyjnych lub zabezpieczających (MID) licznika energii czynnej zainstalowanego w tym samym układzie pomiarowo-rozliczeniowym. </w:t>
      </w:r>
    </w:p>
    <w:p w14:paraId="44C419FD" w14:textId="31BE0484" w:rsidR="00473957" w:rsidRPr="00EB2E7B" w:rsidRDefault="00F61E6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Okres między kolejnymi </w:t>
      </w:r>
      <w:proofErr w:type="spellStart"/>
      <w:r w:rsidRPr="00EB2E7B">
        <w:rPr>
          <w:rFonts w:asciiTheme="minorHAnsi" w:hAnsiTheme="minorHAnsi" w:cstheme="minorHAnsi"/>
          <w:sz w:val="20"/>
          <w:szCs w:val="20"/>
        </w:rPr>
        <w:t>wzorcowaniami</w:t>
      </w:r>
      <w:proofErr w:type="spellEnd"/>
      <w:r w:rsidRPr="00EB2E7B">
        <w:rPr>
          <w:rFonts w:asciiTheme="minorHAnsi" w:hAnsiTheme="minorHAnsi" w:cstheme="minorHAnsi"/>
          <w:sz w:val="20"/>
          <w:szCs w:val="20"/>
        </w:rPr>
        <w:t xml:space="preserve"> liczników, które nie podlegają prawnej kontroli metrologicznej, jest równy okresowi ważności legalizacji liczników klasy C, które podlegają tej kontroli, zgodnie z przepisami odrębnymi</w:t>
      </w:r>
      <w:r w:rsidR="0077111A" w:rsidRPr="00EB2E7B">
        <w:rPr>
          <w:rFonts w:asciiTheme="minorHAnsi" w:hAnsiTheme="minorHAnsi" w:cstheme="minorHAnsi"/>
          <w:sz w:val="20"/>
          <w:szCs w:val="20"/>
        </w:rPr>
        <w:t>.</w:t>
      </w:r>
    </w:p>
    <w:p w14:paraId="3225E6D6" w14:textId="1CA0EE82" w:rsidR="00473957" w:rsidRPr="00EB2E7B" w:rsidRDefault="0077111A"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Przekładniki prądowe i napięciowe podlegają sprawdzeniu przed zainstalowaniem. Dla urządzeń wcześniej użytkowanych, właściciel przekładników dostarcza protokół ze sprawdzenia potwierdzający poprawność i zgodność danych znamionowych oraz oznaczeń przekładnika ze stanem faktycznym, który wraz z wcześniej wystawionym świadectwem legalizacji, protokołem lub świadectwem badań kontrolnych przekazuje do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W</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przypadku braku wcześniej wystawionych świadectw lub protokołów, wymagane jest ich uzyskanie poprzez przeprowadzenie badań w uprawnionym laboratorium posiadającym akredytację w przedmiotowym zakresie, zgodnie z</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obowiązującymi normami i przepisami.  </w:t>
      </w:r>
      <w:r w:rsidR="00F01F47" w:rsidRPr="00EB2E7B">
        <w:rPr>
          <w:rFonts w:asciiTheme="minorHAnsi" w:hAnsiTheme="minorHAnsi" w:cstheme="minorHAnsi"/>
          <w:sz w:val="20"/>
          <w:szCs w:val="20"/>
        </w:rPr>
        <w:t>Świadectwo wzorcowania dla przekładników pomiarowych prądowych lub napięciowych wydawane i uznawane jest bez terminu ważności.</w:t>
      </w:r>
    </w:p>
    <w:p w14:paraId="7315771B" w14:textId="64EAB629" w:rsidR="00473957" w:rsidRPr="00EB2E7B" w:rsidRDefault="0077111A"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Urządzenia podlegające wzorcowaniu powinny posiadać cechę zabezpieczającą </w:t>
      </w:r>
      <w:r w:rsidR="003A3DD4" w:rsidRPr="00EB2E7B">
        <w:rPr>
          <w:rFonts w:asciiTheme="minorHAnsi" w:hAnsiTheme="minorHAnsi" w:cstheme="minorHAnsi"/>
          <w:sz w:val="20"/>
          <w:szCs w:val="20"/>
        </w:rPr>
        <w:t xml:space="preserve">nałożoną przez producenta lub laboratorium oraz nałożoną przez laboratorium cechę </w:t>
      </w:r>
      <w:r w:rsidRPr="00EB2E7B">
        <w:rPr>
          <w:rFonts w:asciiTheme="minorHAnsi" w:hAnsiTheme="minorHAnsi" w:cstheme="minorHAnsi"/>
          <w:sz w:val="20"/>
          <w:szCs w:val="20"/>
        </w:rPr>
        <w:t xml:space="preserve">potwierdzającą dokonanie wzorcowania. </w:t>
      </w:r>
    </w:p>
    <w:p w14:paraId="19873F12" w14:textId="27CC8DDB" w:rsidR="00473957" w:rsidRPr="00EB2E7B" w:rsidRDefault="00F61E69" w:rsidP="00680FDB">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Półpośrednie układy pomiarowe i pośrednie układy pomiarowe muszą być wyposażone w przekładniki pomiarowe w każdej z trzech faz oraz w liczniki trójsystemowe.</w:t>
      </w:r>
    </w:p>
    <w:p w14:paraId="748B5D8B" w14:textId="1222BA3C" w:rsidR="00473957" w:rsidRPr="00EB2E7B" w:rsidRDefault="00F61E69" w:rsidP="00680FDB">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Układy pomiarowo-rozliczeniowe</w:t>
      </w:r>
      <w:r w:rsidR="0077111A" w:rsidRPr="00EB2E7B">
        <w:rPr>
          <w:rFonts w:asciiTheme="minorHAnsi" w:hAnsiTheme="minorHAnsi" w:cstheme="minorHAnsi"/>
          <w:sz w:val="20"/>
          <w:szCs w:val="20"/>
        </w:rPr>
        <w:t xml:space="preserve">: </w:t>
      </w:r>
    </w:p>
    <w:p w14:paraId="594F3C9A" w14:textId="0876750B" w:rsidR="00F61E69" w:rsidRPr="00EB2E7B" w:rsidRDefault="00F61E69" w:rsidP="00E636A2">
      <w:pPr>
        <w:pStyle w:val="1przed"/>
        <w:numPr>
          <w:ilvl w:val="0"/>
          <w:numId w:val="173"/>
        </w:numPr>
        <w:ind w:left="1701" w:hanging="567"/>
        <w:rPr>
          <w:rFonts w:asciiTheme="minorHAnsi" w:hAnsiTheme="minorHAnsi" w:cstheme="minorHAnsi"/>
          <w:sz w:val="20"/>
          <w:szCs w:val="20"/>
        </w:rPr>
      </w:pPr>
      <w:r w:rsidRPr="00EB2E7B">
        <w:rPr>
          <w:rFonts w:asciiTheme="minorHAnsi" w:hAnsiTheme="minorHAnsi" w:cstheme="minorHAnsi"/>
          <w:sz w:val="20"/>
          <w:szCs w:val="20"/>
        </w:rPr>
        <w:t>wykorzystywane do rozliczeń za energię elektryczną, za usługi dystrybucji energii elektrycznej lub za usługi systemowe instaluje się:</w:t>
      </w:r>
    </w:p>
    <w:p w14:paraId="57207684" w14:textId="1BB56086" w:rsidR="00F61E69" w:rsidRPr="00EB2E7B" w:rsidRDefault="00F61E69" w:rsidP="0062655C">
      <w:pPr>
        <w:pStyle w:val="apo"/>
        <w:numPr>
          <w:ilvl w:val="0"/>
          <w:numId w:val="174"/>
        </w:numPr>
        <w:ind w:left="2268" w:hanging="567"/>
        <w:rPr>
          <w:rFonts w:asciiTheme="minorHAnsi" w:hAnsiTheme="minorHAnsi" w:cstheme="minorHAnsi"/>
          <w:sz w:val="20"/>
          <w:szCs w:val="20"/>
        </w:rPr>
      </w:pPr>
      <w:r w:rsidRPr="00EB2E7B">
        <w:rPr>
          <w:rFonts w:asciiTheme="minorHAnsi" w:hAnsiTheme="minorHAnsi" w:cstheme="minorHAnsi"/>
          <w:sz w:val="20"/>
          <w:szCs w:val="20"/>
        </w:rPr>
        <w:t>na zaciskach generatorów jednostek wytwórczych świadczących usługi systemowe,</w:t>
      </w:r>
    </w:p>
    <w:p w14:paraId="136F7F32" w14:textId="77777777" w:rsidR="00F61E69" w:rsidRPr="00EB2E7B" w:rsidRDefault="00F61E69" w:rsidP="0062655C">
      <w:pPr>
        <w:pStyle w:val="apo"/>
        <w:numPr>
          <w:ilvl w:val="0"/>
          <w:numId w:val="174"/>
        </w:numPr>
        <w:ind w:left="2268" w:hanging="567"/>
        <w:rPr>
          <w:rFonts w:asciiTheme="minorHAnsi" w:hAnsiTheme="minorHAnsi" w:cstheme="minorHAnsi"/>
          <w:sz w:val="20"/>
          <w:szCs w:val="20"/>
        </w:rPr>
      </w:pPr>
      <w:r w:rsidRPr="00EB2E7B">
        <w:rPr>
          <w:rFonts w:asciiTheme="minorHAnsi" w:hAnsiTheme="minorHAnsi" w:cstheme="minorHAnsi"/>
          <w:sz w:val="20"/>
          <w:szCs w:val="20"/>
        </w:rPr>
        <w:t>w miejscach przyłączenia magazynów energii elektrycznej do sieci dystrybucyjnej oraz na zaciskach wejściowych lub wyjściowych magazynów energii elektrycznej o łącznej mocy zainstalowanej większej niż 50 kW,</w:t>
      </w:r>
    </w:p>
    <w:p w14:paraId="376F6174" w14:textId="1844BB57" w:rsidR="00F61E69" w:rsidRPr="00EB2E7B" w:rsidRDefault="00F61E69" w:rsidP="0062655C">
      <w:pPr>
        <w:pStyle w:val="apo"/>
        <w:numPr>
          <w:ilvl w:val="0"/>
          <w:numId w:val="174"/>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po stronie napięcia sieci, </w:t>
      </w:r>
      <w:r w:rsidR="00A31960" w:rsidRPr="00EB2E7B">
        <w:rPr>
          <w:rFonts w:asciiTheme="minorHAnsi" w:hAnsiTheme="minorHAnsi" w:cstheme="minorHAnsi"/>
          <w:sz w:val="20"/>
          <w:szCs w:val="20"/>
        </w:rPr>
        <w:t xml:space="preserve">do </w:t>
      </w:r>
      <w:r w:rsidRPr="00EB2E7B">
        <w:rPr>
          <w:rFonts w:asciiTheme="minorHAnsi" w:hAnsiTheme="minorHAnsi" w:cstheme="minorHAnsi"/>
          <w:sz w:val="20"/>
          <w:szCs w:val="20"/>
        </w:rPr>
        <w:t xml:space="preserve">której dany podmiot jest przyłączony – w przypadku podmiotów przyłączonych do sieci SN 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w:t>
      </w:r>
    </w:p>
    <w:p w14:paraId="46FA7323" w14:textId="77777777" w:rsidR="00F61E69" w:rsidRPr="00EB2E7B" w:rsidRDefault="00F61E69" w:rsidP="0062655C">
      <w:pPr>
        <w:pStyle w:val="apo"/>
        <w:numPr>
          <w:ilvl w:val="0"/>
          <w:numId w:val="174"/>
        </w:numPr>
        <w:ind w:left="2268" w:hanging="567"/>
        <w:rPr>
          <w:rFonts w:asciiTheme="minorHAnsi" w:hAnsiTheme="minorHAnsi" w:cstheme="minorHAnsi"/>
          <w:sz w:val="20"/>
          <w:szCs w:val="20"/>
        </w:rPr>
      </w:pPr>
      <w:r w:rsidRPr="00EB2E7B">
        <w:rPr>
          <w:rFonts w:asciiTheme="minorHAnsi" w:hAnsiTheme="minorHAnsi" w:cstheme="minorHAnsi"/>
          <w:sz w:val="20"/>
          <w:szCs w:val="20"/>
        </w:rPr>
        <w:t>w miejscu przyłączenia ogólnodostępnej stacji ładowania do sieci dystrybucyjnej,</w:t>
      </w:r>
    </w:p>
    <w:p w14:paraId="111FD0F2" w14:textId="1582BB0B" w:rsidR="00F61E69" w:rsidRPr="00EB2E7B" w:rsidRDefault="00F61E69" w:rsidP="0062655C">
      <w:pPr>
        <w:pStyle w:val="apo"/>
        <w:numPr>
          <w:ilvl w:val="0"/>
          <w:numId w:val="174"/>
        </w:numPr>
        <w:ind w:left="2268" w:hanging="567"/>
        <w:rPr>
          <w:rFonts w:asciiTheme="minorHAnsi" w:hAnsiTheme="minorHAnsi" w:cstheme="minorHAnsi"/>
          <w:sz w:val="20"/>
          <w:szCs w:val="20"/>
        </w:rPr>
      </w:pPr>
      <w:r w:rsidRPr="00EB2E7B">
        <w:rPr>
          <w:rFonts w:asciiTheme="minorHAnsi" w:hAnsiTheme="minorHAnsi" w:cstheme="minorHAnsi"/>
          <w:sz w:val="20"/>
          <w:szCs w:val="20"/>
        </w:rPr>
        <w:t>w miejscu przyłączenia punktu ładowania należącego do odbiorcy końcowego oraz w budynku mieszkalnym wielorodzinnym – w przypadku gdy odbiorca końcowy posiada tytuł prawny do lokalu w tym budynku i stanowisko postojowe do wyłącznego użytku oraz zgodę zarządcy nieruchomości lub zarządu wspólnoty lub spółdzielni, lub osoby sprawującej zarząd nad nieruchomością na instalację punktu ładowania,</w:t>
      </w:r>
    </w:p>
    <w:p w14:paraId="4374C917" w14:textId="534E52A9" w:rsidR="00F61E69" w:rsidRPr="00EB2E7B" w:rsidRDefault="00F61E69" w:rsidP="0062655C">
      <w:pPr>
        <w:pStyle w:val="apo"/>
        <w:numPr>
          <w:ilvl w:val="0"/>
          <w:numId w:val="174"/>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w przypadku gdy magazyn energii elektrycznej jest częścią jednostki wytwórczej lub instalacji odnawialnego źródła energii niebędącej </w:t>
      </w:r>
      <w:proofErr w:type="spellStart"/>
      <w:r w:rsidRPr="00EB2E7B">
        <w:rPr>
          <w:rFonts w:asciiTheme="minorHAnsi" w:hAnsiTheme="minorHAnsi" w:cstheme="minorHAnsi"/>
          <w:sz w:val="20"/>
          <w:szCs w:val="20"/>
        </w:rPr>
        <w:t>mikroinstalacją</w:t>
      </w:r>
      <w:proofErr w:type="spellEnd"/>
      <w:r w:rsidRPr="00EB2E7B">
        <w:rPr>
          <w:rFonts w:asciiTheme="minorHAnsi" w:hAnsiTheme="minorHAnsi" w:cstheme="minorHAnsi"/>
          <w:sz w:val="20"/>
          <w:szCs w:val="20"/>
        </w:rPr>
        <w:t>, lub hybrydowej instalacji odnawialnego źródła energii, w miejscu przyłączenia odpowiednio magazynu energii elektrycznej do:</w:t>
      </w:r>
    </w:p>
    <w:p w14:paraId="3502AE2B" w14:textId="77777777" w:rsidR="00F61E69" w:rsidRPr="00EB2E7B" w:rsidRDefault="00F61E69" w:rsidP="0062655C">
      <w:pPr>
        <w:pStyle w:val="-"/>
        <w:ind w:left="2835" w:hanging="567"/>
        <w:rPr>
          <w:rFonts w:asciiTheme="minorHAnsi" w:hAnsiTheme="minorHAnsi" w:cstheme="minorHAnsi"/>
          <w:sz w:val="20"/>
          <w:szCs w:val="20"/>
        </w:rPr>
      </w:pPr>
      <w:r w:rsidRPr="00EB2E7B">
        <w:rPr>
          <w:rFonts w:asciiTheme="minorHAnsi" w:hAnsiTheme="minorHAnsi" w:cstheme="minorHAnsi"/>
          <w:sz w:val="20"/>
          <w:szCs w:val="20"/>
        </w:rPr>
        <w:t>jednostki wytwórczej lub</w:t>
      </w:r>
    </w:p>
    <w:p w14:paraId="42E06763" w14:textId="77777777" w:rsidR="00F61E69" w:rsidRPr="00EB2E7B" w:rsidRDefault="00F61E69" w:rsidP="0062655C">
      <w:pPr>
        <w:pStyle w:val="-"/>
        <w:ind w:left="2835" w:hanging="567"/>
        <w:rPr>
          <w:rFonts w:asciiTheme="minorHAnsi" w:hAnsiTheme="minorHAnsi" w:cstheme="minorHAnsi"/>
          <w:sz w:val="20"/>
          <w:szCs w:val="20"/>
        </w:rPr>
      </w:pPr>
      <w:r w:rsidRPr="00EB2E7B">
        <w:rPr>
          <w:rFonts w:asciiTheme="minorHAnsi" w:hAnsiTheme="minorHAnsi" w:cstheme="minorHAnsi"/>
          <w:sz w:val="20"/>
          <w:szCs w:val="20"/>
        </w:rPr>
        <w:t>instalacji odnawialnego źródła energii, lub</w:t>
      </w:r>
    </w:p>
    <w:p w14:paraId="7EC60A09" w14:textId="35FF24D9" w:rsidR="00F61E69" w:rsidRPr="00EB2E7B" w:rsidRDefault="00F61E69" w:rsidP="0062655C">
      <w:pPr>
        <w:pStyle w:val="-"/>
        <w:ind w:left="2835" w:hanging="567"/>
        <w:rPr>
          <w:rFonts w:asciiTheme="minorHAnsi" w:hAnsiTheme="minorHAnsi" w:cstheme="minorHAnsi"/>
          <w:sz w:val="20"/>
          <w:szCs w:val="20"/>
        </w:rPr>
      </w:pPr>
      <w:r w:rsidRPr="00EB2E7B">
        <w:rPr>
          <w:rFonts w:asciiTheme="minorHAnsi" w:hAnsiTheme="minorHAnsi" w:cstheme="minorHAnsi"/>
          <w:sz w:val="20"/>
          <w:szCs w:val="20"/>
        </w:rPr>
        <w:t>hybrydowej instalacji odnawialnego źródła energii</w:t>
      </w:r>
    </w:p>
    <w:p w14:paraId="18355DFE" w14:textId="52CB9C4A" w:rsidR="00F61E69" w:rsidRPr="00EB2E7B" w:rsidRDefault="00F61E69" w:rsidP="0062655C">
      <w:pPr>
        <w:ind w:left="1701"/>
        <w:rPr>
          <w:rFonts w:asciiTheme="minorHAnsi" w:hAnsiTheme="minorHAnsi" w:cstheme="minorHAnsi"/>
          <w:sz w:val="20"/>
          <w:szCs w:val="20"/>
        </w:rPr>
      </w:pPr>
      <w:r w:rsidRPr="00EB2E7B">
        <w:rPr>
          <w:rFonts w:asciiTheme="minorHAnsi" w:hAnsiTheme="minorHAnsi" w:cstheme="minorHAnsi"/>
          <w:sz w:val="20"/>
          <w:szCs w:val="20"/>
        </w:rPr>
        <w:lastRenderedPageBreak/>
        <w:t>jako miejsce przyłączenia magazynu energii elektrycznej należy rozumieć zaciski wejściowe lub wyjściowe magazynów energii elektrycznej.</w:t>
      </w:r>
    </w:p>
    <w:p w14:paraId="6837A7F5" w14:textId="656CAFDB" w:rsidR="00F61E69" w:rsidRPr="00EB2E7B" w:rsidRDefault="00F61E69" w:rsidP="00E636A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wykorzystywane do rozliczeń prowadzonych w ramach bilansowania systemu elektroenergetycznego i wymiany międzysystemowej instaluje się:</w:t>
      </w:r>
    </w:p>
    <w:p w14:paraId="15A35F25" w14:textId="1DD78263" w:rsidR="00F61E69" w:rsidRPr="00EB2E7B" w:rsidRDefault="00F61E69" w:rsidP="000376D6">
      <w:pPr>
        <w:pStyle w:val="apo"/>
        <w:numPr>
          <w:ilvl w:val="0"/>
          <w:numId w:val="175"/>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w miejscach połączenia między sieciami dystrybucyjnymi ACPRO na napięciu SN 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w:t>
      </w:r>
    </w:p>
    <w:p w14:paraId="6FB1C7A2" w14:textId="469AC28B" w:rsidR="00F61E69" w:rsidRPr="00EB2E7B" w:rsidRDefault="00F61E69" w:rsidP="00E636A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wykorzystywane do realizacji innych procesów rynku energii instaluje się:</w:t>
      </w:r>
    </w:p>
    <w:p w14:paraId="27589B4E" w14:textId="77777777" w:rsidR="00F61E69" w:rsidRPr="00EB2E7B" w:rsidRDefault="00F61E69" w:rsidP="000376D6">
      <w:pPr>
        <w:pStyle w:val="apo"/>
        <w:numPr>
          <w:ilvl w:val="0"/>
          <w:numId w:val="176"/>
        </w:numPr>
        <w:ind w:left="2268" w:hanging="567"/>
        <w:rPr>
          <w:rFonts w:asciiTheme="minorHAnsi" w:hAnsiTheme="minorHAnsi" w:cstheme="minorHAnsi"/>
          <w:sz w:val="20"/>
          <w:szCs w:val="20"/>
        </w:rPr>
      </w:pPr>
      <w:r w:rsidRPr="00EB2E7B">
        <w:rPr>
          <w:rFonts w:asciiTheme="minorHAnsi" w:hAnsiTheme="minorHAnsi" w:cstheme="minorHAnsi"/>
          <w:sz w:val="20"/>
          <w:szCs w:val="20"/>
        </w:rPr>
        <w:t>w przypadku wytwórców, dla których jest wymagane potwierdzanie przez ACPRO ilości energii elektrycznej niezbędnej do posiadania uprawnień wynikających z systemów wsparcia w rozumieniu przepisów odrębnych, w miejscach określonych w tych przepisach,</w:t>
      </w:r>
    </w:p>
    <w:p w14:paraId="0D4AC5D9" w14:textId="77777777" w:rsidR="00F61E69" w:rsidRPr="00EB2E7B" w:rsidRDefault="00F61E69" w:rsidP="000376D6">
      <w:pPr>
        <w:pStyle w:val="apo"/>
        <w:numPr>
          <w:ilvl w:val="0"/>
          <w:numId w:val="176"/>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po stronie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transformatora w stacjach elektroenergetycznych ACPRO transformujących napięcie SN/</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w:t>
      </w:r>
    </w:p>
    <w:p w14:paraId="3A26239E" w14:textId="7B7E8A64" w:rsidR="00F61E69" w:rsidRPr="00EB2E7B" w:rsidRDefault="00F61E69" w:rsidP="000376D6">
      <w:pPr>
        <w:pStyle w:val="apo"/>
        <w:numPr>
          <w:ilvl w:val="0"/>
          <w:numId w:val="176"/>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w miejscach w sieci na poziomie SN 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w których energia elektryczna </w:t>
      </w:r>
      <w:r w:rsidR="008A2DCE" w:rsidRPr="00EB2E7B">
        <w:rPr>
          <w:rFonts w:asciiTheme="minorHAnsi" w:hAnsiTheme="minorHAnsi" w:cstheme="minorHAnsi"/>
          <w:sz w:val="20"/>
          <w:szCs w:val="20"/>
        </w:rPr>
        <w:t>byłaby</w:t>
      </w:r>
      <w:r w:rsidRPr="00EB2E7B">
        <w:rPr>
          <w:rFonts w:asciiTheme="minorHAnsi" w:hAnsiTheme="minorHAnsi" w:cstheme="minorHAnsi"/>
          <w:sz w:val="20"/>
          <w:szCs w:val="20"/>
        </w:rPr>
        <w:t xml:space="preserve"> zużywana na potrzeby własne ACPRO, w stacjach elektroenergetycznych</w:t>
      </w:r>
      <w:r w:rsidR="006D3FFC" w:rsidRPr="00EB2E7B">
        <w:rPr>
          <w:rFonts w:asciiTheme="minorHAnsi" w:hAnsiTheme="minorHAnsi" w:cstheme="minorHAnsi"/>
          <w:sz w:val="20"/>
          <w:szCs w:val="20"/>
        </w:rPr>
        <w:t xml:space="preserve"> SN/</w:t>
      </w:r>
      <w:proofErr w:type="spellStart"/>
      <w:r w:rsidR="006D3FFC"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w których jest realizowany pobór energii elektrycznej przez ACPRO od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w celu zasilania potrzeb własnych ACPRO związanych z wykonywaną działalnością gospodarczą w zakresie dystrybucji energii elektrycznej,</w:t>
      </w:r>
    </w:p>
    <w:p w14:paraId="5501357D" w14:textId="4DB31167" w:rsidR="00F61E69" w:rsidRPr="00EB2E7B" w:rsidRDefault="00F61E69" w:rsidP="00E636A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 pozostałych przypadkach – w miejscu wskazanym w umowie o przyłączenie lub umowie dystrybucyjnej albo umowie kompleksowej.</w:t>
      </w:r>
    </w:p>
    <w:p w14:paraId="2DC8E61C" w14:textId="5E6AAECB" w:rsidR="00F61E69" w:rsidRPr="00EB2E7B" w:rsidRDefault="00F61E6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Za zgodą ACPRO, w uzasadnionych technicznie przypadkach, dopuszcza się instalację układów pomiarowo-rozliczeniowych po stronie niskiego napięcia transformatora SN/</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dla układów pomiarowo-rozliczeniowych </w:t>
      </w:r>
      <w:r w:rsidR="00AC7EA7" w:rsidRPr="00EB2E7B">
        <w:rPr>
          <w:rFonts w:asciiTheme="minorHAnsi" w:hAnsiTheme="minorHAnsi" w:cstheme="minorHAnsi"/>
          <w:sz w:val="20"/>
          <w:szCs w:val="20"/>
        </w:rPr>
        <w:t xml:space="preserve">u odbiorców </w:t>
      </w:r>
      <w:r w:rsidRPr="00EB2E7B">
        <w:rPr>
          <w:rFonts w:asciiTheme="minorHAnsi" w:hAnsiTheme="minorHAnsi" w:cstheme="minorHAnsi"/>
          <w:sz w:val="20"/>
          <w:szCs w:val="20"/>
        </w:rPr>
        <w:t>kategorii B2</w:t>
      </w:r>
      <w:r w:rsidR="001F0A6D" w:rsidRPr="00EB2E7B">
        <w:rPr>
          <w:rFonts w:asciiTheme="minorHAnsi" w:hAnsiTheme="minorHAnsi" w:cstheme="minorHAnsi"/>
          <w:sz w:val="20"/>
          <w:szCs w:val="20"/>
        </w:rPr>
        <w:t> </w:t>
      </w:r>
      <w:r w:rsidRPr="00EB2E7B">
        <w:rPr>
          <w:rFonts w:asciiTheme="minorHAnsi" w:hAnsiTheme="minorHAnsi" w:cstheme="minorHAnsi"/>
          <w:sz w:val="20"/>
          <w:szCs w:val="20"/>
        </w:rPr>
        <w:t>i B1, o ile moc znamionowa transformatora jest nie większa niż 400 kVA.</w:t>
      </w:r>
    </w:p>
    <w:p w14:paraId="0F3083D6" w14:textId="7E06524D" w:rsidR="00F61E69" w:rsidRPr="00EB2E7B" w:rsidRDefault="00F61E6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W uzasadnionych przypadkach dopuszcza się w drodze umowy pomiędzy ACPRO a</w:t>
      </w:r>
      <w:r w:rsidR="00483B61" w:rsidRPr="00EB2E7B">
        <w:rPr>
          <w:rFonts w:asciiTheme="minorHAnsi" w:hAnsiTheme="minorHAnsi" w:cstheme="minorHAnsi"/>
          <w:sz w:val="20"/>
          <w:szCs w:val="20"/>
        </w:rPr>
        <w:t> </w:t>
      </w:r>
      <w:r w:rsidRPr="00EB2E7B">
        <w:rPr>
          <w:rFonts w:asciiTheme="minorHAnsi" w:hAnsiTheme="minorHAnsi" w:cstheme="minorHAnsi"/>
          <w:sz w:val="20"/>
          <w:szCs w:val="20"/>
        </w:rPr>
        <w:t>odbiorcą ustalenie innej lokalizacji instalacji układu pomiarowego.</w:t>
      </w:r>
    </w:p>
    <w:p w14:paraId="69AF8C6F" w14:textId="25318E3F" w:rsidR="00F61E69" w:rsidRPr="00EB2E7B" w:rsidRDefault="00F61E69" w:rsidP="0099115A">
      <w:pPr>
        <w:ind w:left="1134"/>
        <w:rPr>
          <w:rFonts w:asciiTheme="minorHAnsi" w:hAnsiTheme="minorHAnsi" w:cstheme="minorHAnsi"/>
          <w:sz w:val="20"/>
          <w:szCs w:val="20"/>
        </w:rPr>
      </w:pPr>
      <w:r w:rsidRPr="00EB2E7B">
        <w:rPr>
          <w:rFonts w:asciiTheme="minorHAnsi" w:hAnsiTheme="minorHAnsi" w:cstheme="minorHAnsi"/>
          <w:sz w:val="20"/>
          <w:szCs w:val="20"/>
        </w:rPr>
        <w:t>Zgoda ACPRO uwarunkowana jest akceptacją przez podmiot przyłączany lub odbiorcę, doliczenia ilości strat mocy i energii elektrycznej zapisanych w</w:t>
      </w:r>
      <w:r w:rsidR="001F0A6D" w:rsidRPr="00EB2E7B">
        <w:rPr>
          <w:rFonts w:asciiTheme="minorHAnsi" w:hAnsiTheme="minorHAnsi" w:cstheme="minorHAnsi"/>
          <w:sz w:val="20"/>
          <w:szCs w:val="20"/>
        </w:rPr>
        <w:t> </w:t>
      </w:r>
      <w:r w:rsidRPr="00EB2E7B">
        <w:rPr>
          <w:rFonts w:asciiTheme="minorHAnsi" w:hAnsiTheme="minorHAnsi" w:cstheme="minorHAnsi"/>
          <w:sz w:val="20"/>
          <w:szCs w:val="20"/>
        </w:rPr>
        <w:t>umowie o przyłączenie lub umowie dystrybucyjnej albo umowie kompleksowej.</w:t>
      </w:r>
    </w:p>
    <w:p w14:paraId="6B120A11" w14:textId="01D65CD3" w:rsidR="00473957" w:rsidRPr="00EB2E7B" w:rsidRDefault="001F0A6D" w:rsidP="00B25D97">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Podmioty przyłączone do sieci dystrybucyjnej ACPRO, będące Uczestnikami Rynku Bilansującego instalują układy pomiarowo-rozliczeniowe zgodnie z wymaganiami określonymi w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w:t>
      </w:r>
    </w:p>
    <w:p w14:paraId="2E191A13" w14:textId="6498E1B9" w:rsidR="00473957" w:rsidRPr="00EB2E7B" w:rsidRDefault="001F0A6D" w:rsidP="00B25D97">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ACPRO wraz z OSP i/lub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uzgadniają wspólne protokoły pobierania oraz przetwarzania danych pomiarowych z uwzględnieniem uregulowań prawnych i postanowień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dla potrzeb transmisji danych do OSP lub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oraz zabezpieczenia przed ich utratą.</w:t>
      </w:r>
    </w:p>
    <w:p w14:paraId="140A13F6" w14:textId="77777777" w:rsidR="002730D2" w:rsidRPr="00EB2E7B" w:rsidRDefault="002730D2" w:rsidP="00B25D97">
      <w:pPr>
        <w:pStyle w:val="Nagwek5"/>
        <w:ind w:left="1134" w:hanging="1134"/>
        <w:rPr>
          <w:rFonts w:asciiTheme="minorHAnsi" w:hAnsiTheme="minorHAnsi" w:cstheme="minorHAnsi"/>
          <w:sz w:val="20"/>
          <w:szCs w:val="20"/>
        </w:rPr>
      </w:pPr>
      <w:r w:rsidRPr="00EB2E7B">
        <w:rPr>
          <w:rFonts w:asciiTheme="minorHAnsi" w:eastAsiaTheme="minorEastAsia" w:hAnsiTheme="minorHAnsi" w:cstheme="minorHAnsi"/>
          <w:sz w:val="20"/>
          <w:szCs w:val="20"/>
        </w:rPr>
        <w:t xml:space="preserve">ACPRO uzgadniają protokół transmisji danych pomiarowych pomiędzy sobą oraz określają standard protokołu transmisji obowiązujący wszystkie podmioty przyłączone do sieci dystrybucyjnej. </w:t>
      </w:r>
    </w:p>
    <w:p w14:paraId="61AC7BAA" w14:textId="0645532A" w:rsidR="00473957" w:rsidRPr="00EB2E7B" w:rsidRDefault="001F0A6D" w:rsidP="00B25D97">
      <w:pPr>
        <w:pStyle w:val="Nagwek5"/>
        <w:ind w:left="1134" w:hanging="1134"/>
        <w:rPr>
          <w:rFonts w:asciiTheme="minorHAnsi" w:hAnsiTheme="minorHAnsi" w:cstheme="minorHAnsi"/>
          <w:sz w:val="20"/>
          <w:szCs w:val="20"/>
        </w:rPr>
      </w:pPr>
      <w:bookmarkStart w:id="146" w:name="_Ref151925494"/>
      <w:r w:rsidRPr="00EB2E7B">
        <w:rPr>
          <w:rFonts w:asciiTheme="minorHAnsi" w:hAnsiTheme="minorHAnsi" w:cstheme="minorHAnsi"/>
          <w:sz w:val="20"/>
          <w:szCs w:val="20"/>
        </w:rPr>
        <w:t>Rozwiązania techniczne poszczególnych układów pomiarowo-rozliczeniowych dzieli się na 6 kategorii:</w:t>
      </w:r>
      <w:bookmarkEnd w:id="146"/>
    </w:p>
    <w:p w14:paraId="3111048C" w14:textId="49E811D3" w:rsidR="002730D2" w:rsidRPr="00EB2E7B" w:rsidRDefault="00CC6847" w:rsidP="00B25D97">
      <w:pPr>
        <w:pStyle w:val="aprzed"/>
        <w:numPr>
          <w:ilvl w:val="0"/>
          <w:numId w:val="4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kategoria A - układy pomiarowo-rozliczeniowe dla urządzeń, instalacji lub sieci podmiotów zaliczonych do I </w:t>
      </w:r>
      <w:r w:rsidR="00045189" w:rsidRPr="00EB2E7B">
        <w:rPr>
          <w:rFonts w:asciiTheme="minorHAnsi" w:hAnsiTheme="minorHAnsi" w:cstheme="minorHAnsi"/>
          <w:sz w:val="20"/>
          <w:szCs w:val="20"/>
        </w:rPr>
        <w:t>lub</w:t>
      </w:r>
      <w:r w:rsidRPr="00EB2E7B">
        <w:rPr>
          <w:rFonts w:asciiTheme="minorHAnsi" w:hAnsiTheme="minorHAnsi" w:cstheme="minorHAnsi"/>
          <w:sz w:val="20"/>
          <w:szCs w:val="20"/>
        </w:rPr>
        <w:t xml:space="preserve"> II grupy przyłączeniowej niezależnie od mocy pobieranej lub wprowadzonej do sieci,</w:t>
      </w:r>
    </w:p>
    <w:p w14:paraId="5FB7A38F" w14:textId="32A4733C" w:rsidR="00A03261" w:rsidRPr="00EB2E7B" w:rsidRDefault="00A03261" w:rsidP="00A03261">
      <w:pPr>
        <w:pStyle w:val="aprzed"/>
        <w:numPr>
          <w:ilvl w:val="0"/>
          <w:numId w:val="44"/>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kategoria B3 - układy pomiarowo-rozliczeniowe dla urządzeń, instalacji lub sieci podmiotów zaliczonych do III grupy przyłączeniowej o mocy pobieranej lub wprowadzanej do sieci większej niż 5 MW,</w:t>
      </w:r>
    </w:p>
    <w:p w14:paraId="230A9917" w14:textId="77777777" w:rsidR="00A03261" w:rsidRPr="00EB2E7B" w:rsidRDefault="00A03261" w:rsidP="00A03261">
      <w:pPr>
        <w:pStyle w:val="aprzed"/>
        <w:numPr>
          <w:ilvl w:val="0"/>
          <w:numId w:val="44"/>
        </w:numPr>
        <w:ind w:left="1701" w:hanging="566"/>
        <w:rPr>
          <w:rFonts w:asciiTheme="minorHAnsi" w:hAnsiTheme="minorHAnsi" w:cstheme="minorHAnsi"/>
          <w:sz w:val="20"/>
          <w:szCs w:val="20"/>
        </w:rPr>
      </w:pPr>
      <w:r w:rsidRPr="00EB2E7B">
        <w:rPr>
          <w:rFonts w:asciiTheme="minorHAnsi" w:hAnsiTheme="minorHAnsi" w:cstheme="minorHAnsi"/>
          <w:sz w:val="20"/>
          <w:szCs w:val="20"/>
        </w:rPr>
        <w:t>kategoria B2 - układy pomiarowo-rozliczeniowe dla urządzeń, instalacji lub sieci podmiotów zaliczonych do III grupy przyłączeniowej, o mocy pobieranej lub wprowadzanej do sieci większej niż 40 kW i nie większej niż 5 MW,</w:t>
      </w:r>
    </w:p>
    <w:p w14:paraId="689FCFA9" w14:textId="77777777" w:rsidR="00A03261" w:rsidRPr="00EB2E7B" w:rsidRDefault="00A03261" w:rsidP="00A03261">
      <w:pPr>
        <w:pStyle w:val="aprzed"/>
        <w:numPr>
          <w:ilvl w:val="0"/>
          <w:numId w:val="44"/>
        </w:numPr>
        <w:ind w:left="1701" w:hanging="566"/>
        <w:rPr>
          <w:rFonts w:asciiTheme="minorHAnsi" w:hAnsiTheme="minorHAnsi" w:cstheme="minorHAnsi"/>
          <w:sz w:val="20"/>
          <w:szCs w:val="20"/>
        </w:rPr>
      </w:pPr>
      <w:r w:rsidRPr="00EB2E7B">
        <w:rPr>
          <w:rFonts w:asciiTheme="minorHAnsi" w:hAnsiTheme="minorHAnsi" w:cstheme="minorHAnsi"/>
          <w:sz w:val="20"/>
          <w:szCs w:val="20"/>
        </w:rPr>
        <w:t>kategoria B1 - układy pomiarowo-rozliczeniowe dla urządzeń, instalacji lub sieci podmiotów zaliczonych do III grupy przyłączeniowej, o mocy pobieranej lub wprowadzanej do sieci nie większej niż 40 kW,</w:t>
      </w:r>
    </w:p>
    <w:p w14:paraId="55EE6B19" w14:textId="77777777" w:rsidR="00A03261" w:rsidRPr="00EB2E7B" w:rsidRDefault="00A03261" w:rsidP="00A03261">
      <w:pPr>
        <w:pStyle w:val="aprzed"/>
        <w:numPr>
          <w:ilvl w:val="0"/>
          <w:numId w:val="44"/>
        </w:numPr>
        <w:ind w:left="1701" w:hanging="566"/>
        <w:rPr>
          <w:rFonts w:asciiTheme="minorHAnsi" w:hAnsiTheme="minorHAnsi" w:cstheme="minorHAnsi"/>
          <w:sz w:val="20"/>
          <w:szCs w:val="20"/>
        </w:rPr>
      </w:pPr>
      <w:r w:rsidRPr="00EB2E7B">
        <w:rPr>
          <w:rFonts w:asciiTheme="minorHAnsi" w:hAnsiTheme="minorHAnsi" w:cstheme="minorHAnsi"/>
          <w:sz w:val="20"/>
          <w:szCs w:val="20"/>
        </w:rPr>
        <w:t>kategoria C2 - układy pomiarowo-rozliczeniowe dla urządzeń, instalacji lub sieci podmiotów zaliczonych do IV grupy przyłączeniowej o mocy pobieranej lub wprowadzanej do sieci większej niż 40 kW,</w:t>
      </w:r>
    </w:p>
    <w:p w14:paraId="0519BEC4" w14:textId="368F7CB8" w:rsidR="00B25D97" w:rsidRPr="00EB2E7B" w:rsidRDefault="00A03261" w:rsidP="00A03261">
      <w:pPr>
        <w:pStyle w:val="aprzed"/>
        <w:numPr>
          <w:ilvl w:val="0"/>
          <w:numId w:val="4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kategoria C1 - układy pomiarowo-rozliczeniowe dla urządzeń, instalacji lub sieci podmiotów zaliczonych do V grupy przyłączeniowej o mocy pobieranej lub wprowadzanej do sieci nie większej niż 40 </w:t>
      </w:r>
      <w:proofErr w:type="spellStart"/>
      <w:r w:rsidRPr="00EB2E7B">
        <w:rPr>
          <w:rFonts w:asciiTheme="minorHAnsi" w:hAnsiTheme="minorHAnsi" w:cstheme="minorHAnsi"/>
          <w:sz w:val="20"/>
          <w:szCs w:val="20"/>
        </w:rPr>
        <w:t>kW.</w:t>
      </w:r>
      <w:proofErr w:type="spellEnd"/>
    </w:p>
    <w:p w14:paraId="3685A7A2" w14:textId="17423FC1" w:rsidR="001F0A6D" w:rsidRPr="00EB2E7B" w:rsidRDefault="001F0A6D"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Wartość mocy pobieranej lub wprowadzanej do sieci jest wyznaczana na podstawie wskazań licznika konwencjonalnego lub licznika zdalnego odczytu. W przypadku gdy wartość mocy pobieranej lub wprowadzanej do sieci przez podmiot jest nieznana, wartość mocy pobieranej lub wprowadzanej do sieci jest wyznaczana jako wartość mocy przyłączeniowej</w:t>
      </w:r>
      <w:r w:rsidR="00E4749E" w:rsidRPr="00EB2E7B">
        <w:rPr>
          <w:rFonts w:asciiTheme="minorHAnsi" w:hAnsiTheme="minorHAnsi" w:cstheme="minorHAnsi"/>
          <w:sz w:val="20"/>
          <w:szCs w:val="20"/>
        </w:rPr>
        <w:t xml:space="preserve"> odpowiednio pobieranej lub wprowadzanej</w:t>
      </w:r>
      <w:r w:rsidRPr="00EB2E7B">
        <w:rPr>
          <w:rFonts w:asciiTheme="minorHAnsi" w:hAnsiTheme="minorHAnsi" w:cstheme="minorHAnsi"/>
          <w:sz w:val="20"/>
          <w:szCs w:val="20"/>
        </w:rPr>
        <w:t>.</w:t>
      </w:r>
    </w:p>
    <w:p w14:paraId="1537A684" w14:textId="781B3118" w:rsidR="00473957" w:rsidRPr="00EB2E7B" w:rsidRDefault="001F0A6D"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Dla podmiotów zaliczonych do VI grupy przyłączeniowej stosuje się kategorię układu pomiarowo-rozliczeniowego odpowiednią do poziomu napięcia w miejscu przyłączenia podmiotu do sieci i mocy pobieranej lub wprowadzanej do sieci.</w:t>
      </w:r>
    </w:p>
    <w:p w14:paraId="755418CC" w14:textId="26389CEC" w:rsidR="00FB7EA3" w:rsidRPr="00EB2E7B" w:rsidRDefault="001F0A6D" w:rsidP="0048344E">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Liczniki </w:t>
      </w:r>
      <w:r w:rsidR="0076264A" w:rsidRPr="00EB2E7B">
        <w:rPr>
          <w:rFonts w:asciiTheme="minorHAnsi" w:hAnsiTheme="minorHAnsi" w:cstheme="minorHAnsi"/>
          <w:sz w:val="20"/>
          <w:szCs w:val="20"/>
        </w:rPr>
        <w:t xml:space="preserve">energii elektrycznej </w:t>
      </w:r>
      <w:r w:rsidRPr="00EB2E7B">
        <w:rPr>
          <w:rFonts w:asciiTheme="minorHAnsi" w:hAnsiTheme="minorHAnsi" w:cstheme="minorHAnsi"/>
          <w:sz w:val="20"/>
          <w:szCs w:val="20"/>
        </w:rPr>
        <w:t xml:space="preserve">powinny </w:t>
      </w:r>
      <w:r w:rsidR="00AC4C37" w:rsidRPr="00EB2E7B">
        <w:rPr>
          <w:rFonts w:asciiTheme="minorHAnsi" w:hAnsiTheme="minorHAnsi" w:cstheme="minorHAnsi"/>
          <w:sz w:val="20"/>
          <w:szCs w:val="20"/>
        </w:rPr>
        <w:t xml:space="preserve">posiadać </w:t>
      </w:r>
      <w:r w:rsidR="005323D7" w:rsidRPr="00EB2E7B">
        <w:rPr>
          <w:rFonts w:asciiTheme="minorHAnsi" w:hAnsiTheme="minorHAnsi" w:cstheme="minorHAnsi"/>
          <w:sz w:val="20"/>
          <w:szCs w:val="20"/>
        </w:rPr>
        <w:t xml:space="preserve">co najmniej klasę </w:t>
      </w:r>
      <w:r w:rsidR="00786E0F" w:rsidRPr="00EB2E7B">
        <w:rPr>
          <w:rFonts w:asciiTheme="minorHAnsi" w:hAnsiTheme="minorHAnsi" w:cstheme="minorHAnsi"/>
          <w:sz w:val="20"/>
          <w:szCs w:val="20"/>
        </w:rPr>
        <w:t xml:space="preserve">dokładności odpowiednią dla kategorii pomiaru oraz </w:t>
      </w:r>
      <w:r w:rsidRPr="00EB2E7B">
        <w:rPr>
          <w:rFonts w:asciiTheme="minorHAnsi" w:hAnsiTheme="minorHAnsi" w:cstheme="minorHAnsi"/>
          <w:sz w:val="20"/>
          <w:szCs w:val="20"/>
        </w:rPr>
        <w:t>umożliwiać</w:t>
      </w:r>
      <w:r w:rsidR="00786E0F" w:rsidRPr="00EB2E7B">
        <w:rPr>
          <w:rFonts w:asciiTheme="minorHAnsi" w:hAnsiTheme="minorHAnsi" w:cstheme="minorHAnsi"/>
          <w:sz w:val="20"/>
          <w:szCs w:val="20"/>
        </w:rPr>
        <w:t>:</w:t>
      </w:r>
    </w:p>
    <w:p w14:paraId="17ABFBDB" w14:textId="1B111925" w:rsidR="0048344E" w:rsidRPr="00EB2E7B" w:rsidRDefault="00635AF1" w:rsidP="00E636A2">
      <w:pPr>
        <w:pStyle w:val="Akapitzlist"/>
        <w:numPr>
          <w:ilvl w:val="0"/>
          <w:numId w:val="41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dwukierunkowy pomiar energii czynnej oraz biernej dla wytwórców i</w:t>
      </w:r>
      <w:r w:rsidR="00B85398" w:rsidRPr="00EB2E7B">
        <w:rPr>
          <w:rFonts w:asciiTheme="minorHAnsi" w:hAnsiTheme="minorHAnsi" w:cstheme="minorHAnsi"/>
          <w:sz w:val="20"/>
          <w:szCs w:val="20"/>
        </w:rPr>
        <w:t> </w:t>
      </w:r>
      <w:r w:rsidRPr="00EB2E7B">
        <w:rPr>
          <w:rFonts w:asciiTheme="minorHAnsi" w:hAnsiTheme="minorHAnsi" w:cstheme="minorHAnsi"/>
          <w:sz w:val="20"/>
          <w:szCs w:val="20"/>
        </w:rPr>
        <w:t>odbiorców posiadających źródła wytwórcze mierzony w czterech kwadrantach z rejestracją profili obciążenia,</w:t>
      </w:r>
    </w:p>
    <w:p w14:paraId="15EA7D46" w14:textId="5453067E" w:rsidR="00B85398" w:rsidRPr="00EB2E7B" w:rsidRDefault="007B02F3" w:rsidP="00E636A2">
      <w:pPr>
        <w:pStyle w:val="Akapitzlist"/>
        <w:numPr>
          <w:ilvl w:val="0"/>
          <w:numId w:val="41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jednokierunkowy pomiar energii czynnej i dwukierunkowy pomiar energii biernej z rejestracją profili obciążenia dla odbiorców nie posiadających źródeł wytwórczych oraz mocy przyłączeniowej większej niż 40 kW,</w:t>
      </w:r>
    </w:p>
    <w:p w14:paraId="4CC76EB5" w14:textId="7257B966" w:rsidR="00FD3065" w:rsidRPr="00EB2E7B" w:rsidRDefault="009874CB" w:rsidP="00E636A2">
      <w:pPr>
        <w:pStyle w:val="Akapitzlist"/>
        <w:numPr>
          <w:ilvl w:val="0"/>
          <w:numId w:val="41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jednokierunkowy pomiar energii czynnej, a w uzasadnionych przypadkach pomiar energii biernej – dotyczy tylko układów pomiarowo-rozliczeniowych odbiorców zaliczonych do kategorii C1,</w:t>
      </w:r>
    </w:p>
    <w:p w14:paraId="6F130F21" w14:textId="6AB79272" w:rsidR="009874CB" w:rsidRPr="00EB2E7B" w:rsidRDefault="005A7A35" w:rsidP="00E636A2">
      <w:pPr>
        <w:pStyle w:val="Akapitzlist"/>
        <w:numPr>
          <w:ilvl w:val="0"/>
          <w:numId w:val="41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jednokierunkowy pomiar energii czynnej z rejestracją profilu obciążenia – dla pomiaru na zaciskach napięcia przemiennego źródła wytwórczego, w celu potwierdzania ilości energii wytworzonej</w:t>
      </w:r>
      <w:r w:rsidR="00DE1128" w:rsidRPr="00EB2E7B">
        <w:rPr>
          <w:rFonts w:asciiTheme="minorHAnsi" w:hAnsiTheme="minorHAnsi" w:cstheme="minorHAnsi"/>
          <w:sz w:val="20"/>
          <w:szCs w:val="20"/>
        </w:rPr>
        <w:t>.</w:t>
      </w:r>
    </w:p>
    <w:p w14:paraId="55378CAF" w14:textId="5D20D4A2" w:rsidR="00473957" w:rsidRPr="00EB2E7B" w:rsidRDefault="001F0A6D" w:rsidP="00A03261">
      <w:pPr>
        <w:pStyle w:val="Nagwek5"/>
        <w:ind w:left="1134" w:hanging="1134"/>
        <w:rPr>
          <w:rFonts w:asciiTheme="minorHAnsi" w:hAnsiTheme="minorHAnsi" w:cstheme="minorHAnsi"/>
          <w:sz w:val="20"/>
          <w:szCs w:val="20"/>
        </w:rPr>
      </w:pPr>
      <w:r>
        <w:rPr>
          <w:rFonts w:asciiTheme="minorHAnsi" w:hAnsiTheme="minorHAnsi" w:cstheme="minorHAnsi"/>
          <w:sz w:val="20"/>
          <w:szCs w:val="20"/>
        </w:rPr>
        <w:t>Dane pomiarowe z układów pomiarowo-rozliczeniowych są pozyskiwane i przekazywane do LSPR, a od dnia przystąpienia ACPRO do CSIRE — do systemu pomiarowego. Wymagania dotyczące technologii transmisji danych określa ACPRO.</w:t>
      </w:r>
    </w:p>
    <w:p w14:paraId="24DC0343" w14:textId="731C706B" w:rsidR="007E4FC5" w:rsidRPr="00EB2E7B" w:rsidRDefault="00F01491" w:rsidP="00E636A2">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Wymagania co do szybkości, częstości i jakości transmisji danych kanałami telekomunikacyjnymi określa ACPRO.</w:t>
      </w:r>
    </w:p>
    <w:p w14:paraId="35D1D6B3" w14:textId="6BEB6306" w:rsidR="002730D2" w:rsidRPr="00EB2E7B" w:rsidRDefault="001F0A6D" w:rsidP="00A03261">
      <w:pPr>
        <w:pStyle w:val="Nagwek5"/>
        <w:ind w:left="1134" w:hanging="1134"/>
        <w:rPr>
          <w:rFonts w:asciiTheme="minorHAnsi" w:eastAsiaTheme="minorEastAsia" w:hAnsiTheme="minorHAnsi" w:cstheme="minorHAnsi"/>
          <w:sz w:val="20"/>
          <w:szCs w:val="20"/>
        </w:rPr>
      </w:pPr>
      <w:r w:rsidRPr="00EB2E7B">
        <w:rPr>
          <w:rFonts w:asciiTheme="minorHAnsi" w:eastAsiaTheme="minorEastAsia" w:hAnsiTheme="minorHAnsi" w:cstheme="minorHAnsi"/>
          <w:sz w:val="20"/>
          <w:szCs w:val="20"/>
        </w:rPr>
        <w:t xml:space="preserve">Dla układów pomiarowo-rozliczeniowych kategorii B3 wymagane jest stosowanie dwóch układów pomiarowo-rozliczeniowych – układu pomiarowo-rozliczeniowego podstawowego i układu pomiarowo-rozliczeniowego rezerwowego. </w:t>
      </w:r>
    </w:p>
    <w:p w14:paraId="0317DCA6" w14:textId="55329F01" w:rsidR="00473957" w:rsidRPr="00EB2E7B" w:rsidRDefault="001F0A6D" w:rsidP="00A03261">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Miejsce zainstalowania układu pomiarowo-rozliczeniowego określa ACPRO, w warunkach przyłączenia. Dodatkowo informacja o miejscu zainstalowania układu pomiarowo-rozliczeniowego może być zawarta w umowie dystrybucji albo w umowie kompleksowej.</w:t>
      </w:r>
    </w:p>
    <w:p w14:paraId="31386845" w14:textId="61CEF961" w:rsidR="001F0A6D" w:rsidRPr="00EB2E7B" w:rsidRDefault="001F0A6D"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w:t>
      </w:r>
      <w:r w:rsidR="00CC6847" w:rsidRPr="00EB2E7B">
        <w:rPr>
          <w:rFonts w:asciiTheme="minorHAnsi" w:hAnsiTheme="minorHAnsi" w:cstheme="minorHAnsi"/>
          <w:sz w:val="20"/>
          <w:szCs w:val="20"/>
        </w:rPr>
        <w:t xml:space="preserve">przypadku podmiotów zaliczonych do I, II, III i VI grupy przyłączeniowej zasilanych z sieci o napięciu znamionowym wyższym niż 1 </w:t>
      </w:r>
      <w:proofErr w:type="spellStart"/>
      <w:r w:rsidR="00CC6847" w:rsidRPr="00EB2E7B">
        <w:rPr>
          <w:rFonts w:asciiTheme="minorHAnsi" w:hAnsiTheme="minorHAnsi" w:cstheme="minorHAnsi"/>
          <w:sz w:val="20"/>
          <w:szCs w:val="20"/>
        </w:rPr>
        <w:t>kV</w:t>
      </w:r>
      <w:proofErr w:type="spellEnd"/>
      <w:r w:rsidR="00CC6847" w:rsidRPr="00EB2E7B">
        <w:rPr>
          <w:rFonts w:asciiTheme="minorHAnsi" w:hAnsiTheme="minorHAnsi" w:cstheme="minorHAnsi"/>
          <w:sz w:val="20"/>
          <w:szCs w:val="20"/>
        </w:rPr>
        <w:t>, podmiot ten odpowiada za przygotowanie miejsca zainstalowania licznika zdalnego odczytu lub licznika konwencjonalnego, w przypadku układu pomiarowo-rozliczeniowego zlokalizowanego w obiekcie będącym w eksploatacji tego podmiotu.</w:t>
      </w:r>
    </w:p>
    <w:p w14:paraId="120AD8DC" w14:textId="5C04E20D" w:rsidR="001F0A6D" w:rsidRPr="00EB2E7B" w:rsidRDefault="001F0A6D"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podmiotów zaliczonych do IV, V i VI grupy przyłączeniowej zasilanych z sieci o napięciu znamionowym nie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podmiot ten odpowiada za przygotowanie miejsca zainstalowania układu pomiarowo-rozliczeniowego, w przypadku układu pomiarowo-rozliczeniowego zlokalizowanego w obiekcie przyłączonym do sieci.</w:t>
      </w:r>
    </w:p>
    <w:p w14:paraId="45788A32" w14:textId="7F6DFD28" w:rsidR="00473957" w:rsidRPr="00EB2E7B" w:rsidRDefault="00CC6847" w:rsidP="00A03261">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Przekładniki prądowe i napięciowe powinny być zainstalowane w każdej z faz i dobrane zgodnie z kategorią układu pomiarowo-rozliczeniowego określoną w pkt</w:t>
      </w:r>
      <w:r w:rsidR="00285B4C" w:rsidRPr="00EB2E7B">
        <w:rPr>
          <w:rFonts w:asciiTheme="minorHAnsi" w:hAnsiTheme="minorHAnsi" w:cstheme="minorHAnsi"/>
          <w:sz w:val="20"/>
          <w:szCs w:val="20"/>
        </w:rPr>
        <w:t xml:space="preserve"> </w:t>
      </w:r>
      <w:r w:rsidR="00285B4C" w:rsidRPr="00EB2E7B">
        <w:rPr>
          <w:rFonts w:asciiTheme="minorHAnsi" w:hAnsiTheme="minorHAnsi" w:cstheme="minorHAnsi"/>
          <w:sz w:val="20"/>
          <w:szCs w:val="20"/>
        </w:rPr>
        <w:fldChar w:fldCharType="begin"/>
      </w:r>
      <w:r w:rsidR="00285B4C" w:rsidRPr="00EB2E7B">
        <w:rPr>
          <w:rFonts w:asciiTheme="minorHAnsi" w:hAnsiTheme="minorHAnsi" w:cstheme="minorHAnsi"/>
          <w:sz w:val="20"/>
          <w:szCs w:val="20"/>
        </w:rPr>
        <w:instrText xml:space="preserve"> REF _Ref180153040 \w \h  \* MERGEFORMAT </w:instrText>
      </w:r>
      <w:r w:rsidR="00285B4C" w:rsidRPr="00EB2E7B">
        <w:rPr>
          <w:rFonts w:asciiTheme="minorHAnsi" w:hAnsiTheme="minorHAnsi" w:cstheme="minorHAnsi"/>
          <w:sz w:val="20"/>
          <w:szCs w:val="20"/>
        </w:rPr>
      </w:r>
      <w:r w:rsidR="00285B4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II.4.7.2</w:t>
      </w:r>
      <w:r w:rsidR="00285B4C"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EE7AAC" w:rsidRPr="00EB2E7B">
        <w:rPr>
          <w:rFonts w:asciiTheme="minorHAnsi" w:hAnsiTheme="minorHAnsi" w:cstheme="minorHAnsi"/>
          <w:sz w:val="20"/>
          <w:szCs w:val="20"/>
        </w:rPr>
        <w:t>oraz</w:t>
      </w:r>
      <w:r w:rsidR="00285B4C" w:rsidRPr="00EB2E7B">
        <w:rPr>
          <w:rFonts w:asciiTheme="minorHAnsi" w:hAnsiTheme="minorHAnsi" w:cstheme="minorHAnsi"/>
          <w:sz w:val="20"/>
          <w:szCs w:val="20"/>
        </w:rPr>
        <w:t xml:space="preserve"> </w:t>
      </w:r>
      <w:r w:rsidR="00285B4C" w:rsidRPr="00EB2E7B">
        <w:rPr>
          <w:rFonts w:asciiTheme="minorHAnsi" w:hAnsiTheme="minorHAnsi" w:cstheme="minorHAnsi"/>
          <w:sz w:val="20"/>
          <w:szCs w:val="20"/>
        </w:rPr>
        <w:fldChar w:fldCharType="begin"/>
      </w:r>
      <w:r w:rsidR="00285B4C" w:rsidRPr="00EB2E7B">
        <w:rPr>
          <w:rFonts w:asciiTheme="minorHAnsi" w:hAnsiTheme="minorHAnsi" w:cstheme="minorHAnsi"/>
          <w:sz w:val="20"/>
          <w:szCs w:val="20"/>
        </w:rPr>
        <w:instrText xml:space="preserve"> REF _Ref180153046 \w \h  \* MERGEFORMAT </w:instrText>
      </w:r>
      <w:r w:rsidR="00285B4C" w:rsidRPr="00EB2E7B">
        <w:rPr>
          <w:rFonts w:asciiTheme="minorHAnsi" w:hAnsiTheme="minorHAnsi" w:cstheme="minorHAnsi"/>
          <w:sz w:val="20"/>
          <w:szCs w:val="20"/>
        </w:rPr>
      </w:r>
      <w:r w:rsidR="00285B4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II.4.7.3</w:t>
      </w:r>
      <w:r w:rsidR="00285B4C"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007C1C8E" w:rsidRPr="00EB2E7B">
        <w:rPr>
          <w:rFonts w:asciiTheme="minorHAnsi" w:hAnsiTheme="minorHAnsi" w:cstheme="minorHAnsi"/>
          <w:sz w:val="20"/>
          <w:szCs w:val="20"/>
        </w:rPr>
        <w:t xml:space="preserve"> </w:t>
      </w:r>
      <w:r w:rsidR="001F0A6D" w:rsidRPr="00EB2E7B">
        <w:rPr>
          <w:rFonts w:asciiTheme="minorHAnsi" w:hAnsiTheme="minorHAnsi" w:cstheme="minorHAnsi"/>
          <w:sz w:val="20"/>
          <w:szCs w:val="20"/>
        </w:rPr>
        <w:t xml:space="preserve">Prąd znamionowy </w:t>
      </w:r>
      <w:r w:rsidR="00832F01" w:rsidRPr="00EB2E7B">
        <w:rPr>
          <w:rFonts w:asciiTheme="minorHAnsi" w:hAnsiTheme="minorHAnsi" w:cstheme="minorHAnsi"/>
          <w:sz w:val="20"/>
          <w:szCs w:val="20"/>
        </w:rPr>
        <w:t xml:space="preserve">strony pierwotnej </w:t>
      </w:r>
      <w:r w:rsidR="001F0A6D" w:rsidRPr="00EB2E7B">
        <w:rPr>
          <w:rFonts w:asciiTheme="minorHAnsi" w:hAnsiTheme="minorHAnsi" w:cstheme="minorHAnsi"/>
          <w:sz w:val="20"/>
          <w:szCs w:val="20"/>
        </w:rPr>
        <w:t>przekładników prądowych winien być dostosowany do mocy umownej</w:t>
      </w:r>
      <w:r w:rsidR="00024DD7" w:rsidRPr="00EB2E7B">
        <w:rPr>
          <w:rFonts w:asciiTheme="minorHAnsi" w:hAnsiTheme="minorHAnsi" w:cstheme="minorHAnsi"/>
          <w:sz w:val="20"/>
          <w:szCs w:val="20"/>
        </w:rPr>
        <w:t xml:space="preserve"> i mocy przyłączeniowej</w:t>
      </w:r>
      <w:r w:rsidR="001F0A6D" w:rsidRPr="00EB2E7B">
        <w:rPr>
          <w:rFonts w:asciiTheme="minorHAnsi" w:hAnsiTheme="minorHAnsi" w:cstheme="minorHAnsi"/>
          <w:sz w:val="20"/>
          <w:szCs w:val="20"/>
        </w:rPr>
        <w:t xml:space="preserve"> tak aby prąd</w:t>
      </w:r>
      <w:r w:rsidR="00795870" w:rsidRPr="00EB2E7B">
        <w:rPr>
          <w:rFonts w:asciiTheme="minorHAnsi" w:hAnsiTheme="minorHAnsi" w:cstheme="minorHAnsi"/>
          <w:sz w:val="20"/>
          <w:szCs w:val="20"/>
        </w:rPr>
        <w:t>y</w:t>
      </w:r>
      <w:r w:rsidR="001F0A6D" w:rsidRPr="00EB2E7B">
        <w:rPr>
          <w:rFonts w:asciiTheme="minorHAnsi" w:hAnsiTheme="minorHAnsi" w:cstheme="minorHAnsi"/>
          <w:sz w:val="20"/>
          <w:szCs w:val="20"/>
        </w:rPr>
        <w:t xml:space="preserve"> pierwotn</w:t>
      </w:r>
      <w:r w:rsidR="00795870" w:rsidRPr="00EB2E7B">
        <w:rPr>
          <w:rFonts w:asciiTheme="minorHAnsi" w:hAnsiTheme="minorHAnsi" w:cstheme="minorHAnsi"/>
          <w:sz w:val="20"/>
          <w:szCs w:val="20"/>
        </w:rPr>
        <w:t>e</w:t>
      </w:r>
      <w:r w:rsidR="001F0A6D" w:rsidRPr="00EB2E7B">
        <w:rPr>
          <w:rFonts w:asciiTheme="minorHAnsi" w:hAnsiTheme="minorHAnsi" w:cstheme="minorHAnsi"/>
          <w:sz w:val="20"/>
          <w:szCs w:val="20"/>
        </w:rPr>
        <w:t xml:space="preserve"> </w:t>
      </w:r>
      <w:r w:rsidR="00795870" w:rsidRPr="00EB2E7B">
        <w:rPr>
          <w:rFonts w:asciiTheme="minorHAnsi" w:hAnsiTheme="minorHAnsi" w:cstheme="minorHAnsi"/>
          <w:sz w:val="20"/>
          <w:szCs w:val="20"/>
        </w:rPr>
        <w:t xml:space="preserve">wynikające </w:t>
      </w:r>
      <w:r w:rsidR="001F0A6D" w:rsidRPr="00EB2E7B">
        <w:rPr>
          <w:rFonts w:asciiTheme="minorHAnsi" w:hAnsiTheme="minorHAnsi" w:cstheme="minorHAnsi"/>
          <w:sz w:val="20"/>
          <w:szCs w:val="20"/>
        </w:rPr>
        <w:t xml:space="preserve">z mocy umownej </w:t>
      </w:r>
      <w:r w:rsidR="00795870" w:rsidRPr="00EB2E7B">
        <w:rPr>
          <w:rFonts w:asciiTheme="minorHAnsi" w:hAnsiTheme="minorHAnsi" w:cstheme="minorHAnsi"/>
          <w:sz w:val="20"/>
          <w:szCs w:val="20"/>
        </w:rPr>
        <w:t xml:space="preserve">i mocy przyłączeniowej </w:t>
      </w:r>
      <w:r w:rsidR="001F0A6D" w:rsidRPr="00EB2E7B">
        <w:rPr>
          <w:rFonts w:asciiTheme="minorHAnsi" w:hAnsiTheme="minorHAnsi" w:cstheme="minorHAnsi"/>
          <w:sz w:val="20"/>
          <w:szCs w:val="20"/>
        </w:rPr>
        <w:t>mieścił</w:t>
      </w:r>
      <w:r w:rsidR="00795870" w:rsidRPr="00EB2E7B">
        <w:rPr>
          <w:rFonts w:asciiTheme="minorHAnsi" w:hAnsiTheme="minorHAnsi" w:cstheme="minorHAnsi"/>
          <w:sz w:val="20"/>
          <w:szCs w:val="20"/>
        </w:rPr>
        <w:t>y</w:t>
      </w:r>
      <w:r w:rsidR="001F0A6D" w:rsidRPr="00EB2E7B">
        <w:rPr>
          <w:rFonts w:asciiTheme="minorHAnsi" w:hAnsiTheme="minorHAnsi" w:cstheme="minorHAnsi"/>
          <w:sz w:val="20"/>
          <w:szCs w:val="20"/>
        </w:rPr>
        <w:t xml:space="preserve"> się w granicach:</w:t>
      </w:r>
      <w:r w:rsidR="0077111A" w:rsidRPr="00EB2E7B">
        <w:rPr>
          <w:rFonts w:asciiTheme="minorHAnsi" w:hAnsiTheme="minorHAnsi" w:cstheme="minorHAnsi"/>
          <w:sz w:val="20"/>
          <w:szCs w:val="20"/>
        </w:rPr>
        <w:t xml:space="preserve"> </w:t>
      </w:r>
    </w:p>
    <w:p w14:paraId="5515FEFD" w14:textId="7C814ABD" w:rsidR="00473957" w:rsidRPr="00EB2E7B" w:rsidRDefault="001F0A6D" w:rsidP="008B38A4">
      <w:pPr>
        <w:pStyle w:val="aprzed"/>
        <w:numPr>
          <w:ilvl w:val="0"/>
          <w:numId w:val="45"/>
        </w:numPr>
        <w:ind w:left="1701" w:hanging="566"/>
        <w:rPr>
          <w:rFonts w:asciiTheme="minorHAnsi" w:hAnsiTheme="minorHAnsi" w:cstheme="minorHAnsi"/>
          <w:sz w:val="20"/>
          <w:szCs w:val="20"/>
        </w:rPr>
      </w:pPr>
      <w:r w:rsidRPr="00EB2E7B">
        <w:rPr>
          <w:rFonts w:asciiTheme="minorHAnsi" w:hAnsiTheme="minorHAnsi" w:cstheme="minorHAnsi"/>
          <w:sz w:val="20"/>
          <w:szCs w:val="20"/>
        </w:rPr>
        <w:t>20 – 120 % ich prądu znamionowego dla klasy 0,5, albo</w:t>
      </w:r>
    </w:p>
    <w:p w14:paraId="47E405DA" w14:textId="21492B31" w:rsidR="00473957" w:rsidRPr="00EB2E7B" w:rsidRDefault="001F0A6D" w:rsidP="008B38A4">
      <w:pPr>
        <w:pStyle w:val="aprzed"/>
        <w:numPr>
          <w:ilvl w:val="0"/>
          <w:numId w:val="45"/>
        </w:numPr>
        <w:ind w:left="1701" w:hanging="566"/>
        <w:rPr>
          <w:rFonts w:asciiTheme="minorHAnsi" w:hAnsiTheme="minorHAnsi" w:cstheme="minorHAnsi"/>
          <w:sz w:val="20"/>
          <w:szCs w:val="20"/>
        </w:rPr>
      </w:pPr>
      <w:r w:rsidRPr="00EB2E7B">
        <w:rPr>
          <w:rFonts w:asciiTheme="minorHAnsi" w:hAnsiTheme="minorHAnsi" w:cstheme="minorHAnsi"/>
          <w:sz w:val="20"/>
          <w:szCs w:val="20"/>
        </w:rPr>
        <w:t>5 – 120 % ich prądu znamionowego dla klasy 0,2 lub 0,5S, albo</w:t>
      </w:r>
    </w:p>
    <w:p w14:paraId="11C16326" w14:textId="75B6934A" w:rsidR="00473957" w:rsidRPr="00EB2E7B" w:rsidRDefault="001F0A6D" w:rsidP="008B38A4">
      <w:pPr>
        <w:pStyle w:val="aprzed"/>
        <w:numPr>
          <w:ilvl w:val="0"/>
          <w:numId w:val="45"/>
        </w:numPr>
        <w:ind w:left="1701" w:hanging="566"/>
        <w:rPr>
          <w:rFonts w:asciiTheme="minorHAnsi" w:hAnsiTheme="minorHAnsi" w:cstheme="minorHAnsi"/>
          <w:sz w:val="20"/>
          <w:szCs w:val="20"/>
        </w:rPr>
      </w:pPr>
      <w:r w:rsidRPr="00EB2E7B">
        <w:rPr>
          <w:rFonts w:asciiTheme="minorHAnsi" w:hAnsiTheme="minorHAnsi" w:cstheme="minorHAnsi"/>
          <w:sz w:val="20"/>
          <w:szCs w:val="20"/>
        </w:rPr>
        <w:t>1 – 120 % ich prądu znamionowego dla klasy 0,2S</w:t>
      </w:r>
      <w:r w:rsidR="0077111A" w:rsidRPr="00EB2E7B">
        <w:rPr>
          <w:rFonts w:asciiTheme="minorHAnsi" w:hAnsiTheme="minorHAnsi" w:cstheme="minorHAnsi"/>
          <w:sz w:val="20"/>
          <w:szCs w:val="20"/>
        </w:rPr>
        <w:t>.</w:t>
      </w:r>
    </w:p>
    <w:p w14:paraId="20E70BF7" w14:textId="77777777" w:rsidR="001F0A6D" w:rsidRPr="00EB2E7B" w:rsidRDefault="001F0A6D"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W uzasadnionych przypadkach, za zgodą ACPRO, dopuszcza się stosowanie przekładników prądowych o przeciążalności do 200% prądu znamionowego, przy zachowaniu dokładności pomiaru wymaganego w danej klasie.</w:t>
      </w:r>
    </w:p>
    <w:p w14:paraId="4305724F" w14:textId="3378ADB2" w:rsidR="00473957" w:rsidRPr="00EB2E7B" w:rsidRDefault="001F0A6D"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Przekładniki prądowe i napięciowe powinny być tak dobrane, aby obciążenie strony wtórnej zawierało się mi</w:t>
      </w:r>
      <w:r w:rsidR="002102C1" w:rsidRPr="00EB2E7B">
        <w:rPr>
          <w:rFonts w:asciiTheme="minorHAnsi" w:hAnsiTheme="minorHAnsi" w:cstheme="minorHAnsi"/>
          <w:sz w:val="20"/>
          <w:szCs w:val="20"/>
        </w:rPr>
        <w:t>ę</w:t>
      </w:r>
      <w:r w:rsidRPr="00EB2E7B">
        <w:rPr>
          <w:rFonts w:asciiTheme="minorHAnsi" w:hAnsiTheme="minorHAnsi" w:cstheme="minorHAnsi"/>
          <w:sz w:val="20"/>
          <w:szCs w:val="20"/>
        </w:rPr>
        <w:t>dzy 25%, a 100% wartości nominalnej mocy uzwojeń/rdzeni przekładników.</w:t>
      </w:r>
      <w:r w:rsidR="00282202" w:rsidRPr="00EB2E7B">
        <w:rPr>
          <w:rFonts w:asciiTheme="minorHAnsi" w:hAnsiTheme="minorHAnsi" w:cstheme="minorHAnsi"/>
          <w:sz w:val="20"/>
          <w:szCs w:val="20"/>
        </w:rPr>
        <w:t xml:space="preserve"> W przypadku przekładników, których parametry znamionowe umożliwiają obciążenie strony wtórnej w innym zakresie, obciążenie strony wtórnej należy dobierać do znamionowego zakresu obciążalności przekładników.</w:t>
      </w:r>
    </w:p>
    <w:p w14:paraId="42FF21CE" w14:textId="37AC66EC" w:rsidR="00473957" w:rsidRPr="00EB2E7B" w:rsidRDefault="001F0A6D"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Do uzwojenia wtórnego przekładników prądowych i napięciowych w układach pomiarowo-rozliczeniowych nie można przyłączać innych przyrządów poza licznikami energii elektrycznej i analizatorami jakości energii elektrycznej. W</w:t>
      </w:r>
      <w:r w:rsidR="008B38A4" w:rsidRPr="00EB2E7B">
        <w:rPr>
          <w:rFonts w:asciiTheme="minorHAnsi" w:hAnsiTheme="minorHAnsi" w:cstheme="minorHAnsi"/>
          <w:sz w:val="20"/>
          <w:szCs w:val="20"/>
        </w:rPr>
        <w:t> </w:t>
      </w:r>
      <w:r w:rsidRPr="00EB2E7B">
        <w:rPr>
          <w:rFonts w:asciiTheme="minorHAnsi" w:hAnsiTheme="minorHAnsi" w:cstheme="minorHAnsi"/>
          <w:sz w:val="20"/>
          <w:szCs w:val="20"/>
        </w:rPr>
        <w:t>uzasadnionych przypadkach dopuszcza się dociążenie przekładników prądowych i napięciowych atestowanymi rezystorami dociążającymi instalowanymi w</w:t>
      </w:r>
      <w:r w:rsidR="00587AEA" w:rsidRPr="00EB2E7B">
        <w:rPr>
          <w:rFonts w:asciiTheme="minorHAnsi" w:hAnsiTheme="minorHAnsi" w:cstheme="minorHAnsi"/>
          <w:sz w:val="20"/>
          <w:szCs w:val="20"/>
        </w:rPr>
        <w:t> </w:t>
      </w:r>
      <w:r w:rsidRPr="00EB2E7B">
        <w:rPr>
          <w:rFonts w:asciiTheme="minorHAnsi" w:hAnsiTheme="minorHAnsi" w:cstheme="minorHAnsi"/>
          <w:sz w:val="20"/>
          <w:szCs w:val="20"/>
        </w:rPr>
        <w:t>obudowach przystosowanych do plombowania.</w:t>
      </w:r>
      <w:r w:rsidR="0077111A" w:rsidRPr="00EB2E7B">
        <w:rPr>
          <w:rFonts w:asciiTheme="minorHAnsi" w:hAnsiTheme="minorHAnsi" w:cstheme="minorHAnsi"/>
          <w:sz w:val="20"/>
          <w:szCs w:val="20"/>
        </w:rPr>
        <w:t xml:space="preserve"> </w:t>
      </w:r>
    </w:p>
    <w:p w14:paraId="50C0C542" w14:textId="5C171E29" w:rsidR="00473957" w:rsidRPr="00EB2E7B" w:rsidRDefault="0077111A"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Współczynnik bezpieczeństwa przyrządu (FS) dla przekładników prądowych  w</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układach pomiarow</w:t>
      </w:r>
      <w:r w:rsidR="00F27BD9" w:rsidRPr="00EB2E7B">
        <w:rPr>
          <w:rFonts w:asciiTheme="minorHAnsi" w:hAnsiTheme="minorHAnsi" w:cstheme="minorHAnsi"/>
          <w:sz w:val="20"/>
          <w:szCs w:val="20"/>
        </w:rPr>
        <w:t>o-rozliczeniowych</w:t>
      </w:r>
      <w:r w:rsidRPr="00EB2E7B">
        <w:rPr>
          <w:rFonts w:asciiTheme="minorHAnsi" w:hAnsiTheme="minorHAnsi" w:cstheme="minorHAnsi"/>
          <w:sz w:val="20"/>
          <w:szCs w:val="20"/>
        </w:rPr>
        <w:t xml:space="preserve"> podstawowych i rezerwowych nowobudowanych i</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modernizowanych powinien być ≤5. W przypadku modernizacji układów pomiarowo-rozliczeniowych dopuszcza się </w:t>
      </w:r>
      <w:r w:rsidRPr="00EB2E7B">
        <w:rPr>
          <w:rFonts w:asciiTheme="minorHAnsi" w:hAnsiTheme="minorHAnsi" w:cstheme="minorHAnsi"/>
          <w:sz w:val="20"/>
          <w:szCs w:val="20"/>
        </w:rPr>
        <w:lastRenderedPageBreak/>
        <w:t xml:space="preserve">pozostawienie dotychczasowych przekładników prądowych o współczynniku FS &gt; 5, o ile spełniają one pozostałe wymagania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0E5C64A0" w14:textId="64E8E0E0" w:rsidR="00473957" w:rsidRPr="00EB2E7B" w:rsidRDefault="0077111A"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Wszystkie elementy członu zasilającego oraz osłony i urządzenia wchodzące w</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skład układu pomiarow</w:t>
      </w:r>
      <w:r w:rsidR="00F27BD9" w:rsidRPr="00EB2E7B">
        <w:rPr>
          <w:rFonts w:asciiTheme="minorHAnsi" w:hAnsiTheme="minorHAnsi" w:cstheme="minorHAnsi"/>
          <w:sz w:val="20"/>
          <w:szCs w:val="20"/>
        </w:rPr>
        <w:t>o-rozliczeniowego</w:t>
      </w:r>
      <w:r w:rsidRPr="00EB2E7B">
        <w:rPr>
          <w:rFonts w:asciiTheme="minorHAnsi" w:hAnsiTheme="minorHAnsi" w:cstheme="minorHAnsi"/>
          <w:sz w:val="20"/>
          <w:szCs w:val="20"/>
        </w:rPr>
        <w:t xml:space="preserve"> energii elektrycznej muszą być przystosowane do plombowania</w:t>
      </w:r>
      <w:r w:rsidR="00B60EBC" w:rsidRPr="00EB2E7B">
        <w:rPr>
          <w:rFonts w:asciiTheme="minorHAnsi" w:hAnsiTheme="minorHAnsi" w:cstheme="minorHAnsi"/>
          <w:sz w:val="20"/>
          <w:szCs w:val="20"/>
        </w:rPr>
        <w:t xml:space="preserve"> w taki sposób, aby nie było możliwości dostępu do chronionych elementów bez zerwania plomb</w:t>
      </w:r>
      <w:r w:rsidRPr="00EB2E7B">
        <w:rPr>
          <w:rFonts w:asciiTheme="minorHAnsi" w:hAnsiTheme="minorHAnsi" w:cstheme="minorHAnsi"/>
          <w:sz w:val="20"/>
          <w:szCs w:val="20"/>
        </w:rPr>
        <w:t xml:space="preserve">. Plombowanie musi </w:t>
      </w:r>
      <w:r w:rsidR="00E11677" w:rsidRPr="00EB2E7B">
        <w:rPr>
          <w:rFonts w:asciiTheme="minorHAnsi" w:hAnsiTheme="minorHAnsi" w:cstheme="minorHAnsi"/>
          <w:sz w:val="20"/>
          <w:szCs w:val="20"/>
        </w:rPr>
        <w:t xml:space="preserve">zapewniać </w:t>
      </w:r>
      <w:r w:rsidRPr="00EB2E7B">
        <w:rPr>
          <w:rFonts w:asciiTheme="minorHAnsi" w:hAnsiTheme="minorHAnsi" w:cstheme="minorHAnsi"/>
          <w:sz w:val="20"/>
          <w:szCs w:val="20"/>
        </w:rPr>
        <w:t>zabezpieczenie przed: zmianą parametrów lub nastaw urządzeń wchodzących w</w:t>
      </w:r>
      <w:r w:rsidR="00F27BD9" w:rsidRPr="00EB2E7B">
        <w:rPr>
          <w:rFonts w:asciiTheme="minorHAnsi" w:hAnsiTheme="minorHAnsi" w:cstheme="minorHAnsi"/>
          <w:sz w:val="20"/>
          <w:szCs w:val="20"/>
        </w:rPr>
        <w:t> </w:t>
      </w:r>
      <w:r w:rsidRPr="00EB2E7B">
        <w:rPr>
          <w:rFonts w:asciiTheme="minorHAnsi" w:hAnsiTheme="minorHAnsi" w:cstheme="minorHAnsi"/>
          <w:sz w:val="20"/>
          <w:szCs w:val="20"/>
        </w:rPr>
        <w:t>skład układu pomiarow</w:t>
      </w:r>
      <w:r w:rsidR="00F27BD9" w:rsidRPr="00EB2E7B">
        <w:rPr>
          <w:rFonts w:asciiTheme="minorHAnsi" w:hAnsiTheme="minorHAnsi" w:cstheme="minorHAnsi"/>
          <w:sz w:val="20"/>
          <w:szCs w:val="20"/>
        </w:rPr>
        <w:t>o-rozliczeniowego</w:t>
      </w:r>
      <w:r w:rsidRPr="00EB2E7B">
        <w:rPr>
          <w:rFonts w:asciiTheme="minorHAnsi" w:hAnsiTheme="minorHAnsi" w:cstheme="minorHAnsi"/>
          <w:sz w:val="20"/>
          <w:szCs w:val="20"/>
        </w:rPr>
        <w:t xml:space="preserve"> oraz ingerencją powodującą zafałszowanie jego wskazań. </w:t>
      </w:r>
    </w:p>
    <w:p w14:paraId="098CF3F8" w14:textId="45163DFF" w:rsidR="00473957" w:rsidRPr="00EB2E7B" w:rsidRDefault="0077111A"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Zmiana kwalifikacji układu pomiarow</w:t>
      </w:r>
      <w:r w:rsidR="00F27BD9" w:rsidRPr="00EB2E7B">
        <w:rPr>
          <w:rFonts w:asciiTheme="minorHAnsi" w:hAnsiTheme="minorHAnsi" w:cstheme="minorHAnsi"/>
          <w:sz w:val="20"/>
          <w:szCs w:val="20"/>
        </w:rPr>
        <w:t>o-rozliczeniowego</w:t>
      </w:r>
      <w:r w:rsidRPr="00EB2E7B">
        <w:rPr>
          <w:rFonts w:asciiTheme="minorHAnsi" w:hAnsiTheme="minorHAnsi" w:cstheme="minorHAnsi"/>
          <w:sz w:val="20"/>
          <w:szCs w:val="20"/>
        </w:rPr>
        <w:t xml:space="preserve"> do kategorii określonej w pkt. </w:t>
      </w:r>
      <w:r w:rsidR="00DC23C6" w:rsidRPr="00EB2E7B">
        <w:rPr>
          <w:rFonts w:asciiTheme="minorHAnsi" w:hAnsiTheme="minorHAnsi" w:cstheme="minorHAnsi"/>
          <w:sz w:val="20"/>
          <w:szCs w:val="20"/>
        </w:rPr>
        <w:fldChar w:fldCharType="begin"/>
      </w:r>
      <w:r w:rsidR="00DC23C6" w:rsidRPr="00EB2E7B">
        <w:rPr>
          <w:rFonts w:asciiTheme="minorHAnsi" w:hAnsiTheme="minorHAnsi" w:cstheme="minorHAnsi"/>
          <w:sz w:val="20"/>
          <w:szCs w:val="20"/>
        </w:rPr>
        <w:instrText xml:space="preserve"> REF _Ref151925494 \r \h </w:instrText>
      </w:r>
      <w:r w:rsidR="00C55A9C" w:rsidRPr="00EB2E7B">
        <w:rPr>
          <w:rFonts w:asciiTheme="minorHAnsi" w:hAnsiTheme="minorHAnsi" w:cstheme="minorHAnsi"/>
          <w:sz w:val="20"/>
          <w:szCs w:val="20"/>
        </w:rPr>
        <w:instrText xml:space="preserve"> \* MERGEFORMAT </w:instrText>
      </w:r>
      <w:r w:rsidR="00DC23C6" w:rsidRPr="00EB2E7B">
        <w:rPr>
          <w:rFonts w:asciiTheme="minorHAnsi" w:hAnsiTheme="minorHAnsi" w:cstheme="minorHAnsi"/>
          <w:sz w:val="20"/>
          <w:szCs w:val="20"/>
        </w:rPr>
      </w:r>
      <w:r w:rsidR="00DC23C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II.4.7.1.8</w:t>
      </w:r>
      <w:r w:rsidR="00DC23C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następuje na wniosek odbiorcy lub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Dostosowanie układu do wymagań nowej kategorii spoczywa na właścicielu układu pomiarow</w:t>
      </w:r>
      <w:r w:rsidR="00F27BD9" w:rsidRPr="00EB2E7B">
        <w:rPr>
          <w:rFonts w:asciiTheme="minorHAnsi" w:hAnsiTheme="minorHAnsi" w:cstheme="minorHAnsi"/>
          <w:sz w:val="20"/>
          <w:szCs w:val="20"/>
        </w:rPr>
        <w:t>o-rozliczeniowego</w:t>
      </w:r>
      <w:r w:rsidRPr="00EB2E7B">
        <w:rPr>
          <w:rFonts w:asciiTheme="minorHAnsi" w:hAnsiTheme="minorHAnsi" w:cstheme="minorHAnsi"/>
          <w:sz w:val="20"/>
          <w:szCs w:val="20"/>
        </w:rPr>
        <w:t xml:space="preserve">. </w:t>
      </w:r>
    </w:p>
    <w:p w14:paraId="7F781A27" w14:textId="77777777" w:rsidR="00473957" w:rsidRPr="00EB2E7B" w:rsidRDefault="0077111A"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zmiany charakteru odbioru,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może nakazać wprowadzenie zmian w istniejącym układzie pomiarowo-rozliczeniowym zgodnie z</w:t>
      </w:r>
      <w:r w:rsidR="00A375BC" w:rsidRPr="00EB2E7B">
        <w:rPr>
          <w:rFonts w:asciiTheme="minorHAnsi" w:hAnsiTheme="minorHAnsi" w:cstheme="minorHAnsi"/>
          <w:sz w:val="20"/>
          <w:szCs w:val="20"/>
        </w:rPr>
        <w:t> </w:t>
      </w:r>
      <w:r w:rsidRPr="00EB2E7B">
        <w:rPr>
          <w:rFonts w:asciiTheme="minorHAnsi" w:hAnsiTheme="minorHAnsi" w:cstheme="minorHAnsi"/>
          <w:sz w:val="20"/>
          <w:szCs w:val="20"/>
        </w:rPr>
        <w:t xml:space="preserve">wymaganiami określonymi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3D9038B0" w14:textId="6A5AE952" w:rsidR="00473957" w:rsidRPr="00EB2E7B" w:rsidRDefault="0077111A"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Wszelkie </w:t>
      </w:r>
      <w:r w:rsidR="009D3510" w:rsidRPr="00EB2E7B">
        <w:rPr>
          <w:rFonts w:asciiTheme="minorHAnsi" w:hAnsiTheme="minorHAnsi" w:cstheme="minorHAnsi"/>
          <w:sz w:val="20"/>
          <w:szCs w:val="20"/>
        </w:rPr>
        <w:t>stwierdzone nieprawidłowości w działaniu układu pomiarowo-rozliczeniowego lub jego elementu winny być niezwłocznie zgłaszane ACPRO przez odbiorcę, wytwórcę, posiadacza magazynu energii elektrycznej lub sprzedawcę</w:t>
      </w:r>
      <w:r w:rsidRPr="00EB2E7B">
        <w:rPr>
          <w:rFonts w:asciiTheme="minorHAnsi" w:hAnsiTheme="minorHAnsi" w:cstheme="minorHAnsi"/>
          <w:sz w:val="20"/>
          <w:szCs w:val="20"/>
        </w:rPr>
        <w:t xml:space="preserve">. </w:t>
      </w:r>
    </w:p>
    <w:p w14:paraId="60DB8EC7" w14:textId="23983AA9" w:rsidR="00473957" w:rsidRPr="00EB2E7B" w:rsidRDefault="009D3510"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ACPRO na żądanie odbiorcy, dokonuje sprawdzenia prawidłowości działania układu pomiarowo-rozliczeniowego nie później niż w terminie 14 dni kalendarzowych od dnia zgłoszenia żądania. ACPRO może dokonać sprawdzenia prawidłowości działania układu pomiarowo-rozliczeniowego, również z własnej inicjatywy</w:t>
      </w:r>
      <w:r w:rsidR="0077111A" w:rsidRPr="00EB2E7B">
        <w:rPr>
          <w:rFonts w:asciiTheme="minorHAnsi" w:hAnsiTheme="minorHAnsi" w:cstheme="minorHAnsi"/>
          <w:sz w:val="20"/>
          <w:szCs w:val="20"/>
        </w:rPr>
        <w:t xml:space="preserve">. </w:t>
      </w:r>
    </w:p>
    <w:p w14:paraId="52D18B20" w14:textId="04782734" w:rsidR="009D3510" w:rsidRPr="00EB2E7B" w:rsidRDefault="009D3510"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Odbiorca lub ACPRO ma prawo żądać laboratoryjnego sprawdzenia prawidłowości działania układu pomiarowo-rozliczeniowego. Badania laboratoryjne przeprowadza się w terminie 14 dni kalendarzowych od dnia zgłoszenia żądania.</w:t>
      </w:r>
    </w:p>
    <w:p w14:paraId="62015623" w14:textId="5404A8B7" w:rsidR="00473957" w:rsidRPr="00EB2E7B" w:rsidRDefault="009D3510" w:rsidP="008B38A4">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zgłoszenia żądania laboratoryjnego sprawdzenia prawidłowości działania układu pomiarowo-rozliczeniowego, właściciel układu pomiarowo-rozliczeniowego zapewnia demontaż wskazanego elementu układu pomiarowo-rozliczeniowego. Demontaż następuje w obecności przedstawiciela odbiorcy i ACPRO</w:t>
      </w:r>
      <w:r w:rsidR="0077111A" w:rsidRPr="00EB2E7B">
        <w:rPr>
          <w:rFonts w:asciiTheme="minorHAnsi" w:hAnsiTheme="minorHAnsi" w:cstheme="minorHAnsi"/>
          <w:sz w:val="20"/>
          <w:szCs w:val="20"/>
        </w:rPr>
        <w:t xml:space="preserve">. </w:t>
      </w:r>
    </w:p>
    <w:p w14:paraId="6852617E" w14:textId="6638035B" w:rsidR="00473957" w:rsidRPr="00EB2E7B" w:rsidRDefault="00232DA9"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r w:rsidR="009D3510" w:rsidRPr="00EB2E7B">
        <w:rPr>
          <w:rFonts w:asciiTheme="minorHAnsi" w:hAnsiTheme="minorHAnsi" w:cstheme="minorHAnsi"/>
          <w:sz w:val="20"/>
          <w:szCs w:val="20"/>
        </w:rPr>
        <w:t>przekazuje zdemontowany element układu pomiarowo-rozliczeniowego do laboratoryjnego sprawdzenia prawidłowości działania. Jeżeli właścicielem układu pomiarowo-rozliczeniowego jest podmiot inny niż ACPRO, to podmiot ten ma obowiązek przekazać ACPRO zdemontowany element układu pomiarowo-rozliczeniowego bezpośrednio po jego demontażu</w:t>
      </w:r>
      <w:r w:rsidR="0077111A" w:rsidRPr="00EB2E7B">
        <w:rPr>
          <w:rFonts w:asciiTheme="minorHAnsi" w:hAnsiTheme="minorHAnsi" w:cstheme="minorHAnsi"/>
          <w:sz w:val="20"/>
          <w:szCs w:val="20"/>
        </w:rPr>
        <w:t xml:space="preserve">. </w:t>
      </w:r>
    </w:p>
    <w:p w14:paraId="3B730460" w14:textId="5C403EE9" w:rsidR="00473957" w:rsidRPr="00EB2E7B" w:rsidRDefault="009D3510" w:rsidP="008B38A4">
      <w:pPr>
        <w:pStyle w:val="Nagwek5"/>
        <w:ind w:left="1134" w:hanging="1134"/>
        <w:rPr>
          <w:rFonts w:asciiTheme="minorHAnsi" w:hAnsiTheme="minorHAnsi" w:cstheme="minorHAnsi"/>
          <w:sz w:val="20"/>
          <w:szCs w:val="20"/>
        </w:rPr>
      </w:pPr>
      <w:bookmarkStart w:id="147" w:name="_Ref75437489"/>
      <w:r w:rsidRPr="00EB2E7B">
        <w:rPr>
          <w:rFonts w:asciiTheme="minorHAnsi" w:hAnsiTheme="minorHAnsi" w:cstheme="minorHAnsi"/>
          <w:sz w:val="20"/>
          <w:szCs w:val="20"/>
        </w:rPr>
        <w:t>Podmiot niebędący właścicielem układu pomiarowo-rozliczeniowego pokrywa koszty sprawdzenia prawidłowości działania tego układu oraz badania laboratoryjnego oraz demontażu i montażu tego układu, tylko w przypadku, gdy nie stwierdzono nieprawidłowości w działaniu elementów układu pomiarowo-rozliczeniowego</w:t>
      </w:r>
      <w:r w:rsidR="0077111A" w:rsidRPr="00EB2E7B">
        <w:rPr>
          <w:rFonts w:asciiTheme="minorHAnsi" w:hAnsiTheme="minorHAnsi" w:cstheme="minorHAnsi"/>
          <w:sz w:val="20"/>
          <w:szCs w:val="20"/>
        </w:rPr>
        <w:t>.</w:t>
      </w:r>
      <w:bookmarkEnd w:id="147"/>
      <w:r w:rsidR="0077111A" w:rsidRPr="00EB2E7B">
        <w:rPr>
          <w:rFonts w:asciiTheme="minorHAnsi" w:hAnsiTheme="minorHAnsi" w:cstheme="minorHAnsi"/>
          <w:sz w:val="20"/>
          <w:szCs w:val="20"/>
        </w:rPr>
        <w:t xml:space="preserve"> </w:t>
      </w:r>
    </w:p>
    <w:p w14:paraId="467BBC67" w14:textId="2059DC1B" w:rsidR="00473957" w:rsidRPr="00EB2E7B" w:rsidRDefault="009D3510"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ACPRO przekazuje odbiorcy kopię wyniku laboratoryjnego sprawdzenia, niezwłocznie po jego otrzymaniu</w:t>
      </w:r>
      <w:r w:rsidR="0077111A" w:rsidRPr="00EB2E7B">
        <w:rPr>
          <w:rFonts w:asciiTheme="minorHAnsi" w:hAnsiTheme="minorHAnsi" w:cstheme="minorHAnsi"/>
          <w:sz w:val="20"/>
          <w:szCs w:val="20"/>
        </w:rPr>
        <w:t xml:space="preserve">. </w:t>
      </w:r>
    </w:p>
    <w:p w14:paraId="13F799FB" w14:textId="3B154B51" w:rsidR="00473957" w:rsidRPr="00EB2E7B" w:rsidRDefault="009D3510"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Jeżeli ACPRO nie jest właścicielem układu pomiarowo-rozliczeniowego, ACPRO zwraca zdemontowany element układu pomiarowo-rozliczeniowego właścicielowi w terminie do 60-go dnia kalendarzowego od dnia jego otrzymania od podmiotu wykonującego laboratoryjne </w:t>
      </w:r>
      <w:r w:rsidRPr="00EB2E7B">
        <w:rPr>
          <w:rFonts w:asciiTheme="minorHAnsi" w:hAnsiTheme="minorHAnsi" w:cstheme="minorHAnsi"/>
          <w:sz w:val="20"/>
          <w:szCs w:val="20"/>
        </w:rPr>
        <w:lastRenderedPageBreak/>
        <w:t xml:space="preserve">sprawdzenie prawidłowości jego działania, o ile odbiorca lub ACPRO nie wystąpi z wnioskiem, o którym mowa w </w:t>
      </w:r>
      <w:r w:rsidR="0077111A" w:rsidRPr="00EB2E7B">
        <w:rPr>
          <w:rFonts w:asciiTheme="minorHAnsi" w:hAnsiTheme="minorHAnsi" w:cstheme="minorHAnsi"/>
          <w:sz w:val="20"/>
          <w:szCs w:val="20"/>
        </w:rPr>
        <w:t xml:space="preserve">pkt. </w:t>
      </w:r>
      <w:r w:rsidR="00FF18AA" w:rsidRPr="00EB2E7B">
        <w:rPr>
          <w:rFonts w:asciiTheme="minorHAnsi" w:hAnsiTheme="minorHAnsi" w:cstheme="minorHAnsi"/>
          <w:sz w:val="20"/>
          <w:szCs w:val="20"/>
        </w:rPr>
        <w:fldChar w:fldCharType="begin"/>
      </w:r>
      <w:r w:rsidR="00FF18AA" w:rsidRPr="00EB2E7B">
        <w:rPr>
          <w:rFonts w:asciiTheme="minorHAnsi" w:hAnsiTheme="minorHAnsi" w:cstheme="minorHAnsi"/>
          <w:sz w:val="20"/>
          <w:szCs w:val="20"/>
        </w:rPr>
        <w:instrText xml:space="preserve"> REF _Ref75437445 \r \h </w:instrText>
      </w:r>
      <w:r w:rsidR="00E17751" w:rsidRPr="00EB2E7B">
        <w:rPr>
          <w:rFonts w:asciiTheme="minorHAnsi" w:hAnsiTheme="minorHAnsi" w:cstheme="minorHAnsi"/>
          <w:sz w:val="20"/>
          <w:szCs w:val="20"/>
        </w:rPr>
        <w:instrText xml:space="preserve"> \* MERGEFORMAT </w:instrText>
      </w:r>
      <w:r w:rsidR="00FF18AA" w:rsidRPr="00EB2E7B">
        <w:rPr>
          <w:rFonts w:asciiTheme="minorHAnsi" w:hAnsiTheme="minorHAnsi" w:cstheme="minorHAnsi"/>
          <w:sz w:val="20"/>
          <w:szCs w:val="20"/>
        </w:rPr>
      </w:r>
      <w:r w:rsidR="00FF18A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II.4.7.1.26</w:t>
      </w:r>
      <w:r w:rsidR="00FF18AA"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t>
      </w:r>
    </w:p>
    <w:p w14:paraId="1CDAEE81" w14:textId="221E5C89" w:rsidR="00473957" w:rsidRPr="00EB2E7B" w:rsidRDefault="0077111A" w:rsidP="008B38A4">
      <w:pPr>
        <w:pStyle w:val="Nagwek5"/>
        <w:ind w:left="1134" w:hanging="1134"/>
        <w:rPr>
          <w:rFonts w:asciiTheme="minorHAnsi" w:hAnsiTheme="minorHAnsi" w:cstheme="minorHAnsi"/>
          <w:sz w:val="20"/>
          <w:szCs w:val="20"/>
        </w:rPr>
      </w:pPr>
      <w:bookmarkStart w:id="148" w:name="_Ref75437445"/>
      <w:r w:rsidRPr="00EB2E7B">
        <w:rPr>
          <w:rFonts w:asciiTheme="minorHAnsi" w:hAnsiTheme="minorHAnsi" w:cstheme="minorHAnsi"/>
          <w:sz w:val="20"/>
          <w:szCs w:val="20"/>
        </w:rPr>
        <w:t xml:space="preserve">W </w:t>
      </w:r>
      <w:r w:rsidR="009D3510" w:rsidRPr="00EB2E7B">
        <w:rPr>
          <w:rFonts w:asciiTheme="minorHAnsi" w:hAnsiTheme="minorHAnsi" w:cstheme="minorHAnsi"/>
          <w:sz w:val="20"/>
          <w:szCs w:val="20"/>
        </w:rPr>
        <w:t>terminie 30 dni kalendarzowych od dnia otrzymania wyniku badania laboratoryjnego odbiorca lub ACPRO może zlecić wykonanie dodatkowej ekspertyzy badanego uprzednio układu pomiarowo-rozliczeniowego. ACPRO umożliwia przeprowadzenie takiej ekspertyzy</w:t>
      </w:r>
      <w:r w:rsidRPr="00EB2E7B">
        <w:rPr>
          <w:rFonts w:asciiTheme="minorHAnsi" w:hAnsiTheme="minorHAnsi" w:cstheme="minorHAnsi"/>
          <w:sz w:val="20"/>
          <w:szCs w:val="20"/>
        </w:rPr>
        <w:t>.</w:t>
      </w:r>
      <w:bookmarkEnd w:id="148"/>
      <w:r w:rsidRPr="00EB2E7B">
        <w:rPr>
          <w:rFonts w:asciiTheme="minorHAnsi" w:hAnsiTheme="minorHAnsi" w:cstheme="minorHAnsi"/>
          <w:sz w:val="20"/>
          <w:szCs w:val="20"/>
        </w:rPr>
        <w:t xml:space="preserve"> </w:t>
      </w:r>
    </w:p>
    <w:p w14:paraId="15FC86CF" w14:textId="37041A0B" w:rsidR="00473957" w:rsidRPr="00EB2E7B" w:rsidRDefault="0077111A" w:rsidP="008B38A4">
      <w:pPr>
        <w:pStyle w:val="Nagwek5"/>
        <w:ind w:left="1134" w:hanging="1134"/>
        <w:rPr>
          <w:rFonts w:asciiTheme="minorHAnsi" w:hAnsiTheme="minorHAnsi" w:cstheme="minorHAnsi"/>
          <w:sz w:val="20"/>
          <w:szCs w:val="20"/>
        </w:rPr>
      </w:pPr>
      <w:bookmarkStart w:id="149" w:name="_Ref75437499"/>
      <w:r w:rsidRPr="00EB2E7B">
        <w:rPr>
          <w:rFonts w:asciiTheme="minorHAnsi" w:hAnsiTheme="minorHAnsi" w:cstheme="minorHAnsi"/>
          <w:sz w:val="20"/>
          <w:szCs w:val="20"/>
        </w:rPr>
        <w:t xml:space="preserve">Koszt ekspertyzy, o której mowa w pkt. </w:t>
      </w:r>
      <w:r w:rsidR="00513296" w:rsidRPr="00EB2E7B">
        <w:rPr>
          <w:rFonts w:asciiTheme="minorHAnsi" w:hAnsiTheme="minorHAnsi" w:cstheme="minorHAnsi"/>
          <w:sz w:val="20"/>
          <w:szCs w:val="20"/>
        </w:rPr>
        <w:fldChar w:fldCharType="begin"/>
      </w:r>
      <w:r w:rsidR="00513296" w:rsidRPr="00EB2E7B">
        <w:rPr>
          <w:rFonts w:asciiTheme="minorHAnsi" w:hAnsiTheme="minorHAnsi" w:cstheme="minorHAnsi"/>
          <w:sz w:val="20"/>
          <w:szCs w:val="20"/>
        </w:rPr>
        <w:instrText xml:space="preserve"> REF _Ref75437445 \r \h  \* MERGEFORMAT </w:instrText>
      </w:r>
      <w:r w:rsidR="00513296" w:rsidRPr="00EB2E7B">
        <w:rPr>
          <w:rFonts w:asciiTheme="minorHAnsi" w:hAnsiTheme="minorHAnsi" w:cstheme="minorHAnsi"/>
          <w:sz w:val="20"/>
          <w:szCs w:val="20"/>
        </w:rPr>
      </w:r>
      <w:r w:rsidR="0051329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II.4.7.1.26</w:t>
      </w:r>
      <w:r w:rsidR="00513296" w:rsidRPr="00EB2E7B">
        <w:rPr>
          <w:rFonts w:asciiTheme="minorHAnsi" w:hAnsiTheme="minorHAnsi" w:cstheme="minorHAnsi"/>
          <w:sz w:val="20"/>
          <w:szCs w:val="20"/>
        </w:rPr>
        <w:fldChar w:fldCharType="end"/>
      </w:r>
      <w:r w:rsidR="00513296"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r w:rsidR="009D3510" w:rsidRPr="00EB2E7B">
        <w:rPr>
          <w:rFonts w:asciiTheme="minorHAnsi" w:hAnsiTheme="minorHAnsi" w:cstheme="minorHAnsi"/>
          <w:sz w:val="20"/>
          <w:szCs w:val="20"/>
        </w:rPr>
        <w:t>pokrywa podmiot, który wnioskuje o jej przeprowadzenie</w:t>
      </w:r>
      <w:r w:rsidRPr="00EB2E7B">
        <w:rPr>
          <w:rFonts w:asciiTheme="minorHAnsi" w:hAnsiTheme="minorHAnsi" w:cstheme="minorHAnsi"/>
          <w:sz w:val="20"/>
          <w:szCs w:val="20"/>
        </w:rPr>
        <w:t>.</w:t>
      </w:r>
      <w:bookmarkEnd w:id="149"/>
      <w:r w:rsidRPr="00EB2E7B">
        <w:rPr>
          <w:rFonts w:asciiTheme="minorHAnsi" w:hAnsiTheme="minorHAnsi" w:cstheme="minorHAnsi"/>
          <w:sz w:val="20"/>
          <w:szCs w:val="20"/>
        </w:rPr>
        <w:t xml:space="preserve"> </w:t>
      </w:r>
    </w:p>
    <w:p w14:paraId="13CC72AB" w14:textId="082992B4" w:rsidR="00473957" w:rsidRPr="00EB2E7B" w:rsidRDefault="0077111A"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w:t>
      </w:r>
      <w:r w:rsidR="009D3510" w:rsidRPr="00EB2E7B">
        <w:rPr>
          <w:rFonts w:asciiTheme="minorHAnsi" w:hAnsiTheme="minorHAnsi" w:cstheme="minorHAnsi"/>
          <w:sz w:val="20"/>
          <w:szCs w:val="20"/>
        </w:rPr>
        <w:t xml:space="preserve">okresie zdemontowania elementu układu pomiarowo-rozliczeniowego, właściciel układu pomiarowo-rozliczeniowego zapewni zastępczy element układu pomiarowo-rozliczeniowego, który będzie spełniał wymagania techniczne określone w </w:t>
      </w:r>
      <w:proofErr w:type="spellStart"/>
      <w:r w:rsidR="009D3510"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2557B7D4" w14:textId="496253B6" w:rsidR="00473957" w:rsidRPr="00EB2E7B" w:rsidRDefault="009D3510" w:rsidP="008B38A4">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 przypadku stwierdzenia nieprawidłowości w działaniu układu pomiarowo-rozliczeniowego, z wyłączeniem nielegalnego poboru energii elektrycznej, ACPRO zwraca koszty, o których mowa w pkt</w:t>
      </w:r>
      <w:r w:rsidR="00FE5847" w:rsidRPr="00EB2E7B">
        <w:rPr>
          <w:rFonts w:asciiTheme="minorHAnsi" w:hAnsiTheme="minorHAnsi" w:cstheme="minorHAnsi"/>
          <w:sz w:val="20"/>
          <w:szCs w:val="20"/>
        </w:rPr>
        <w:t xml:space="preserve"> </w:t>
      </w:r>
      <w:r w:rsidR="00D86C9D" w:rsidRPr="00EB2E7B">
        <w:rPr>
          <w:rFonts w:asciiTheme="minorHAnsi" w:hAnsiTheme="minorHAnsi" w:cstheme="minorHAnsi"/>
          <w:sz w:val="20"/>
          <w:szCs w:val="20"/>
        </w:rPr>
        <w:fldChar w:fldCharType="begin"/>
      </w:r>
      <w:r w:rsidR="00D86C9D" w:rsidRPr="00EB2E7B">
        <w:rPr>
          <w:rFonts w:asciiTheme="minorHAnsi" w:hAnsiTheme="minorHAnsi" w:cstheme="minorHAnsi"/>
          <w:sz w:val="20"/>
          <w:szCs w:val="20"/>
        </w:rPr>
        <w:instrText xml:space="preserve"> REF _Ref75437489 \w \h  \* MERGEFORMAT </w:instrText>
      </w:r>
      <w:r w:rsidR="00D86C9D" w:rsidRPr="00EB2E7B">
        <w:rPr>
          <w:rFonts w:asciiTheme="minorHAnsi" w:hAnsiTheme="minorHAnsi" w:cstheme="minorHAnsi"/>
          <w:sz w:val="20"/>
          <w:szCs w:val="20"/>
        </w:rPr>
      </w:r>
      <w:r w:rsidR="00D86C9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II.4.7.1.23</w:t>
      </w:r>
      <w:r w:rsidR="00D86C9D"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8E2203" w:rsidRPr="00EB2E7B">
        <w:rPr>
          <w:rFonts w:asciiTheme="minorHAnsi" w:hAnsiTheme="minorHAnsi" w:cstheme="minorHAnsi"/>
          <w:sz w:val="20"/>
          <w:szCs w:val="20"/>
        </w:rPr>
        <w:fldChar w:fldCharType="begin"/>
      </w:r>
      <w:r w:rsidR="008E2203" w:rsidRPr="00EB2E7B">
        <w:rPr>
          <w:rFonts w:asciiTheme="minorHAnsi" w:hAnsiTheme="minorHAnsi" w:cstheme="minorHAnsi"/>
          <w:sz w:val="20"/>
          <w:szCs w:val="20"/>
        </w:rPr>
        <w:instrText xml:space="preserve"> REF _Ref75437499 \w \h  \* MERGEFORMAT </w:instrText>
      </w:r>
      <w:r w:rsidR="008E2203" w:rsidRPr="00EB2E7B">
        <w:rPr>
          <w:rFonts w:asciiTheme="minorHAnsi" w:hAnsiTheme="minorHAnsi" w:cstheme="minorHAnsi"/>
          <w:sz w:val="20"/>
          <w:szCs w:val="20"/>
        </w:rPr>
      </w:r>
      <w:r w:rsidR="008E220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II.4.7.1.27</w:t>
      </w:r>
      <w:r w:rsidR="008E220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a także informuje sprzedawcę o korekcie:</w:t>
      </w:r>
      <w:r w:rsidR="0077111A" w:rsidRPr="00EB2E7B">
        <w:rPr>
          <w:rFonts w:asciiTheme="minorHAnsi" w:hAnsiTheme="minorHAnsi" w:cstheme="minorHAnsi"/>
          <w:sz w:val="20"/>
          <w:szCs w:val="20"/>
        </w:rPr>
        <w:t xml:space="preserve"> </w:t>
      </w:r>
    </w:p>
    <w:p w14:paraId="40049F91" w14:textId="77777777" w:rsidR="009D3510" w:rsidRPr="00EB2E7B" w:rsidRDefault="009D3510" w:rsidP="00E636A2">
      <w:pPr>
        <w:pStyle w:val="1przed"/>
        <w:numPr>
          <w:ilvl w:val="0"/>
          <w:numId w:val="205"/>
        </w:numPr>
        <w:ind w:left="1701" w:hanging="567"/>
        <w:rPr>
          <w:rFonts w:asciiTheme="minorHAnsi" w:hAnsiTheme="minorHAnsi" w:cstheme="minorHAnsi"/>
          <w:sz w:val="20"/>
          <w:szCs w:val="20"/>
        </w:rPr>
      </w:pPr>
      <w:bookmarkStart w:id="150" w:name="_Ref190082244"/>
      <w:r w:rsidRPr="00EB2E7B">
        <w:rPr>
          <w:rFonts w:asciiTheme="minorHAnsi" w:hAnsiTheme="minorHAnsi" w:cstheme="minorHAnsi"/>
          <w:sz w:val="20"/>
          <w:szCs w:val="20"/>
        </w:rPr>
        <w:t>danych pomiarowych lub innych danych wpływających na dokonywane przez sprzedawcę rozliczenia,</w:t>
      </w:r>
      <w:bookmarkEnd w:id="150"/>
    </w:p>
    <w:p w14:paraId="075AAEC4" w14:textId="6B82E08C" w:rsidR="009D3510" w:rsidRPr="00EB2E7B" w:rsidRDefault="009D3510" w:rsidP="00E636A2">
      <w:pPr>
        <w:pStyle w:val="1przed"/>
        <w:numPr>
          <w:ilvl w:val="0"/>
          <w:numId w:val="205"/>
        </w:numPr>
        <w:ind w:left="1701" w:hanging="567"/>
        <w:rPr>
          <w:rFonts w:asciiTheme="minorHAnsi" w:hAnsiTheme="minorHAnsi" w:cstheme="minorHAnsi"/>
          <w:sz w:val="20"/>
          <w:szCs w:val="20"/>
        </w:rPr>
      </w:pPr>
      <w:bookmarkStart w:id="151" w:name="_Ref190082246"/>
      <w:r w:rsidRPr="00EB2E7B">
        <w:rPr>
          <w:rFonts w:asciiTheme="minorHAnsi" w:hAnsiTheme="minorHAnsi" w:cstheme="minorHAnsi"/>
          <w:sz w:val="20"/>
          <w:szCs w:val="20"/>
        </w:rPr>
        <w:t>należności za usługę dystrybucji energii elektrycznej świadczonej na podstawie umowy kompleksowej.</w:t>
      </w:r>
      <w:bookmarkEnd w:id="151"/>
    </w:p>
    <w:p w14:paraId="5C016238" w14:textId="0EF8C0C4" w:rsidR="009D3510" w:rsidRPr="00EB2E7B" w:rsidRDefault="009D3510" w:rsidP="00587AE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Korekta danych, o których mowa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727C36" w:rsidRPr="00EB2E7B">
        <w:rPr>
          <w:rFonts w:asciiTheme="minorHAnsi" w:hAnsiTheme="minorHAnsi" w:cstheme="minorHAnsi"/>
          <w:sz w:val="20"/>
          <w:szCs w:val="20"/>
        </w:rPr>
        <w:fldChar w:fldCharType="begin"/>
      </w:r>
      <w:r w:rsidR="00727C36" w:rsidRPr="00EB2E7B">
        <w:rPr>
          <w:rFonts w:asciiTheme="minorHAnsi" w:hAnsiTheme="minorHAnsi" w:cstheme="minorHAnsi"/>
          <w:sz w:val="20"/>
          <w:szCs w:val="20"/>
        </w:rPr>
        <w:instrText xml:space="preserve"> REF _Ref190082244 \w \h  \* MERGEFORMAT </w:instrText>
      </w:r>
      <w:r w:rsidR="00727C36" w:rsidRPr="00EB2E7B">
        <w:rPr>
          <w:rFonts w:asciiTheme="minorHAnsi" w:hAnsiTheme="minorHAnsi" w:cstheme="minorHAnsi"/>
          <w:sz w:val="20"/>
          <w:szCs w:val="20"/>
        </w:rPr>
      </w:r>
      <w:r w:rsidR="00727C3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727C3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dokonywana jest zgodnie z zapisami GUD.</w:t>
      </w:r>
    </w:p>
    <w:p w14:paraId="50141811" w14:textId="61469691" w:rsidR="00FF067D" w:rsidRPr="00EB2E7B" w:rsidRDefault="009D3510" w:rsidP="00FF067D">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Korekta należności, o których mowa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727C36" w:rsidRPr="00EB2E7B">
        <w:rPr>
          <w:rFonts w:asciiTheme="minorHAnsi" w:hAnsiTheme="minorHAnsi" w:cstheme="minorHAnsi"/>
          <w:sz w:val="20"/>
          <w:szCs w:val="20"/>
        </w:rPr>
        <w:fldChar w:fldCharType="begin"/>
      </w:r>
      <w:r w:rsidR="00727C36" w:rsidRPr="00EB2E7B">
        <w:rPr>
          <w:rFonts w:asciiTheme="minorHAnsi" w:hAnsiTheme="minorHAnsi" w:cstheme="minorHAnsi"/>
          <w:sz w:val="20"/>
          <w:szCs w:val="20"/>
        </w:rPr>
        <w:instrText xml:space="preserve"> REF _Ref190082246 \w \h  \* MERGEFORMAT </w:instrText>
      </w:r>
      <w:r w:rsidR="00727C36" w:rsidRPr="00EB2E7B">
        <w:rPr>
          <w:rFonts w:asciiTheme="minorHAnsi" w:hAnsiTheme="minorHAnsi" w:cstheme="minorHAnsi"/>
          <w:sz w:val="20"/>
          <w:szCs w:val="20"/>
        </w:rPr>
      </w:r>
      <w:r w:rsidR="00727C3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w:t>
      </w:r>
      <w:r w:rsidR="00727C3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dokonywana jest zgodnie z zapisami GUD</w:t>
      </w:r>
    </w:p>
    <w:p w14:paraId="31341237" w14:textId="111DA84B" w:rsidR="00473957" w:rsidRPr="00EB2E7B" w:rsidRDefault="0077111A" w:rsidP="00587AEA">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w:t>
      </w:r>
      <w:r w:rsidR="009D3510" w:rsidRPr="00EB2E7B">
        <w:rPr>
          <w:rFonts w:asciiTheme="minorHAnsi" w:hAnsiTheme="minorHAnsi" w:cstheme="minorHAnsi"/>
          <w:sz w:val="20"/>
          <w:szCs w:val="20"/>
        </w:rPr>
        <w:t>przypadku stwierdzenia prawidłowości w działaniu układu pomiarowo-rozliczeniowego, strona wnioskująca o sprawdzenie tego układu pokrywa uzasadnione koszty związane z demontażem, montażem i wypożyczeniem zastępczego elementu układu pomiarowo-rozliczeniowego</w:t>
      </w:r>
      <w:r w:rsidRPr="00EB2E7B">
        <w:rPr>
          <w:rFonts w:asciiTheme="minorHAnsi" w:hAnsiTheme="minorHAnsi" w:cstheme="minorHAnsi"/>
          <w:sz w:val="20"/>
          <w:szCs w:val="20"/>
        </w:rPr>
        <w:t xml:space="preserve">. </w:t>
      </w:r>
    </w:p>
    <w:p w14:paraId="35AB856C" w14:textId="2C140B74" w:rsidR="0080039F" w:rsidRPr="00EB2E7B" w:rsidRDefault="0077111A" w:rsidP="00587AEA">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w:t>
      </w:r>
      <w:r w:rsidR="009D3510" w:rsidRPr="00EB2E7B">
        <w:rPr>
          <w:rFonts w:asciiTheme="minorHAnsi" w:hAnsiTheme="minorHAnsi" w:cstheme="minorHAnsi"/>
          <w:sz w:val="20"/>
          <w:szCs w:val="20"/>
        </w:rPr>
        <w:t>przypadku wymiany układu pomiarowo-rozliczeniowego w trakcie dostarczania energii elektrycznej, a także po zakończeniu jej dostarczania ACPRO wydaje odbiorcy, nie później niż w terminie 14 dni kalendarzowych od dnia zakończenia okresu rozliczeniowego, w którym nastąpił demontaż, dokument zawierający dane identyfikujące układ pomiarowo-rozliczeniowy i stan wskazań licznika w chwili demontażu</w:t>
      </w:r>
      <w:r w:rsidRPr="00EB2E7B">
        <w:rPr>
          <w:rFonts w:asciiTheme="minorHAnsi" w:hAnsiTheme="minorHAnsi" w:cstheme="minorHAnsi"/>
          <w:sz w:val="20"/>
          <w:szCs w:val="20"/>
        </w:rPr>
        <w:t xml:space="preserve">. </w:t>
      </w:r>
    </w:p>
    <w:p w14:paraId="0DF10AB0" w14:textId="38A7BE3D" w:rsidR="009D3510" w:rsidRPr="00EB2E7B" w:rsidRDefault="009D3510" w:rsidP="00587AEA">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Bez względu na kategorię układu pomiarowo-rozliczeniowego ACPRO ma prawo zainstalować w podstawowym układzie pomiarowo-rozliczeniowym własny licznik energii elektrycznej, w tym LZO.</w:t>
      </w:r>
    </w:p>
    <w:p w14:paraId="521E85FC" w14:textId="31EBD6BB" w:rsidR="00473957" w:rsidRPr="00EB2E7B" w:rsidRDefault="001F0A6D" w:rsidP="009A432E">
      <w:pPr>
        <w:pStyle w:val="Nagwek4gruby"/>
        <w:rPr>
          <w:rFonts w:asciiTheme="minorHAnsi" w:hAnsiTheme="minorHAnsi" w:cstheme="minorHAnsi"/>
          <w:sz w:val="20"/>
          <w:szCs w:val="20"/>
        </w:rPr>
      </w:pPr>
      <w:bookmarkStart w:id="152" w:name="_Ref180153040"/>
      <w:r w:rsidRPr="00EB2E7B">
        <w:rPr>
          <w:rFonts w:asciiTheme="minorHAnsi" w:hAnsiTheme="minorHAnsi" w:cstheme="minorHAnsi"/>
          <w:sz w:val="20"/>
          <w:szCs w:val="20"/>
        </w:rPr>
        <w:t>Wymagania dla układów pomiarowo-rozliczeniowych kategorii B.</w:t>
      </w:r>
      <w:bookmarkEnd w:id="152"/>
      <w:r w:rsidR="0077111A" w:rsidRPr="00EB2E7B">
        <w:rPr>
          <w:rFonts w:asciiTheme="minorHAnsi" w:hAnsiTheme="minorHAnsi" w:cstheme="minorHAnsi"/>
          <w:sz w:val="20"/>
          <w:szCs w:val="20"/>
        </w:rPr>
        <w:t xml:space="preserve"> </w:t>
      </w:r>
    </w:p>
    <w:p w14:paraId="7806FC3F" w14:textId="40C0318A" w:rsidR="00473957" w:rsidRPr="00EB2E7B" w:rsidRDefault="001F0A6D" w:rsidP="009007D2">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Układy pomiarowo-rozliczeniowe kategorii B3, B2 i B1, spełniają następujące wymagania:</w:t>
      </w:r>
    </w:p>
    <w:p w14:paraId="3F07E5B6" w14:textId="561D9F0F" w:rsidR="00473957" w:rsidRPr="00EB2E7B" w:rsidRDefault="001F0A6D" w:rsidP="009007D2">
      <w:pPr>
        <w:pStyle w:val="aprzed"/>
        <w:numPr>
          <w:ilvl w:val="0"/>
          <w:numId w:val="48"/>
        </w:numPr>
        <w:ind w:left="1701" w:hanging="566"/>
        <w:rPr>
          <w:rFonts w:asciiTheme="minorHAnsi" w:hAnsiTheme="minorHAnsi" w:cstheme="minorHAnsi"/>
          <w:sz w:val="20"/>
          <w:szCs w:val="20"/>
        </w:rPr>
      </w:pPr>
      <w:r w:rsidRPr="00EB2E7B">
        <w:rPr>
          <w:rFonts w:asciiTheme="minorHAnsi" w:hAnsiTheme="minorHAnsi" w:cstheme="minorHAnsi"/>
          <w:sz w:val="20"/>
          <w:szCs w:val="20"/>
        </w:rPr>
        <w:t>przekładniki prądowe mają klasę dokładności nie gorszą niż 0,2S,</w:t>
      </w:r>
    </w:p>
    <w:p w14:paraId="2D045574" w14:textId="500F4261" w:rsidR="00560059" w:rsidRPr="00EB2E7B" w:rsidRDefault="001F0A6D" w:rsidP="009007D2">
      <w:pPr>
        <w:pStyle w:val="aprzed"/>
        <w:numPr>
          <w:ilvl w:val="0"/>
          <w:numId w:val="48"/>
        </w:numPr>
        <w:ind w:left="1701" w:hanging="566"/>
        <w:rPr>
          <w:rFonts w:asciiTheme="minorHAnsi" w:hAnsiTheme="minorHAnsi" w:cstheme="minorHAnsi"/>
          <w:sz w:val="20"/>
          <w:szCs w:val="20"/>
        </w:rPr>
      </w:pPr>
      <w:r w:rsidRPr="00EB2E7B">
        <w:rPr>
          <w:rFonts w:asciiTheme="minorHAnsi" w:hAnsiTheme="minorHAnsi" w:cstheme="minorHAnsi"/>
          <w:sz w:val="20"/>
          <w:szCs w:val="20"/>
        </w:rPr>
        <w:t>przekładniki napięciowe mają klasę dokładności nie gorszą niż 0,2,</w:t>
      </w:r>
    </w:p>
    <w:p w14:paraId="4DF5635B" w14:textId="74DD6D2E" w:rsidR="009007D2" w:rsidRPr="00EB2E7B" w:rsidRDefault="009007D2" w:rsidP="009007D2">
      <w:pPr>
        <w:pStyle w:val="aprzed"/>
        <w:numPr>
          <w:ilvl w:val="0"/>
          <w:numId w:val="48"/>
        </w:numPr>
        <w:ind w:left="1701" w:hanging="566"/>
        <w:rPr>
          <w:rFonts w:asciiTheme="minorHAnsi" w:hAnsiTheme="minorHAnsi" w:cstheme="minorHAnsi"/>
          <w:sz w:val="20"/>
          <w:szCs w:val="20"/>
        </w:rPr>
      </w:pPr>
      <w:r w:rsidRPr="00EB2E7B">
        <w:rPr>
          <w:rFonts w:asciiTheme="minorHAnsi" w:hAnsiTheme="minorHAnsi" w:cstheme="minorHAnsi"/>
          <w:sz w:val="20"/>
          <w:szCs w:val="20"/>
        </w:rPr>
        <w:t>liczniki zdalnego odczytu mają klasę dokładności nie gorszą niż C dla pomiaru energii czynnej i nie gorszą niż 1 lub 1S dla pomiaru energii biernej,</w:t>
      </w:r>
    </w:p>
    <w:p w14:paraId="0B372F02" w14:textId="4F8F5B6F" w:rsidR="009007D2" w:rsidRPr="00EB2E7B" w:rsidRDefault="009007D2" w:rsidP="009007D2">
      <w:pPr>
        <w:pStyle w:val="aprzed"/>
        <w:numPr>
          <w:ilvl w:val="0"/>
          <w:numId w:val="48"/>
        </w:numPr>
        <w:ind w:left="1701" w:hanging="566"/>
        <w:rPr>
          <w:rFonts w:asciiTheme="minorHAnsi" w:hAnsiTheme="minorHAnsi" w:cstheme="minorHAnsi"/>
          <w:sz w:val="20"/>
          <w:szCs w:val="20"/>
        </w:rPr>
      </w:pPr>
      <w:r w:rsidRPr="00EB2E7B">
        <w:rPr>
          <w:rFonts w:asciiTheme="minorHAnsi" w:hAnsiTheme="minorHAnsi" w:cstheme="minorHAnsi"/>
          <w:sz w:val="20"/>
          <w:szCs w:val="20"/>
        </w:rPr>
        <w:t>w przypadku kategorii B3 liczniki zdalnego odczytu w układzie pomiarowo-rozliczeniowym podstawowym i rezerwowym mogą być zasilane z jednego rdzenia lub uzwojenia przekładników.</w:t>
      </w:r>
    </w:p>
    <w:p w14:paraId="20AF4D1D" w14:textId="3522524C" w:rsidR="00473957" w:rsidRPr="00EB2E7B" w:rsidRDefault="00DC2B7B" w:rsidP="009A432E">
      <w:pPr>
        <w:pStyle w:val="Nagwek4gruby"/>
        <w:rPr>
          <w:rFonts w:asciiTheme="minorHAnsi" w:hAnsiTheme="minorHAnsi" w:cstheme="minorHAnsi"/>
          <w:sz w:val="20"/>
          <w:szCs w:val="20"/>
        </w:rPr>
      </w:pPr>
      <w:bookmarkStart w:id="153" w:name="_Ref180153046"/>
      <w:r w:rsidRPr="00EB2E7B">
        <w:rPr>
          <w:rFonts w:asciiTheme="minorHAnsi" w:hAnsiTheme="minorHAnsi" w:cstheme="minorHAnsi"/>
          <w:sz w:val="20"/>
          <w:szCs w:val="20"/>
        </w:rPr>
        <w:lastRenderedPageBreak/>
        <w:t>Wymagania dla układów pomiarowo-rozliczeniowych kategorii C.</w:t>
      </w:r>
      <w:bookmarkEnd w:id="153"/>
    </w:p>
    <w:p w14:paraId="002E19FF" w14:textId="0C357958" w:rsidR="00C7716C" w:rsidRPr="00EB2E7B" w:rsidRDefault="00DC2B7B" w:rsidP="009154E2">
      <w:pPr>
        <w:pStyle w:val="Nagwek5"/>
        <w:ind w:left="1134" w:hanging="1134"/>
        <w:rPr>
          <w:rFonts w:asciiTheme="minorHAnsi" w:hAnsiTheme="minorHAnsi" w:cstheme="minorHAnsi"/>
          <w:sz w:val="20"/>
          <w:szCs w:val="20"/>
        </w:rPr>
      </w:pPr>
      <w:bookmarkStart w:id="154" w:name="_Ref151917546"/>
      <w:r w:rsidRPr="00EB2E7B">
        <w:rPr>
          <w:rFonts w:asciiTheme="minorHAnsi" w:hAnsiTheme="minorHAnsi" w:cstheme="minorHAnsi"/>
          <w:sz w:val="20"/>
          <w:szCs w:val="20"/>
        </w:rPr>
        <w:t>Układy pomiarowo-rozliczeniowe kategorii C1 spełniają następujące wymagania:</w:t>
      </w:r>
      <w:bookmarkEnd w:id="154"/>
    </w:p>
    <w:p w14:paraId="03A7F18E" w14:textId="3627571D" w:rsidR="00473957" w:rsidRPr="00EB2E7B" w:rsidRDefault="00DC2B7B" w:rsidP="00E636A2">
      <w:pPr>
        <w:pStyle w:val="aprzed"/>
        <w:numPr>
          <w:ilvl w:val="0"/>
          <w:numId w:val="49"/>
        </w:numPr>
        <w:ind w:left="1701" w:hanging="566"/>
        <w:rPr>
          <w:rFonts w:asciiTheme="minorHAnsi" w:hAnsiTheme="minorHAnsi" w:cstheme="minorHAnsi"/>
          <w:sz w:val="20"/>
          <w:szCs w:val="20"/>
        </w:rPr>
      </w:pPr>
      <w:r w:rsidRPr="00EB2E7B">
        <w:rPr>
          <w:rFonts w:asciiTheme="minorHAnsi" w:hAnsiTheme="minorHAnsi" w:cstheme="minorHAnsi"/>
          <w:sz w:val="20"/>
          <w:szCs w:val="20"/>
        </w:rPr>
        <w:t>przekładniki prądowe, o ile występują w układzie pomiarowo-rozliczeniowym, mają klasę dokładności nie gorszą niż 0,2,</w:t>
      </w:r>
    </w:p>
    <w:p w14:paraId="4B45AB25" w14:textId="2FBF5AF1" w:rsidR="009154E2" w:rsidRPr="00EB2E7B" w:rsidRDefault="009154E2" w:rsidP="00E636A2">
      <w:pPr>
        <w:pStyle w:val="aprzed"/>
        <w:numPr>
          <w:ilvl w:val="0"/>
          <w:numId w:val="49"/>
        </w:numPr>
        <w:ind w:left="1701" w:hanging="566"/>
        <w:rPr>
          <w:rFonts w:asciiTheme="minorHAnsi" w:hAnsiTheme="minorHAnsi" w:cstheme="minorHAnsi"/>
          <w:sz w:val="20"/>
          <w:szCs w:val="20"/>
        </w:rPr>
      </w:pPr>
      <w:r w:rsidRPr="00EB2E7B">
        <w:rPr>
          <w:rFonts w:asciiTheme="minorHAnsi" w:hAnsiTheme="minorHAnsi" w:cstheme="minorHAnsi"/>
          <w:sz w:val="20"/>
          <w:szCs w:val="20"/>
        </w:rPr>
        <w:t>liczniki konwencjonalne i liczniki zdalnego odczytu mają klasę dokładności nie gorszą niż B dla pomiaru energii czynnej oraz nie gorszą niż 1 dla pomiaru energii biernej.</w:t>
      </w:r>
    </w:p>
    <w:p w14:paraId="2281C715" w14:textId="061ACC62" w:rsidR="00473957" w:rsidRPr="00EB2E7B" w:rsidRDefault="00DC2B7B" w:rsidP="009154E2">
      <w:pPr>
        <w:pStyle w:val="Nagwek5"/>
        <w:ind w:left="1134" w:hanging="1134"/>
        <w:rPr>
          <w:rFonts w:asciiTheme="minorHAnsi" w:hAnsiTheme="minorHAnsi" w:cstheme="minorHAnsi"/>
          <w:sz w:val="20"/>
          <w:szCs w:val="20"/>
        </w:rPr>
      </w:pPr>
      <w:bookmarkStart w:id="155" w:name="_Ref151917556"/>
      <w:r w:rsidRPr="00EB2E7B">
        <w:rPr>
          <w:rFonts w:asciiTheme="minorHAnsi" w:hAnsiTheme="minorHAnsi" w:cstheme="minorHAnsi"/>
          <w:sz w:val="20"/>
          <w:szCs w:val="20"/>
        </w:rPr>
        <w:t>Układy pomiarowo-rozliczeniowe kategorii C2 spełniają następujące wymagania:</w:t>
      </w:r>
      <w:bookmarkEnd w:id="155"/>
    </w:p>
    <w:p w14:paraId="67BF478B" w14:textId="3D79EAAC" w:rsidR="00473957" w:rsidRPr="00EB2E7B" w:rsidRDefault="00DC2B7B" w:rsidP="009154E2">
      <w:pPr>
        <w:pStyle w:val="aprzed"/>
        <w:numPr>
          <w:ilvl w:val="0"/>
          <w:numId w:val="50"/>
        </w:numPr>
        <w:ind w:left="1701" w:hanging="566"/>
        <w:rPr>
          <w:rFonts w:asciiTheme="minorHAnsi" w:hAnsiTheme="minorHAnsi" w:cstheme="minorHAnsi"/>
          <w:sz w:val="20"/>
          <w:szCs w:val="20"/>
        </w:rPr>
      </w:pPr>
      <w:r w:rsidRPr="00EB2E7B">
        <w:rPr>
          <w:rFonts w:asciiTheme="minorHAnsi" w:hAnsiTheme="minorHAnsi" w:cstheme="minorHAnsi"/>
          <w:sz w:val="20"/>
          <w:szCs w:val="20"/>
        </w:rPr>
        <w:t>przekładniki prądowe, o ile występują mają klasę dokładności nie gorszą niż 0,2,</w:t>
      </w:r>
    </w:p>
    <w:p w14:paraId="49F9BD86" w14:textId="7B62E194" w:rsidR="009154E2" w:rsidRPr="00EB2E7B" w:rsidRDefault="009154E2" w:rsidP="009154E2">
      <w:pPr>
        <w:pStyle w:val="aprzed"/>
        <w:numPr>
          <w:ilvl w:val="0"/>
          <w:numId w:val="50"/>
        </w:numPr>
        <w:ind w:left="1701" w:hanging="566"/>
        <w:rPr>
          <w:rFonts w:asciiTheme="minorHAnsi" w:hAnsiTheme="minorHAnsi" w:cstheme="minorHAnsi"/>
          <w:sz w:val="20"/>
          <w:szCs w:val="20"/>
        </w:rPr>
      </w:pPr>
      <w:r w:rsidRPr="00EB2E7B">
        <w:rPr>
          <w:rFonts w:asciiTheme="minorHAnsi" w:hAnsiTheme="minorHAnsi" w:cstheme="minorHAnsi"/>
          <w:sz w:val="20"/>
          <w:szCs w:val="20"/>
        </w:rPr>
        <w:t>liczniki konwencjonalne i liczniki zdalnego odczytu mają klasę dokładności nie gorszą niż C dla pomiaru energii czynnej oraz nie gorszą niż 1 lub 1S dla pomiaru energii biernej.</w:t>
      </w:r>
    </w:p>
    <w:p w14:paraId="75E37DEB" w14:textId="21833C55" w:rsidR="006234C6" w:rsidRPr="00EB2E7B" w:rsidRDefault="00DC2B7B" w:rsidP="009154E2">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dla układów pomiarowo-rozliczeniowych </w:t>
      </w:r>
      <w:r w:rsidR="00A3082F" w:rsidRPr="00EB2E7B">
        <w:rPr>
          <w:rFonts w:asciiTheme="minorHAnsi" w:hAnsiTheme="minorHAnsi" w:cstheme="minorHAnsi"/>
          <w:sz w:val="20"/>
          <w:szCs w:val="20"/>
        </w:rPr>
        <w:t xml:space="preserve">określone w </w:t>
      </w:r>
      <w:proofErr w:type="spellStart"/>
      <w:r w:rsidR="00CC492D" w:rsidRPr="00EB2E7B">
        <w:rPr>
          <w:rFonts w:asciiTheme="minorHAnsi" w:hAnsiTheme="minorHAnsi" w:cstheme="minorHAnsi"/>
          <w:sz w:val="20"/>
          <w:szCs w:val="20"/>
        </w:rPr>
        <w:t>IRiESD</w:t>
      </w:r>
      <w:proofErr w:type="spellEnd"/>
      <w:r w:rsidR="00CC492D"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 dotyczą układów pomiarowo-rozliczeniowych instalowanych lub modernizowanych objętych postepowaniami przetargowymi wszczętymi po dniu wejścia w życie rozporządzenia pomiarowego.</w:t>
      </w:r>
    </w:p>
    <w:p w14:paraId="721FD4BF" w14:textId="77777777" w:rsidR="00473957" w:rsidRPr="00EB2E7B" w:rsidRDefault="0077111A" w:rsidP="00E70F87">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związane z systemami teletransmisyjnymi </w:t>
      </w:r>
    </w:p>
    <w:p w14:paraId="4A3187F1" w14:textId="7C207D81" w:rsidR="00473957" w:rsidRPr="00EB2E7B" w:rsidRDefault="00E31448" w:rsidP="009A432E">
      <w:pPr>
        <w:pStyle w:val="Nagwek4"/>
        <w:rPr>
          <w:rFonts w:asciiTheme="minorHAnsi" w:hAnsiTheme="minorHAnsi" w:cstheme="minorHAnsi"/>
          <w:sz w:val="20"/>
          <w:szCs w:val="20"/>
        </w:rPr>
      </w:pPr>
      <w:bookmarkStart w:id="156" w:name="_Ref75438048"/>
      <w:r w:rsidRPr="00EB2E7B">
        <w:rPr>
          <w:rFonts w:asciiTheme="minorHAnsi" w:hAnsiTheme="minorHAnsi" w:cstheme="minorHAnsi"/>
          <w:sz w:val="20"/>
          <w:szCs w:val="20"/>
        </w:rPr>
        <w:t xml:space="preserve">ACPRO </w:t>
      </w:r>
      <w:r w:rsidR="0077111A" w:rsidRPr="00EB2E7B">
        <w:rPr>
          <w:rFonts w:asciiTheme="minorHAnsi" w:hAnsiTheme="minorHAnsi" w:cstheme="minorHAnsi"/>
          <w:sz w:val="20"/>
          <w:szCs w:val="20"/>
        </w:rPr>
        <w:t>odpowiada za utrzymanie infrastruktury</w:t>
      </w:r>
      <w:r w:rsidR="00735C3C"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telekomunikacyjnej</w:t>
      </w:r>
      <w:r w:rsidR="00735C3C"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i</w:t>
      </w:r>
      <w:r w:rsidR="00B831A1" w:rsidRPr="00EB2E7B">
        <w:rPr>
          <w:rFonts w:asciiTheme="minorHAnsi" w:hAnsiTheme="minorHAnsi" w:cstheme="minorHAnsi"/>
          <w:sz w:val="20"/>
          <w:szCs w:val="20"/>
        </w:rPr>
        <w:t> </w:t>
      </w:r>
      <w:r w:rsidR="0077111A" w:rsidRPr="00EB2E7B">
        <w:rPr>
          <w:rFonts w:asciiTheme="minorHAnsi" w:hAnsiTheme="minorHAnsi" w:cstheme="minorHAnsi"/>
          <w:sz w:val="20"/>
          <w:szCs w:val="20"/>
        </w:rPr>
        <w:t>informatycznej niezbędnej do właściwego prowadzenia ruchu sieci dla obszaru swojego działania</w:t>
      </w:r>
      <w:r w:rsidR="00354E28" w:rsidRPr="00EB2E7B">
        <w:rPr>
          <w:rFonts w:asciiTheme="minorHAnsi" w:hAnsiTheme="minorHAnsi" w:cstheme="minorHAnsi"/>
          <w:sz w:val="20"/>
          <w:szCs w:val="20"/>
        </w:rPr>
        <w:t xml:space="preserve"> uwzględniając w szczególności postanowienia </w:t>
      </w:r>
      <w:proofErr w:type="spellStart"/>
      <w:r w:rsidR="00354E28" w:rsidRPr="00EB2E7B">
        <w:rPr>
          <w:rFonts w:asciiTheme="minorHAnsi" w:hAnsiTheme="minorHAnsi" w:cstheme="minorHAnsi"/>
          <w:sz w:val="20"/>
          <w:szCs w:val="20"/>
        </w:rPr>
        <w:t>IRiESP</w:t>
      </w:r>
      <w:proofErr w:type="spellEnd"/>
      <w:r w:rsidR="0077111A" w:rsidRPr="00EB2E7B">
        <w:rPr>
          <w:rFonts w:asciiTheme="minorHAnsi" w:hAnsiTheme="minorHAnsi" w:cstheme="minorHAnsi"/>
          <w:sz w:val="20"/>
          <w:szCs w:val="20"/>
        </w:rPr>
        <w:t xml:space="preserve">. </w:t>
      </w:r>
      <w:bookmarkEnd w:id="156"/>
    </w:p>
    <w:p w14:paraId="6938F965" w14:textId="74910271" w:rsidR="000740B5" w:rsidRPr="00EB2E7B" w:rsidRDefault="00CC6847" w:rsidP="009A432E">
      <w:pPr>
        <w:pStyle w:val="Nagwek4"/>
        <w:rPr>
          <w:rFonts w:asciiTheme="minorHAnsi" w:hAnsiTheme="minorHAnsi" w:cstheme="minorHAnsi"/>
          <w:sz w:val="20"/>
          <w:szCs w:val="20"/>
        </w:rPr>
      </w:pPr>
      <w:r w:rsidRPr="00EB2E7B">
        <w:rPr>
          <w:rFonts w:asciiTheme="minorHAnsi" w:hAnsiTheme="minorHAnsi" w:cstheme="minorHAnsi"/>
          <w:sz w:val="20"/>
          <w:szCs w:val="20"/>
        </w:rPr>
        <w:t>Infrastruktura telekomunikacyjna powinna umożliwiać współpracę z</w:t>
      </w:r>
      <w:r w:rsidR="09A01678"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sąsiednimi OSD, OSP </w:t>
      </w:r>
      <w:r w:rsidR="2FC1DC9A" w:rsidRPr="00EB2E7B">
        <w:rPr>
          <w:rFonts w:asciiTheme="minorHAnsi" w:hAnsiTheme="minorHAnsi" w:cstheme="minorHAnsi"/>
          <w:sz w:val="20"/>
          <w:szCs w:val="20"/>
        </w:rPr>
        <w:t>oraz</w:t>
      </w:r>
      <w:r w:rsidRPr="00EB2E7B">
        <w:rPr>
          <w:rFonts w:asciiTheme="minorHAnsi" w:hAnsiTheme="minorHAnsi" w:cstheme="minorHAnsi"/>
          <w:sz w:val="20"/>
          <w:szCs w:val="20"/>
        </w:rPr>
        <w:t xml:space="preserve"> podmiotami zakwalifikowanymi do I </w:t>
      </w:r>
      <w:proofErr w:type="spellStart"/>
      <w:r w:rsidRPr="00EB2E7B">
        <w:rPr>
          <w:rFonts w:asciiTheme="minorHAnsi" w:hAnsiTheme="minorHAnsi" w:cstheme="minorHAnsi"/>
          <w:sz w:val="20"/>
          <w:szCs w:val="20"/>
        </w:rPr>
        <w:t>i</w:t>
      </w:r>
      <w:proofErr w:type="spellEnd"/>
      <w:r w:rsidRPr="00EB2E7B">
        <w:rPr>
          <w:rFonts w:asciiTheme="minorHAnsi" w:hAnsiTheme="minorHAnsi" w:cstheme="minorHAnsi"/>
          <w:sz w:val="20"/>
          <w:szCs w:val="20"/>
        </w:rPr>
        <w:t xml:space="preserve"> II grupy przyłączeniowej, a w przypadkach określonych przez ACPRO również z podmiotami zakwalifikowanymi do pozostałych grup przyłączeniowych.</w:t>
      </w:r>
    </w:p>
    <w:p w14:paraId="49C49785" w14:textId="0466EEDD"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W zakresach, gdzie wymagane jest dostosowanie infrastruktury do potrzeb</w:t>
      </w:r>
      <w:r w:rsidR="00735C3C" w:rsidRPr="00EB2E7B">
        <w:rPr>
          <w:rFonts w:asciiTheme="minorHAnsi" w:hAnsiTheme="minorHAnsi" w:cstheme="minorHAnsi"/>
          <w:sz w:val="20"/>
          <w:szCs w:val="20"/>
        </w:rPr>
        <w:t xml:space="preserve"> </w:t>
      </w:r>
      <w:r w:rsidRPr="00EB2E7B">
        <w:rPr>
          <w:rFonts w:asciiTheme="minorHAnsi" w:hAnsiTheme="minorHAnsi" w:cstheme="minorHAnsi"/>
          <w:sz w:val="20"/>
          <w:szCs w:val="20"/>
        </w:rPr>
        <w:t>wymienionych w pkt.</w:t>
      </w:r>
      <w:r w:rsidR="000740B5" w:rsidRPr="00EB2E7B">
        <w:rPr>
          <w:rFonts w:asciiTheme="minorHAnsi" w:hAnsiTheme="minorHAnsi" w:cstheme="minorHAnsi"/>
          <w:sz w:val="20"/>
          <w:szCs w:val="20"/>
        </w:rPr>
        <w:t xml:space="preserve"> </w:t>
      </w:r>
      <w:r w:rsidR="000740B5" w:rsidRPr="00EB2E7B">
        <w:rPr>
          <w:rFonts w:asciiTheme="minorHAnsi" w:hAnsiTheme="minorHAnsi" w:cstheme="minorHAnsi"/>
          <w:sz w:val="20"/>
          <w:szCs w:val="20"/>
        </w:rPr>
        <w:fldChar w:fldCharType="begin"/>
      </w:r>
      <w:r w:rsidR="000740B5" w:rsidRPr="00EB2E7B">
        <w:rPr>
          <w:rFonts w:asciiTheme="minorHAnsi" w:hAnsiTheme="minorHAnsi" w:cstheme="minorHAnsi"/>
          <w:sz w:val="20"/>
          <w:szCs w:val="20"/>
        </w:rPr>
        <w:instrText xml:space="preserve"> REF _Ref75438048 \r \h </w:instrText>
      </w:r>
      <w:r w:rsidR="00EF569A" w:rsidRPr="00EB2E7B">
        <w:rPr>
          <w:rFonts w:asciiTheme="minorHAnsi" w:hAnsiTheme="minorHAnsi" w:cstheme="minorHAnsi"/>
          <w:sz w:val="20"/>
          <w:szCs w:val="20"/>
        </w:rPr>
        <w:instrText xml:space="preserve"> \* MERGEFORMAT </w:instrText>
      </w:r>
      <w:r w:rsidR="000740B5" w:rsidRPr="00EB2E7B">
        <w:rPr>
          <w:rFonts w:asciiTheme="minorHAnsi" w:hAnsiTheme="minorHAnsi" w:cstheme="minorHAnsi"/>
          <w:sz w:val="20"/>
          <w:szCs w:val="20"/>
        </w:rPr>
      </w:r>
      <w:r w:rsidR="000740B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II.4.8.1</w:t>
      </w:r>
      <w:r w:rsidR="000740B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zainteresowane strony wzajemnie uzgadniają między sobą zakres i szczegółowe wymagania, wraz z określeniem sposobów sfinansowania niezbędnych działań, uwzględniając w szczególności postanowienia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w:t>
      </w:r>
    </w:p>
    <w:p w14:paraId="48626092" w14:textId="4CD7449E" w:rsidR="009D3510" w:rsidRPr="00EB2E7B" w:rsidRDefault="009D3510" w:rsidP="00E70F87">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Wymagania dla urządzeń stosowanych do kontroli synchronizmu</w:t>
      </w:r>
    </w:p>
    <w:p w14:paraId="1C87FD93" w14:textId="7209BD47" w:rsidR="009D3510" w:rsidRPr="00EB2E7B" w:rsidRDefault="009D3510" w:rsidP="009A432E">
      <w:pPr>
        <w:pStyle w:val="Nagwek4"/>
        <w:rPr>
          <w:rFonts w:asciiTheme="minorHAnsi" w:hAnsiTheme="minorHAnsi" w:cstheme="minorHAnsi"/>
          <w:sz w:val="20"/>
          <w:szCs w:val="20"/>
        </w:rPr>
      </w:pPr>
      <w:r w:rsidRPr="00EB2E7B">
        <w:rPr>
          <w:rFonts w:asciiTheme="minorHAnsi" w:hAnsiTheme="minorHAnsi" w:cstheme="minorHAnsi"/>
          <w:sz w:val="20"/>
          <w:szCs w:val="20"/>
        </w:rPr>
        <w:t>Wymaga się stosowania urządzeń do kontroli synchronizmu w warunkach łączeń w sieci zamkniętej oraz łączenia obszarów asynchronicznych. ACPRO określa miejsca lokalizacji i wymagania dla urządzeń kontroli synchronizmu w sieci zamkniętej.</w:t>
      </w:r>
    </w:p>
    <w:p w14:paraId="36C5E884" w14:textId="77777777" w:rsidR="00A978E1" w:rsidRPr="00EB2E7B" w:rsidRDefault="00A978E1" w:rsidP="0099115A">
      <w:pPr>
        <w:ind w:left="70" w:firstLine="0"/>
        <w:rPr>
          <w:rFonts w:asciiTheme="minorHAnsi" w:hAnsiTheme="minorHAnsi" w:cstheme="minorHAnsi"/>
          <w:sz w:val="20"/>
          <w:szCs w:val="20"/>
        </w:rPr>
      </w:pPr>
    </w:p>
    <w:p w14:paraId="15F59E83" w14:textId="77777777" w:rsidR="00473957" w:rsidRPr="00EB2E7B" w:rsidRDefault="0077111A">
      <w:pPr>
        <w:pStyle w:val="Nagwek2"/>
        <w:rPr>
          <w:rFonts w:asciiTheme="minorHAnsi" w:hAnsiTheme="minorHAnsi" w:cstheme="minorHAnsi"/>
          <w:bCs/>
          <w:sz w:val="20"/>
          <w:szCs w:val="20"/>
        </w:rPr>
      </w:pPr>
      <w:bookmarkStart w:id="157" w:name="_Ref75427149"/>
      <w:bookmarkStart w:id="158" w:name="_Ref75518509"/>
      <w:bookmarkStart w:id="159" w:name="_Toc180153721"/>
      <w:bookmarkStart w:id="160" w:name="_Toc239333314"/>
      <w:r w:rsidRPr="00EB2E7B">
        <w:rPr>
          <w:rFonts w:asciiTheme="minorHAnsi" w:hAnsiTheme="minorHAnsi" w:cstheme="minorHAnsi"/>
          <w:sz w:val="20"/>
          <w:szCs w:val="20"/>
        </w:rPr>
        <w:t xml:space="preserve">DANE PRZEKAZYWANE DO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PRZEZ PODMIOTY PRZYŁĄCZONE I PRZYŁĄCZANE DO SIECI DYSTRYBUCYJNEJ</w:t>
      </w:r>
      <w:bookmarkEnd w:id="157"/>
      <w:bookmarkEnd w:id="158"/>
      <w:bookmarkEnd w:id="159"/>
      <w:bookmarkEnd w:id="160"/>
    </w:p>
    <w:p w14:paraId="0ACECF3A" w14:textId="77777777" w:rsidR="00473957" w:rsidRPr="00EB2E7B" w:rsidRDefault="0077111A" w:rsidP="00E70F87">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Zakres danych </w:t>
      </w:r>
    </w:p>
    <w:p w14:paraId="3AF08A0F" w14:textId="4D4D4AA6" w:rsidR="00E31448"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Dane przekazywane do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przez podmioty przyłączane i przyłączone do sieci dystrybucyjnej</w:t>
      </w:r>
      <w:r w:rsidR="00143E8B" w:rsidRPr="00EB2E7B">
        <w:rPr>
          <w:rFonts w:asciiTheme="minorHAnsi" w:hAnsiTheme="minorHAnsi" w:cstheme="minorHAnsi"/>
          <w:sz w:val="20"/>
          <w:szCs w:val="20"/>
        </w:rPr>
        <w:t xml:space="preserve">, nie ujęte w pkt </w:t>
      </w:r>
      <w:r w:rsidR="000740B5" w:rsidRPr="00EB2E7B">
        <w:rPr>
          <w:rFonts w:asciiTheme="minorHAnsi" w:hAnsiTheme="minorHAnsi" w:cstheme="minorHAnsi"/>
          <w:sz w:val="20"/>
          <w:szCs w:val="20"/>
        </w:rPr>
        <w:fldChar w:fldCharType="begin"/>
      </w:r>
      <w:r w:rsidR="000740B5" w:rsidRPr="00EB2E7B">
        <w:rPr>
          <w:rFonts w:asciiTheme="minorHAnsi" w:hAnsiTheme="minorHAnsi" w:cstheme="minorHAnsi"/>
          <w:sz w:val="20"/>
          <w:szCs w:val="20"/>
        </w:rPr>
        <w:instrText xml:space="preserve"> REF _Ref75438095 \r \h </w:instrText>
      </w:r>
      <w:r w:rsidR="00B15F41" w:rsidRPr="00EB2E7B">
        <w:rPr>
          <w:rFonts w:asciiTheme="minorHAnsi" w:hAnsiTheme="minorHAnsi" w:cstheme="minorHAnsi"/>
          <w:sz w:val="20"/>
          <w:szCs w:val="20"/>
        </w:rPr>
        <w:instrText xml:space="preserve"> \* MERGEFORMAT </w:instrText>
      </w:r>
      <w:r w:rsidR="000740B5" w:rsidRPr="00EB2E7B">
        <w:rPr>
          <w:rFonts w:asciiTheme="minorHAnsi" w:hAnsiTheme="minorHAnsi" w:cstheme="minorHAnsi"/>
          <w:sz w:val="20"/>
          <w:szCs w:val="20"/>
        </w:rPr>
      </w:r>
      <w:r w:rsidR="000740B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II.5.1.2</w:t>
      </w:r>
      <w:r w:rsidR="000740B5" w:rsidRPr="00EB2E7B">
        <w:rPr>
          <w:rFonts w:asciiTheme="minorHAnsi" w:hAnsiTheme="minorHAnsi" w:cstheme="minorHAnsi"/>
          <w:sz w:val="20"/>
          <w:szCs w:val="20"/>
        </w:rPr>
        <w:fldChar w:fldCharType="end"/>
      </w:r>
      <w:r w:rsidR="00143E8B"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obejmują: </w:t>
      </w:r>
    </w:p>
    <w:p w14:paraId="38ED3ED0" w14:textId="77777777" w:rsidR="00473957" w:rsidRPr="00EB2E7B" w:rsidRDefault="0077111A" w:rsidP="00E70F87">
      <w:pPr>
        <w:pStyle w:val="aprzed"/>
        <w:numPr>
          <w:ilvl w:val="0"/>
          <w:numId w:val="5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dane opisujące stan istniejący, </w:t>
      </w:r>
    </w:p>
    <w:p w14:paraId="008F717B" w14:textId="136ECD8B" w:rsidR="00473957" w:rsidRPr="00EB2E7B" w:rsidRDefault="0077111A" w:rsidP="00E70F87">
      <w:pPr>
        <w:pStyle w:val="aprzed"/>
        <w:numPr>
          <w:ilvl w:val="0"/>
          <w:numId w:val="5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dane prognozowane dla perspektywy określonej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1A012CD7" w14:textId="2C861619" w:rsidR="00473957" w:rsidRPr="00EB2E7B" w:rsidRDefault="0077111A" w:rsidP="00E70F87">
      <w:pPr>
        <w:pStyle w:val="aprzed"/>
        <w:numPr>
          <w:ilvl w:val="0"/>
          <w:numId w:val="5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dane pomiarowe opisujące stan pracy sieci, inne niż pomiary energii elektrycznej.  </w:t>
      </w:r>
    </w:p>
    <w:p w14:paraId="3A21ED94" w14:textId="2D7ED684" w:rsidR="00143E8B" w:rsidRPr="00EB2E7B" w:rsidRDefault="00143E8B" w:rsidP="009A432E">
      <w:pPr>
        <w:pStyle w:val="Nagwek4"/>
        <w:rPr>
          <w:rFonts w:asciiTheme="minorHAnsi" w:hAnsiTheme="minorHAnsi" w:cstheme="minorHAnsi"/>
          <w:sz w:val="20"/>
          <w:szCs w:val="20"/>
        </w:rPr>
      </w:pPr>
      <w:bookmarkStart w:id="161" w:name="_Ref75438095"/>
      <w:r w:rsidRPr="00EB2E7B">
        <w:rPr>
          <w:rFonts w:asciiTheme="minorHAnsi" w:hAnsiTheme="minorHAnsi" w:cstheme="minorHAnsi"/>
          <w:sz w:val="20"/>
          <w:szCs w:val="20"/>
        </w:rPr>
        <w:lastRenderedPageBreak/>
        <w:t>Podmioty przyłączane i przyłączone do sieci ACPRO,</w:t>
      </w:r>
      <w:r w:rsidR="0041518B" w:rsidRPr="00EB2E7B">
        <w:rPr>
          <w:rFonts w:asciiTheme="minorHAnsi" w:hAnsiTheme="minorHAnsi" w:cstheme="minorHAnsi"/>
          <w:sz w:val="20"/>
          <w:szCs w:val="20"/>
        </w:rPr>
        <w:t xml:space="preserve"> o których mowa w TCM</w:t>
      </w:r>
      <w:r w:rsidRPr="00EB2E7B">
        <w:rPr>
          <w:rFonts w:asciiTheme="minorHAnsi" w:hAnsiTheme="minorHAnsi" w:cstheme="minorHAnsi"/>
          <w:sz w:val="20"/>
          <w:szCs w:val="20"/>
        </w:rPr>
        <w:t xml:space="preserve"> mają obowiązek przekazywania danych strukturalnych do OSP lub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sytuacji, gdy:</w:t>
      </w:r>
      <w:bookmarkEnd w:id="161"/>
    </w:p>
    <w:p w14:paraId="42A411F5" w14:textId="77777777" w:rsidR="00143E8B" w:rsidRPr="00EB2E7B" w:rsidRDefault="00143E8B" w:rsidP="00E70F87">
      <w:pPr>
        <w:pStyle w:val="aprzed"/>
        <w:numPr>
          <w:ilvl w:val="0"/>
          <w:numId w:val="52"/>
        </w:numPr>
        <w:ind w:left="1701" w:hanging="566"/>
        <w:rPr>
          <w:rFonts w:asciiTheme="minorHAnsi" w:hAnsiTheme="minorHAnsi" w:cstheme="minorHAnsi"/>
          <w:sz w:val="20"/>
          <w:szCs w:val="20"/>
        </w:rPr>
      </w:pPr>
      <w:r w:rsidRPr="00EB2E7B">
        <w:rPr>
          <w:rFonts w:asciiTheme="minorHAnsi" w:hAnsiTheme="minorHAnsi" w:cstheme="minorHAnsi"/>
          <w:sz w:val="20"/>
          <w:szCs w:val="20"/>
        </w:rPr>
        <w:t>obowiązek ten dotyczy przekazywania danych bezpośrednio do OSP, zasady wykonania tego obowiązku wskazane są na stronie internetowej OSP,</w:t>
      </w:r>
    </w:p>
    <w:p w14:paraId="30A24F3E" w14:textId="7B0194AB" w:rsidR="00E70F87" w:rsidRPr="00EB2E7B" w:rsidRDefault="00E70F87" w:rsidP="00E70F87">
      <w:pPr>
        <w:pStyle w:val="aprzed"/>
        <w:numPr>
          <w:ilvl w:val="0"/>
          <w:numId w:val="52"/>
        </w:numPr>
        <w:ind w:left="1701" w:hanging="566"/>
        <w:rPr>
          <w:rFonts w:asciiTheme="minorHAnsi" w:hAnsiTheme="minorHAnsi" w:cstheme="minorHAnsi"/>
          <w:sz w:val="20"/>
          <w:szCs w:val="20"/>
        </w:rPr>
      </w:pPr>
      <w:bookmarkStart w:id="162" w:name="_Ref190082562"/>
      <w:r w:rsidRPr="00EB2E7B">
        <w:rPr>
          <w:rFonts w:asciiTheme="minorHAnsi" w:hAnsiTheme="minorHAnsi" w:cstheme="minorHAnsi"/>
          <w:sz w:val="20"/>
          <w:szCs w:val="20"/>
        </w:rPr>
        <w:t xml:space="preserve">obowiązek ten dotyczy przekazywania danych bezpośrednio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 zasady wykonywania tego obowiązku wskazane są na stronie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bookmarkEnd w:id="162"/>
    </w:p>
    <w:p w14:paraId="78A24803" w14:textId="3FF02D14" w:rsidR="00473957" w:rsidRPr="00EB2E7B" w:rsidRDefault="00143E8B" w:rsidP="009A432E">
      <w:pPr>
        <w:pStyle w:val="Nagwek4"/>
        <w:rPr>
          <w:rFonts w:asciiTheme="minorHAnsi" w:hAnsiTheme="minorHAnsi" w:cstheme="minorHAnsi"/>
          <w:sz w:val="20"/>
          <w:szCs w:val="20"/>
        </w:rPr>
      </w:pPr>
      <w:r w:rsidRPr="00EB2E7B">
        <w:rPr>
          <w:rFonts w:asciiTheme="minorHAnsi" w:hAnsiTheme="minorHAnsi" w:cstheme="minorHAnsi"/>
          <w:sz w:val="20"/>
          <w:szCs w:val="20"/>
        </w:rPr>
        <w:t>Dane strukturalne,</w:t>
      </w:r>
      <w:r w:rsidR="009455C5" w:rsidRPr="00EB2E7B">
        <w:rPr>
          <w:rFonts w:asciiTheme="minorHAnsi" w:hAnsiTheme="minorHAnsi" w:cstheme="minorHAnsi"/>
          <w:sz w:val="20"/>
          <w:szCs w:val="20"/>
        </w:rPr>
        <w:t xml:space="preserve"> o których mowa w pkt </w:t>
      </w:r>
      <w:r w:rsidR="006C6BF8" w:rsidRPr="00EB2E7B">
        <w:rPr>
          <w:rFonts w:asciiTheme="minorHAnsi" w:hAnsiTheme="minorHAnsi" w:cstheme="minorHAnsi"/>
          <w:sz w:val="20"/>
          <w:szCs w:val="20"/>
        </w:rPr>
        <w:fldChar w:fldCharType="begin"/>
      </w:r>
      <w:r w:rsidR="006C6BF8" w:rsidRPr="00EB2E7B">
        <w:rPr>
          <w:rFonts w:asciiTheme="minorHAnsi" w:hAnsiTheme="minorHAnsi" w:cstheme="minorHAnsi"/>
          <w:sz w:val="20"/>
          <w:szCs w:val="20"/>
        </w:rPr>
        <w:instrText xml:space="preserve"> REF _Ref75438095 \r \h  \* MERGEFORMAT </w:instrText>
      </w:r>
      <w:r w:rsidR="006C6BF8" w:rsidRPr="00EB2E7B">
        <w:rPr>
          <w:rFonts w:asciiTheme="minorHAnsi" w:hAnsiTheme="minorHAnsi" w:cstheme="minorHAnsi"/>
          <w:sz w:val="20"/>
          <w:szCs w:val="20"/>
        </w:rPr>
      </w:r>
      <w:r w:rsidR="006C6BF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II.5.1.2</w:t>
      </w:r>
      <w:r w:rsidR="006C6BF8" w:rsidRPr="00EB2E7B">
        <w:rPr>
          <w:rFonts w:asciiTheme="minorHAnsi" w:hAnsiTheme="minorHAnsi" w:cstheme="minorHAnsi"/>
          <w:sz w:val="20"/>
          <w:szCs w:val="20"/>
        </w:rPr>
        <w:fldChar w:fldCharType="end"/>
      </w:r>
      <w:r w:rsidR="009455C5" w:rsidRPr="00EB2E7B">
        <w:rPr>
          <w:rFonts w:asciiTheme="minorHAnsi" w:hAnsiTheme="minorHAnsi" w:cstheme="minorHAnsi"/>
          <w:sz w:val="20"/>
          <w:szCs w:val="20"/>
        </w:rPr>
        <w:t xml:space="preserve"> lit. </w:t>
      </w:r>
      <w:r w:rsidR="00305D9F" w:rsidRPr="00EB2E7B">
        <w:rPr>
          <w:rFonts w:asciiTheme="minorHAnsi" w:hAnsiTheme="minorHAnsi" w:cstheme="minorHAnsi"/>
          <w:sz w:val="20"/>
          <w:szCs w:val="20"/>
        </w:rPr>
        <w:fldChar w:fldCharType="begin"/>
      </w:r>
      <w:r w:rsidR="00305D9F" w:rsidRPr="00EB2E7B">
        <w:rPr>
          <w:rFonts w:asciiTheme="minorHAnsi" w:hAnsiTheme="minorHAnsi" w:cstheme="minorHAnsi"/>
          <w:sz w:val="20"/>
          <w:szCs w:val="20"/>
        </w:rPr>
        <w:instrText xml:space="preserve"> REF _Ref190082562 \w \h  \* MERGEFORMAT </w:instrText>
      </w:r>
      <w:r w:rsidR="00305D9F" w:rsidRPr="00EB2E7B">
        <w:rPr>
          <w:rFonts w:asciiTheme="minorHAnsi" w:hAnsiTheme="minorHAnsi" w:cstheme="minorHAnsi"/>
          <w:sz w:val="20"/>
          <w:szCs w:val="20"/>
        </w:rPr>
      </w:r>
      <w:r w:rsidR="00305D9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305D9F"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pozyskiwane przez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są przekazywane corocznie przez podmioty przekazujące dane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w</w:t>
      </w:r>
      <w:r w:rsidR="00B831A1" w:rsidRPr="00EB2E7B">
        <w:rPr>
          <w:rFonts w:asciiTheme="minorHAnsi" w:hAnsiTheme="minorHAnsi" w:cstheme="minorHAnsi"/>
          <w:sz w:val="20"/>
          <w:szCs w:val="20"/>
        </w:rPr>
        <w:t> </w:t>
      </w:r>
      <w:r w:rsidRPr="00EB2E7B">
        <w:rPr>
          <w:rFonts w:asciiTheme="minorHAnsi" w:hAnsiTheme="minorHAnsi" w:cstheme="minorHAnsi"/>
          <w:sz w:val="20"/>
          <w:szCs w:val="20"/>
        </w:rPr>
        <w:t xml:space="preserve">terminie </w:t>
      </w:r>
      <w:r w:rsidR="00322BD8" w:rsidRPr="00EB2E7B">
        <w:rPr>
          <w:rFonts w:asciiTheme="minorHAnsi" w:hAnsiTheme="minorHAnsi" w:cstheme="minorHAnsi"/>
          <w:sz w:val="20"/>
          <w:szCs w:val="20"/>
        </w:rPr>
        <w:t>do dnia 15</w:t>
      </w:r>
      <w:r w:rsidR="006E2556" w:rsidRPr="00EB2E7B">
        <w:rPr>
          <w:rFonts w:asciiTheme="minorHAnsi" w:hAnsiTheme="minorHAnsi" w:cstheme="minorHAnsi"/>
          <w:sz w:val="20"/>
          <w:szCs w:val="20"/>
        </w:rPr>
        <w:t>-go sierpnia roku poprzedzającego,</w:t>
      </w:r>
      <w:r w:rsidRPr="00EB2E7B">
        <w:rPr>
          <w:rFonts w:asciiTheme="minorHAnsi" w:hAnsiTheme="minorHAnsi" w:cstheme="minorHAnsi"/>
          <w:sz w:val="20"/>
          <w:szCs w:val="20"/>
        </w:rPr>
        <w:t xml:space="preserve"> na kolejne 5 lat kalendarzowych, przy czym podmiot przekazujący dane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dokonuje przeglądu przekaz</w:t>
      </w:r>
      <w:r w:rsidR="00BA520D" w:rsidRPr="00EB2E7B">
        <w:rPr>
          <w:rFonts w:asciiTheme="minorHAnsi" w:hAnsiTheme="minorHAnsi" w:cstheme="minorHAnsi"/>
          <w:sz w:val="20"/>
          <w:szCs w:val="20"/>
        </w:rPr>
        <w:t>y</w:t>
      </w:r>
      <w:r w:rsidR="004C0019" w:rsidRPr="00EB2E7B">
        <w:rPr>
          <w:rFonts w:asciiTheme="minorHAnsi" w:hAnsiTheme="minorHAnsi" w:cstheme="minorHAnsi"/>
          <w:sz w:val="20"/>
          <w:szCs w:val="20"/>
        </w:rPr>
        <w:t>w</w:t>
      </w:r>
      <w:r w:rsidRPr="00EB2E7B">
        <w:rPr>
          <w:rFonts w:asciiTheme="minorHAnsi" w:hAnsiTheme="minorHAnsi" w:cstheme="minorHAnsi"/>
          <w:sz w:val="20"/>
          <w:szCs w:val="20"/>
        </w:rPr>
        <w:t xml:space="preserve">anych informacji i przekazuje zaktualizowane informacje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zgodnie z zasadami określonymi w TCM. </w:t>
      </w:r>
    </w:p>
    <w:p w14:paraId="73994281" w14:textId="5F342AB2" w:rsidR="00715C5E" w:rsidRPr="00EB2E7B" w:rsidRDefault="00715C5E" w:rsidP="009A432E">
      <w:pPr>
        <w:pStyle w:val="Nagwek4"/>
        <w:rPr>
          <w:rFonts w:asciiTheme="minorHAnsi" w:hAnsiTheme="minorHAnsi" w:cstheme="minorHAnsi"/>
          <w:sz w:val="20"/>
          <w:szCs w:val="20"/>
        </w:rPr>
      </w:pPr>
      <w:r w:rsidRPr="00EB2E7B">
        <w:rPr>
          <w:rFonts w:asciiTheme="minorHAnsi" w:hAnsiTheme="minorHAnsi" w:cstheme="minorHAnsi"/>
          <w:sz w:val="20"/>
          <w:szCs w:val="20"/>
        </w:rPr>
        <w:t>Informacje dotyczące procedur wymiany danych strukturalnych, planistycznych i czasu rzeczywistego oraz podmiotów w nich uczestniczących są ujęte w pkt 12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w:t>
      </w:r>
    </w:p>
    <w:p w14:paraId="04B1820C" w14:textId="77777777" w:rsidR="00473957" w:rsidRPr="00EB2E7B" w:rsidRDefault="0077111A" w:rsidP="00E70F87">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Dane opisujące stan istniejący </w:t>
      </w:r>
    </w:p>
    <w:p w14:paraId="28D6A9A7"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Wytwórcy przekazują do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następujące dane opisujące stany istniejące swoich instalacji i urządzeń: </w:t>
      </w:r>
    </w:p>
    <w:p w14:paraId="4E373459" w14:textId="1592AFBC" w:rsidR="00473957" w:rsidRPr="00EB2E7B" w:rsidRDefault="0077111A" w:rsidP="65B6D341">
      <w:pPr>
        <w:pStyle w:val="aprzed"/>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nazwę węzła i napięcie przyłączenia, </w:t>
      </w:r>
    </w:p>
    <w:p w14:paraId="780C7CE6" w14:textId="739F1F25" w:rsidR="00E70F87" w:rsidRPr="00EB2E7B" w:rsidRDefault="0006770C" w:rsidP="00E70F87">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dane jednostek wytwórczych</w:t>
      </w:r>
      <w:r w:rsidR="0077111A" w:rsidRPr="00EB2E7B">
        <w:rPr>
          <w:rFonts w:asciiTheme="minorHAnsi" w:hAnsiTheme="minorHAnsi" w:cstheme="minorHAnsi"/>
          <w:sz w:val="20"/>
          <w:szCs w:val="20"/>
        </w:rPr>
        <w:t xml:space="preserve">, </w:t>
      </w:r>
    </w:p>
    <w:p w14:paraId="4E8C60FB" w14:textId="1364FAF1" w:rsidR="00473957" w:rsidRPr="00EB2E7B" w:rsidRDefault="0006770C" w:rsidP="00E636A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dane techniczne aparatury rozdzielczej, sterującej oraz elektroenergetycznej automatyki zabezpieczeniowej</w:t>
      </w:r>
      <w:r w:rsidR="0077111A" w:rsidRPr="00EB2E7B">
        <w:rPr>
          <w:rFonts w:asciiTheme="minorHAnsi" w:hAnsiTheme="minorHAnsi" w:cstheme="minorHAnsi"/>
          <w:sz w:val="20"/>
          <w:szCs w:val="20"/>
        </w:rPr>
        <w:t xml:space="preserve">, </w:t>
      </w:r>
    </w:p>
    <w:p w14:paraId="18EDA5B1" w14:textId="23FBA5A7" w:rsidR="006F561B" w:rsidRPr="00EB2E7B" w:rsidRDefault="001E17C8" w:rsidP="00E636A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moc osiągalną</w:t>
      </w:r>
      <w:r w:rsidR="0077111A" w:rsidRPr="00EB2E7B">
        <w:rPr>
          <w:rFonts w:asciiTheme="minorHAnsi" w:hAnsiTheme="minorHAnsi" w:cstheme="minorHAnsi"/>
          <w:sz w:val="20"/>
          <w:szCs w:val="20"/>
        </w:rPr>
        <w:t xml:space="preserve">, </w:t>
      </w:r>
    </w:p>
    <w:p w14:paraId="6BCAB454" w14:textId="080EB0B1" w:rsidR="00473957" w:rsidRPr="00EB2E7B" w:rsidRDefault="001E17C8" w:rsidP="00E636A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schematy, plany i konfigurację głównych układów elektrycznych</w:t>
      </w:r>
      <w:r w:rsidR="0077111A" w:rsidRPr="00EB2E7B">
        <w:rPr>
          <w:rFonts w:asciiTheme="minorHAnsi" w:hAnsiTheme="minorHAnsi" w:cstheme="minorHAnsi"/>
          <w:sz w:val="20"/>
          <w:szCs w:val="20"/>
        </w:rPr>
        <w:t xml:space="preserve">. </w:t>
      </w:r>
    </w:p>
    <w:p w14:paraId="5A74ECEE" w14:textId="369D328B" w:rsidR="00473957" w:rsidRPr="00EB2E7B" w:rsidRDefault="009249A2" w:rsidP="009A432E">
      <w:pPr>
        <w:pStyle w:val="Nagwek4"/>
        <w:rPr>
          <w:rFonts w:asciiTheme="minorHAnsi" w:hAnsiTheme="minorHAnsi" w:cstheme="minorHAnsi"/>
          <w:sz w:val="20"/>
          <w:szCs w:val="20"/>
        </w:rPr>
      </w:pPr>
      <w:r w:rsidRPr="00EB2E7B">
        <w:rPr>
          <w:rFonts w:asciiTheme="minorHAnsi" w:hAnsiTheme="minorHAnsi" w:cstheme="minorHAnsi"/>
          <w:sz w:val="20"/>
          <w:szCs w:val="20"/>
        </w:rPr>
        <w:t>Odbiorcy w</w:t>
      </w:r>
      <w:r w:rsidR="0077111A" w:rsidRPr="00EB2E7B">
        <w:rPr>
          <w:rFonts w:asciiTheme="minorHAnsi" w:hAnsiTheme="minorHAnsi" w:cstheme="minorHAnsi"/>
          <w:sz w:val="20"/>
          <w:szCs w:val="20"/>
        </w:rPr>
        <w:t xml:space="preserve">skazani przez </w:t>
      </w:r>
      <w:r w:rsidR="00232DA9" w:rsidRPr="00EB2E7B">
        <w:rPr>
          <w:rFonts w:asciiTheme="minorHAnsi" w:hAnsiTheme="minorHAnsi" w:cstheme="minorHAnsi"/>
          <w:sz w:val="20"/>
          <w:szCs w:val="20"/>
        </w:rPr>
        <w:t>ACPRO</w:t>
      </w:r>
      <w:r w:rsidR="00622EE7" w:rsidRPr="00EB2E7B">
        <w:rPr>
          <w:rFonts w:asciiTheme="minorHAnsi" w:hAnsiTheme="minorHAnsi" w:cstheme="minorHAnsi"/>
          <w:sz w:val="20"/>
          <w:szCs w:val="20"/>
        </w:rPr>
        <w:t>,</w:t>
      </w:r>
      <w:r w:rsidR="00FE38A9"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 xml:space="preserve">odbiorcy przyłączeni do sieci SN i </w:t>
      </w:r>
      <w:proofErr w:type="spellStart"/>
      <w:r w:rsidR="0077111A" w:rsidRPr="00EB2E7B">
        <w:rPr>
          <w:rFonts w:asciiTheme="minorHAnsi" w:hAnsiTheme="minorHAnsi" w:cstheme="minorHAnsi"/>
          <w:sz w:val="20"/>
          <w:szCs w:val="20"/>
        </w:rPr>
        <w:t>nN</w:t>
      </w:r>
      <w:proofErr w:type="spellEnd"/>
      <w:r w:rsidR="0077111A" w:rsidRPr="00EB2E7B">
        <w:rPr>
          <w:rFonts w:asciiTheme="minorHAnsi" w:hAnsiTheme="minorHAnsi" w:cstheme="minorHAnsi"/>
          <w:sz w:val="20"/>
          <w:szCs w:val="20"/>
        </w:rPr>
        <w:t xml:space="preserve">, przekazują do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następujące dane opisujące stan istniejący swoich instalacji i urządzeń: </w:t>
      </w:r>
    </w:p>
    <w:p w14:paraId="52B24E63" w14:textId="77777777" w:rsidR="00473957" w:rsidRPr="00EB2E7B" w:rsidRDefault="0077111A" w:rsidP="006F561B">
      <w:pPr>
        <w:pStyle w:val="aprzed"/>
        <w:numPr>
          <w:ilvl w:val="0"/>
          <w:numId w:val="5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dane o węzłach i ich wyposażeniu, liniach wraz ze schematami i planami, transformatorach,  </w:t>
      </w:r>
    </w:p>
    <w:p w14:paraId="1D760355" w14:textId="77777777" w:rsidR="00473957" w:rsidRPr="00EB2E7B" w:rsidRDefault="0077111A" w:rsidP="006F561B">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dane o ewentualnych jednostkach wytwórczych, </w:t>
      </w:r>
    </w:p>
    <w:p w14:paraId="536AA5C6" w14:textId="77777777" w:rsidR="00473957" w:rsidRPr="00EB2E7B" w:rsidRDefault="0077111A" w:rsidP="006F561B">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dane techniczne aparatury rozdzielczej, sterującej oraz elektroenergetycznej automatyki zabezpieczeniowej. </w:t>
      </w:r>
    </w:p>
    <w:p w14:paraId="3D668B3A"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Dane o węzłach obejmują w szczególności: </w:t>
      </w:r>
    </w:p>
    <w:p w14:paraId="21F7F1EF" w14:textId="77777777" w:rsidR="00473957" w:rsidRPr="00EB2E7B" w:rsidRDefault="0077111A" w:rsidP="00D25149">
      <w:pPr>
        <w:pStyle w:val="aprzed"/>
        <w:numPr>
          <w:ilvl w:val="0"/>
          <w:numId w:val="55"/>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nazwę węzła, </w:t>
      </w:r>
    </w:p>
    <w:p w14:paraId="40092AB3"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rodzaj i schemat stacji, </w:t>
      </w:r>
    </w:p>
    <w:p w14:paraId="3AB7FCCE"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rodzaj pól i ich wyposażenie, </w:t>
      </w:r>
    </w:p>
    <w:p w14:paraId="3F6A3444"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zapotrzebowanie na moc czynną i bierną w charakterystycznych godzinach pomiarowych z uwzględnieniem i bez uwzględnienia mocy osiągalnych jednostek wytwórczych, </w:t>
      </w:r>
    </w:p>
    <w:p w14:paraId="6863EED7"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roczne zapotrzebowanie na energię elektryczną z uwzględnieniem i bez uwzględnienia produkcji energii elektrycznej jednostek wytwórczych, </w:t>
      </w:r>
    </w:p>
    <w:p w14:paraId="5CCE9BA6"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udział odbiorców przemysłowych w szczytowym obciążeniu stacji, </w:t>
      </w:r>
    </w:p>
    <w:p w14:paraId="7D361E92"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 xml:space="preserve">moc bierną kompensującą, kondensatory ze znakiem „+”, dławiki ze znakiem  „-”, </w:t>
      </w:r>
    </w:p>
    <w:p w14:paraId="203FBD21"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układ normalny pracy. </w:t>
      </w:r>
    </w:p>
    <w:p w14:paraId="484758A7"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Dane o liniach obejmują w szczególności: </w:t>
      </w:r>
    </w:p>
    <w:p w14:paraId="7420EB50" w14:textId="77777777" w:rsidR="00473957" w:rsidRPr="00EB2E7B" w:rsidRDefault="0077111A" w:rsidP="00D25149">
      <w:pPr>
        <w:pStyle w:val="aprzed"/>
        <w:numPr>
          <w:ilvl w:val="0"/>
          <w:numId w:val="56"/>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nazwę węzła początkowego, </w:t>
      </w:r>
    </w:p>
    <w:p w14:paraId="2DF04470"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nazwę węzła końcowego, </w:t>
      </w:r>
    </w:p>
    <w:p w14:paraId="757E5793"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rezystancję linii, </w:t>
      </w:r>
    </w:p>
    <w:p w14:paraId="0AF288E8"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reaktancję dla składowej zgodnej, </w:t>
      </w:r>
    </w:p>
    <w:p w14:paraId="157AF258"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½ susceptancji poprzecznej pojemnościowej, </w:t>
      </w:r>
    </w:p>
    <w:p w14:paraId="28AFC714"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stosunek reaktancji dla składowej zerowej do reaktancji dla składowej zgodnej, </w:t>
      </w:r>
    </w:p>
    <w:p w14:paraId="7A750B13"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½ konduktancji poprzecznej, </w:t>
      </w:r>
    </w:p>
    <w:p w14:paraId="7736DCAC"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długość linii, typ i przekrój przewodów, </w:t>
      </w:r>
    </w:p>
    <w:p w14:paraId="0EBCAD98"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obciążalność termiczną linii w sezonie zimowym, </w:t>
      </w:r>
    </w:p>
    <w:p w14:paraId="775C647A"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obciążalność termiczną linii w sezonie letnim, </w:t>
      </w:r>
    </w:p>
    <w:p w14:paraId="2E87885E"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seria słupów. </w:t>
      </w:r>
    </w:p>
    <w:p w14:paraId="2087554B"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Dane o transformatorach obejmują w szczególności: </w:t>
      </w:r>
    </w:p>
    <w:p w14:paraId="02DFDB3E" w14:textId="77777777" w:rsidR="00473957" w:rsidRPr="00EB2E7B" w:rsidRDefault="0077111A" w:rsidP="00D25149">
      <w:pPr>
        <w:pStyle w:val="aprzed"/>
        <w:numPr>
          <w:ilvl w:val="0"/>
          <w:numId w:val="5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nazwy węzłów, do których jest przyłączony transformator, </w:t>
      </w:r>
    </w:p>
    <w:p w14:paraId="60EA8774"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dane znamionowe, </w:t>
      </w:r>
    </w:p>
    <w:p w14:paraId="205B543F" w14:textId="77777777" w:rsidR="00473957" w:rsidRPr="00EB2E7B" w:rsidRDefault="0077111A" w:rsidP="00D2514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model zwarciowy. </w:t>
      </w:r>
    </w:p>
    <w:p w14:paraId="6ABBBCF7" w14:textId="12C21776"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Dane o jednostkach wytwórczych obejmują w szczególności: </w:t>
      </w:r>
    </w:p>
    <w:p w14:paraId="3F4D45E5" w14:textId="77777777" w:rsidR="00473957" w:rsidRPr="00EB2E7B" w:rsidRDefault="0077111A" w:rsidP="00C85335">
      <w:pPr>
        <w:pStyle w:val="aprzed"/>
        <w:numPr>
          <w:ilvl w:val="0"/>
          <w:numId w:val="58"/>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nazwę węzła, do którego jednostka wytwórcza jest przyłączona, </w:t>
      </w:r>
    </w:p>
    <w:p w14:paraId="127F26D4"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sprawność przemiany energetycznej, </w:t>
      </w:r>
    </w:p>
    <w:p w14:paraId="3301552E"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wskaźnik zużycia energii elektrycznej na potrzeby własne jednostek wytwórczych, </w:t>
      </w:r>
    </w:p>
    <w:p w14:paraId="552D8819"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produkcję energii elektrycznej, </w:t>
      </w:r>
    </w:p>
    <w:p w14:paraId="4ECAFE5F"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wskaźniki </w:t>
      </w:r>
      <w:proofErr w:type="spellStart"/>
      <w:r w:rsidRPr="00EB2E7B">
        <w:rPr>
          <w:rFonts w:asciiTheme="minorHAnsi" w:hAnsiTheme="minorHAnsi" w:cstheme="minorHAnsi"/>
          <w:sz w:val="20"/>
          <w:szCs w:val="20"/>
        </w:rPr>
        <w:t>odstawień</w:t>
      </w:r>
      <w:proofErr w:type="spellEnd"/>
      <w:r w:rsidRPr="00EB2E7B">
        <w:rPr>
          <w:rFonts w:asciiTheme="minorHAnsi" w:hAnsiTheme="minorHAnsi" w:cstheme="minorHAnsi"/>
          <w:sz w:val="20"/>
          <w:szCs w:val="20"/>
        </w:rPr>
        <w:t xml:space="preserve"> awaryjnych, </w:t>
      </w:r>
    </w:p>
    <w:p w14:paraId="5C8D73CD"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parametry jakościowe paliwa (QAS) wraz z jego zużyciem, </w:t>
      </w:r>
    </w:p>
    <w:p w14:paraId="39A071E4"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emisje zanieczyszczeń SO2, NOX, pyły i CO2, </w:t>
      </w:r>
    </w:p>
    <w:p w14:paraId="5B3DF950"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stosowane instalacje ochrony środowiska (wraz z ich sprawnością), </w:t>
      </w:r>
    </w:p>
    <w:p w14:paraId="739268D2"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rezystancję i reaktancję gałęzi generator-transformator blokowy, </w:t>
      </w:r>
    </w:p>
    <w:p w14:paraId="52CC3CAB"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reaktancję zastępczą bloku z uwzględnieniem </w:t>
      </w:r>
      <w:proofErr w:type="spellStart"/>
      <w:r w:rsidRPr="00EB2E7B">
        <w:rPr>
          <w:rFonts w:asciiTheme="minorHAnsi" w:hAnsiTheme="minorHAnsi" w:cstheme="minorHAnsi"/>
          <w:sz w:val="20"/>
          <w:szCs w:val="20"/>
        </w:rPr>
        <w:t>X’d</w:t>
      </w:r>
      <w:proofErr w:type="spellEnd"/>
      <w:r w:rsidRPr="00EB2E7B">
        <w:rPr>
          <w:rFonts w:asciiTheme="minorHAnsi" w:hAnsiTheme="minorHAnsi" w:cstheme="minorHAnsi"/>
          <w:sz w:val="20"/>
          <w:szCs w:val="20"/>
        </w:rPr>
        <w:t xml:space="preserve"> generatora, </w:t>
      </w:r>
    </w:p>
    <w:p w14:paraId="00405A0C"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maksymalną wartość siły elektromotorycznej </w:t>
      </w:r>
      <w:proofErr w:type="spellStart"/>
      <w:r w:rsidRPr="00EB2E7B">
        <w:rPr>
          <w:rFonts w:asciiTheme="minorHAnsi" w:hAnsiTheme="minorHAnsi" w:cstheme="minorHAnsi"/>
          <w:sz w:val="20"/>
          <w:szCs w:val="20"/>
        </w:rPr>
        <w:t>E’max</w:t>
      </w:r>
      <w:proofErr w:type="spellEnd"/>
      <w:r w:rsidRPr="00EB2E7B">
        <w:rPr>
          <w:rFonts w:asciiTheme="minorHAnsi" w:hAnsiTheme="minorHAnsi" w:cstheme="minorHAnsi"/>
          <w:sz w:val="20"/>
          <w:szCs w:val="20"/>
        </w:rPr>
        <w:t xml:space="preserve"> podaną na poziomie napięcia węzła, do którego przyłączona jest jednostka wytwórcza, </w:t>
      </w:r>
    </w:p>
    <w:p w14:paraId="3FCB1D61"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stosunek reaktancji dla składowej symetrycznej zerowej do reaktancji dla składowej symetrycznej zgodnej dla gałęzi jednostka wytwórcza-transformator blokowy, </w:t>
      </w:r>
    </w:p>
    <w:p w14:paraId="6E32F3B8"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 xml:space="preserve">znamionową moc pozorną jednostki wytwórczej, </w:t>
      </w:r>
    </w:p>
    <w:p w14:paraId="33BCCE22"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napięcie znamionowe jednostki wytwórczej, </w:t>
      </w:r>
    </w:p>
    <w:p w14:paraId="6D3CC497"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znamionowy współczynnik mocy jednostki wytwórczej, </w:t>
      </w:r>
    </w:p>
    <w:p w14:paraId="4F4ED7AE"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reaktancję transformatora blokowego odniesioną do napięcia węzła, do którego jest przyłączony transformator, </w:t>
      </w:r>
    </w:p>
    <w:p w14:paraId="1EB50DBF"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moduł przekładni transformatora blokowego w jednostkach względnych, </w:t>
      </w:r>
    </w:p>
    <w:p w14:paraId="22DD2291"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moc czynną potrzeb własnych, </w:t>
      </w:r>
    </w:p>
    <w:p w14:paraId="1883E7C6"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współczynnik mocy potrzeb własnych, </w:t>
      </w:r>
    </w:p>
    <w:p w14:paraId="175F5B44"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maksymalną generowaną moc czynną, </w:t>
      </w:r>
    </w:p>
    <w:p w14:paraId="403D0C5B"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minimalną generowaną moc czynną, </w:t>
      </w:r>
    </w:p>
    <w:p w14:paraId="010FD1EF"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dla jednostek wytwórczych u wytwórców energii elektrycznej minimalną  i</w:t>
      </w:r>
      <w:r w:rsidR="00B831A1" w:rsidRPr="00EB2E7B">
        <w:rPr>
          <w:rFonts w:asciiTheme="minorHAnsi" w:hAnsiTheme="minorHAnsi" w:cstheme="minorHAnsi"/>
          <w:sz w:val="20"/>
          <w:szCs w:val="20"/>
        </w:rPr>
        <w:t> </w:t>
      </w:r>
      <w:r w:rsidRPr="00EB2E7B">
        <w:rPr>
          <w:rFonts w:asciiTheme="minorHAnsi" w:hAnsiTheme="minorHAnsi" w:cstheme="minorHAnsi"/>
          <w:sz w:val="20"/>
          <w:szCs w:val="20"/>
        </w:rPr>
        <w:t xml:space="preserve">maksymalną generowaną moc czynną w sezonie letnim i zimowym, </w:t>
      </w:r>
    </w:p>
    <w:p w14:paraId="56F56D41"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proofErr w:type="spellStart"/>
      <w:r w:rsidRPr="00EB2E7B">
        <w:rPr>
          <w:rFonts w:asciiTheme="minorHAnsi" w:hAnsiTheme="minorHAnsi" w:cstheme="minorHAnsi"/>
          <w:sz w:val="20"/>
          <w:szCs w:val="20"/>
        </w:rPr>
        <w:t>statyzm</w:t>
      </w:r>
      <w:proofErr w:type="spellEnd"/>
      <w:r w:rsidRPr="00EB2E7B">
        <w:rPr>
          <w:rFonts w:asciiTheme="minorHAnsi" w:hAnsiTheme="minorHAnsi" w:cstheme="minorHAnsi"/>
          <w:sz w:val="20"/>
          <w:szCs w:val="20"/>
        </w:rPr>
        <w:t xml:space="preserve"> turbiny, </w:t>
      </w:r>
    </w:p>
    <w:p w14:paraId="206D2FA2"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reaktancję </w:t>
      </w:r>
      <w:proofErr w:type="spellStart"/>
      <w:r w:rsidRPr="00EB2E7B">
        <w:rPr>
          <w:rFonts w:asciiTheme="minorHAnsi" w:hAnsiTheme="minorHAnsi" w:cstheme="minorHAnsi"/>
          <w:sz w:val="20"/>
          <w:szCs w:val="20"/>
        </w:rPr>
        <w:t>podprzejściową</w:t>
      </w:r>
      <w:proofErr w:type="spellEnd"/>
      <w:r w:rsidRPr="00EB2E7B">
        <w:rPr>
          <w:rFonts w:asciiTheme="minorHAnsi" w:hAnsiTheme="minorHAnsi" w:cstheme="minorHAnsi"/>
          <w:sz w:val="20"/>
          <w:szCs w:val="20"/>
        </w:rPr>
        <w:t xml:space="preserve"> generatora w osi d w jednostkach względnych, </w:t>
      </w:r>
    </w:p>
    <w:p w14:paraId="17C910B4"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reaktancję zastępczą gałęzi jednostka wytwórcza-transformator blokowy odniesioną do napięcia węzła, do którego jest przyłączona jednostka wytwórcza. </w:t>
      </w:r>
    </w:p>
    <w:p w14:paraId="17927B5F" w14:textId="77777777"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Formę przekazywanych danych, termin oraz sposób przekazania podmioty uzgadniają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6993A4E8" w14:textId="77777777" w:rsidR="00473957" w:rsidRPr="00EB2E7B" w:rsidRDefault="0077111A" w:rsidP="00C85335">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Dane prognozowane dla perspektywy czasowej określonej przez </w:t>
      </w:r>
      <w:r w:rsidR="00232DA9" w:rsidRPr="00EB2E7B">
        <w:rPr>
          <w:rFonts w:asciiTheme="minorHAnsi" w:hAnsiTheme="minorHAnsi" w:cstheme="minorHAnsi"/>
          <w:sz w:val="20"/>
          <w:szCs w:val="20"/>
        </w:rPr>
        <w:t>ACPRO</w:t>
      </w:r>
    </w:p>
    <w:p w14:paraId="602A375D" w14:textId="77777777" w:rsidR="00473957" w:rsidRPr="00EB2E7B" w:rsidRDefault="0077111A" w:rsidP="009A432E">
      <w:pPr>
        <w:pStyle w:val="Nagwek4"/>
        <w:rPr>
          <w:rFonts w:asciiTheme="minorHAnsi" w:hAnsiTheme="minorHAnsi" w:cstheme="minorHAnsi"/>
          <w:sz w:val="20"/>
          <w:szCs w:val="20"/>
        </w:rPr>
      </w:pPr>
      <w:bookmarkStart w:id="163" w:name="_Ref75513653"/>
      <w:r w:rsidRPr="00EB2E7B">
        <w:rPr>
          <w:rFonts w:asciiTheme="minorHAnsi" w:hAnsiTheme="minorHAnsi" w:cstheme="minorHAnsi"/>
          <w:sz w:val="20"/>
          <w:szCs w:val="20"/>
        </w:rPr>
        <w:t xml:space="preserve">Dane prognozowane opisujące warunki pracy urządzeń, instalacji i sieci podmiotów przyłączonych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obejmują dla każdego roku w zależności od potrzeb:</w:t>
      </w:r>
      <w:bookmarkEnd w:id="163"/>
      <w:r w:rsidRPr="00EB2E7B">
        <w:rPr>
          <w:rFonts w:asciiTheme="minorHAnsi" w:hAnsiTheme="minorHAnsi" w:cstheme="minorHAnsi"/>
          <w:sz w:val="20"/>
          <w:szCs w:val="20"/>
        </w:rPr>
        <w:t xml:space="preserve"> </w:t>
      </w:r>
    </w:p>
    <w:p w14:paraId="4E9AD7E1" w14:textId="77777777" w:rsidR="00473957" w:rsidRPr="00EB2E7B" w:rsidRDefault="0077111A" w:rsidP="00C85335">
      <w:pPr>
        <w:pStyle w:val="aprzed"/>
        <w:numPr>
          <w:ilvl w:val="0"/>
          <w:numId w:val="5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informacje o jednostkach wytwórczych, </w:t>
      </w:r>
    </w:p>
    <w:p w14:paraId="2558BE90"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informacje o zapotrzebowaniu na moc i energię elektryczną, </w:t>
      </w:r>
    </w:p>
    <w:p w14:paraId="58935C66"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informacje o wymianie międzysystemowej, </w:t>
      </w:r>
    </w:p>
    <w:p w14:paraId="284C96D6"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informacje o projektach zarządzania popytem, </w:t>
      </w:r>
    </w:p>
    <w:p w14:paraId="1D436B28" w14:textId="77777777" w:rsidR="00473957" w:rsidRPr="00EB2E7B" w:rsidRDefault="0077111A" w:rsidP="00C8533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inne dane w zakresie uzgodnionym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i podmiot przyłączony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3E72A816" w14:textId="626A80C1"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Informacje o jednostkach wytwórczych, o których mowa w pkt.</w:t>
      </w:r>
      <w:r w:rsidR="00F76FE2" w:rsidRPr="00EB2E7B">
        <w:rPr>
          <w:rFonts w:asciiTheme="minorHAnsi" w:hAnsiTheme="minorHAnsi" w:cstheme="minorHAnsi"/>
          <w:sz w:val="20"/>
          <w:szCs w:val="20"/>
        </w:rPr>
        <w:t xml:space="preserve"> </w:t>
      </w:r>
      <w:r w:rsidR="00F76FE2" w:rsidRPr="00EB2E7B">
        <w:rPr>
          <w:rFonts w:asciiTheme="minorHAnsi" w:hAnsiTheme="minorHAnsi" w:cstheme="minorHAnsi"/>
          <w:sz w:val="20"/>
          <w:szCs w:val="20"/>
        </w:rPr>
        <w:fldChar w:fldCharType="begin"/>
      </w:r>
      <w:r w:rsidR="00F76FE2" w:rsidRPr="00EB2E7B">
        <w:rPr>
          <w:rFonts w:asciiTheme="minorHAnsi" w:hAnsiTheme="minorHAnsi" w:cstheme="minorHAnsi"/>
          <w:sz w:val="20"/>
          <w:szCs w:val="20"/>
        </w:rPr>
        <w:instrText xml:space="preserve"> REF _Ref75513653 \r \h </w:instrText>
      </w:r>
      <w:r w:rsidR="001646E9" w:rsidRPr="00EB2E7B">
        <w:rPr>
          <w:rFonts w:asciiTheme="minorHAnsi" w:hAnsiTheme="minorHAnsi" w:cstheme="minorHAnsi"/>
          <w:sz w:val="20"/>
          <w:szCs w:val="20"/>
        </w:rPr>
        <w:instrText xml:space="preserve"> \* MERGEFORMAT </w:instrText>
      </w:r>
      <w:r w:rsidR="00F76FE2" w:rsidRPr="00EB2E7B">
        <w:rPr>
          <w:rFonts w:asciiTheme="minorHAnsi" w:hAnsiTheme="minorHAnsi" w:cstheme="minorHAnsi"/>
          <w:sz w:val="20"/>
          <w:szCs w:val="20"/>
        </w:rPr>
      </w:r>
      <w:r w:rsidR="00F76FE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II.5.3.1</w:t>
      </w:r>
      <w:r w:rsidR="00F76FE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obejmują  w zależności od potrzeb: </w:t>
      </w:r>
    </w:p>
    <w:p w14:paraId="4FA72391" w14:textId="77777777" w:rsidR="00473957" w:rsidRPr="00EB2E7B" w:rsidRDefault="0077111A" w:rsidP="00231908">
      <w:pPr>
        <w:pStyle w:val="aprzed"/>
        <w:numPr>
          <w:ilvl w:val="0"/>
          <w:numId w:val="60"/>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rodzaje jednostek wytwórczych, lokalizację i charakter ich pracy, </w:t>
      </w:r>
    </w:p>
    <w:p w14:paraId="5A0C47C4" w14:textId="77777777" w:rsidR="00473957" w:rsidRPr="00EB2E7B" w:rsidRDefault="0077111A" w:rsidP="00231908">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moce i przewidywane ograniczenia w produkcji energii elektrycznej, </w:t>
      </w:r>
    </w:p>
    <w:p w14:paraId="242A1F18" w14:textId="77777777" w:rsidR="00473957" w:rsidRPr="00EB2E7B" w:rsidRDefault="0077111A" w:rsidP="00231908">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przewidywaną elastyczność pracy, </w:t>
      </w:r>
    </w:p>
    <w:p w14:paraId="7C4E2B09" w14:textId="74C82C35" w:rsidR="00473957" w:rsidRPr="00EB2E7B" w:rsidRDefault="0077111A" w:rsidP="00231908">
      <w:pPr>
        <w:pStyle w:val="aprzed"/>
        <w:numPr>
          <w:ilvl w:val="0"/>
          <w:numId w:val="53"/>
        </w:numPr>
        <w:ind w:left="1701" w:hanging="566"/>
        <w:rPr>
          <w:rFonts w:asciiTheme="minorHAnsi" w:hAnsiTheme="minorHAnsi" w:cstheme="minorHAnsi"/>
          <w:sz w:val="20"/>
          <w:szCs w:val="20"/>
        </w:rPr>
      </w:pPr>
      <w:r w:rsidRPr="00EB2E7B" w:rsidDel="004D3DA9">
        <w:rPr>
          <w:rFonts w:asciiTheme="minorHAnsi" w:hAnsiTheme="minorHAnsi" w:cstheme="minorHAnsi"/>
          <w:sz w:val="20"/>
          <w:szCs w:val="20"/>
        </w:rPr>
        <w:t xml:space="preserve">liczbę dni remontów planowych, </w:t>
      </w:r>
      <w:r w:rsidRPr="00EB2E7B">
        <w:rPr>
          <w:rFonts w:asciiTheme="minorHAnsi" w:hAnsiTheme="minorHAnsi" w:cstheme="minorHAnsi"/>
          <w:sz w:val="20"/>
          <w:szCs w:val="20"/>
        </w:rPr>
        <w:t xml:space="preserve">techniczny i księgowy czas eksploatacji, </w:t>
      </w:r>
    </w:p>
    <w:p w14:paraId="5DD60129" w14:textId="77777777" w:rsidR="00473957" w:rsidRPr="00EB2E7B" w:rsidRDefault="0077111A" w:rsidP="00231908">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sprawności wytwarzania energii elektrycznej, </w:t>
      </w:r>
    </w:p>
    <w:p w14:paraId="75F77CB3" w14:textId="77777777" w:rsidR="00473957" w:rsidRPr="00EB2E7B" w:rsidRDefault="0077111A" w:rsidP="00231908">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rodzaj paliwa, jego charakterystykę i możliwości pozyskania, </w:t>
      </w:r>
    </w:p>
    <w:p w14:paraId="3277D411" w14:textId="77777777" w:rsidR="00473957" w:rsidRPr="00EB2E7B" w:rsidRDefault="0077111A" w:rsidP="00231908">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skuteczności instalacji oczyszczania spalin, </w:t>
      </w:r>
    </w:p>
    <w:p w14:paraId="3A0F5F87" w14:textId="77777777" w:rsidR="00473957" w:rsidRPr="00EB2E7B" w:rsidRDefault="0077111A" w:rsidP="00231908">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 xml:space="preserve">dane o ograniczeniach zawartych w posiadanych pozwoleniach związanych  z ochroną środowiska oraz czas ich obowiązywania, </w:t>
      </w:r>
    </w:p>
    <w:p w14:paraId="7AD07F3A" w14:textId="77777777" w:rsidR="00473957" w:rsidRPr="00EB2E7B" w:rsidRDefault="0077111A" w:rsidP="00231908">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dla jednostek wytwórczych pompowych sprawności pompowania i</w:t>
      </w:r>
      <w:r w:rsidR="00B831A1" w:rsidRPr="00EB2E7B">
        <w:rPr>
          <w:rFonts w:asciiTheme="minorHAnsi" w:hAnsiTheme="minorHAnsi" w:cstheme="minorHAnsi"/>
          <w:sz w:val="20"/>
          <w:szCs w:val="20"/>
        </w:rPr>
        <w:t> </w:t>
      </w:r>
      <w:r w:rsidRPr="00EB2E7B">
        <w:rPr>
          <w:rFonts w:asciiTheme="minorHAnsi" w:hAnsiTheme="minorHAnsi" w:cstheme="minorHAnsi"/>
          <w:sz w:val="20"/>
          <w:szCs w:val="20"/>
        </w:rPr>
        <w:t xml:space="preserve">wytwarzania oraz pojemność zbiornika górnego. </w:t>
      </w:r>
    </w:p>
    <w:p w14:paraId="2BADD553" w14:textId="1510586A" w:rsidR="00473957" w:rsidRPr="00EB2E7B" w:rsidRDefault="001C0857" w:rsidP="009A432E">
      <w:pPr>
        <w:pStyle w:val="Nagwek4"/>
        <w:rPr>
          <w:rFonts w:asciiTheme="minorHAnsi" w:hAnsiTheme="minorHAnsi" w:cstheme="minorHAnsi"/>
          <w:sz w:val="20"/>
          <w:szCs w:val="20"/>
        </w:rPr>
      </w:pPr>
      <w:r w:rsidRPr="00EB2E7B">
        <w:rPr>
          <w:rFonts w:asciiTheme="minorHAnsi" w:hAnsiTheme="minorHAnsi" w:cstheme="minorHAnsi"/>
          <w:sz w:val="20"/>
          <w:szCs w:val="20"/>
        </w:rPr>
        <w:t>Odbiorcy</w:t>
      </w:r>
      <w:r w:rsidR="00AD0742" w:rsidRPr="00EB2E7B">
        <w:rPr>
          <w:rFonts w:asciiTheme="minorHAnsi" w:hAnsiTheme="minorHAnsi" w:cstheme="minorHAnsi"/>
          <w:sz w:val="20"/>
          <w:szCs w:val="20"/>
        </w:rPr>
        <w:t xml:space="preserve"> w</w:t>
      </w:r>
      <w:r w:rsidR="0077111A" w:rsidRPr="00EB2E7B">
        <w:rPr>
          <w:rFonts w:asciiTheme="minorHAnsi" w:hAnsiTheme="minorHAnsi" w:cstheme="minorHAnsi"/>
          <w:sz w:val="20"/>
          <w:szCs w:val="20"/>
        </w:rPr>
        <w:t xml:space="preserve">skazani przez </w:t>
      </w:r>
      <w:r w:rsidR="00232DA9" w:rsidRPr="00EB2E7B">
        <w:rPr>
          <w:rFonts w:asciiTheme="minorHAnsi" w:hAnsiTheme="minorHAnsi" w:cstheme="minorHAnsi"/>
          <w:sz w:val="20"/>
          <w:szCs w:val="20"/>
        </w:rPr>
        <w:t>ACPRO</w:t>
      </w:r>
      <w:r w:rsidR="00AD0742"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odbiorcy przyłączeni do sieci SN i </w:t>
      </w:r>
      <w:proofErr w:type="spellStart"/>
      <w:r w:rsidR="0077111A" w:rsidRPr="00EB2E7B">
        <w:rPr>
          <w:rFonts w:asciiTheme="minorHAnsi" w:hAnsiTheme="minorHAnsi" w:cstheme="minorHAnsi"/>
          <w:sz w:val="20"/>
          <w:szCs w:val="20"/>
        </w:rPr>
        <w:t>nN</w:t>
      </w:r>
      <w:proofErr w:type="spellEnd"/>
      <w:r w:rsidR="0077111A" w:rsidRPr="00EB2E7B">
        <w:rPr>
          <w:rFonts w:asciiTheme="minorHAnsi" w:hAnsiTheme="minorHAnsi" w:cstheme="minorHAnsi"/>
          <w:sz w:val="20"/>
          <w:szCs w:val="20"/>
        </w:rPr>
        <w:t xml:space="preserve">, przekazują do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następujące informacje o</w:t>
      </w:r>
      <w:r w:rsidR="00B831A1" w:rsidRPr="00EB2E7B">
        <w:rPr>
          <w:rFonts w:asciiTheme="minorHAnsi" w:hAnsiTheme="minorHAnsi" w:cstheme="minorHAnsi"/>
          <w:sz w:val="20"/>
          <w:szCs w:val="20"/>
        </w:rPr>
        <w:t> </w:t>
      </w:r>
      <w:r w:rsidR="0077111A" w:rsidRPr="00EB2E7B">
        <w:rPr>
          <w:rFonts w:asciiTheme="minorHAnsi" w:hAnsiTheme="minorHAnsi" w:cstheme="minorHAnsi"/>
          <w:sz w:val="20"/>
          <w:szCs w:val="20"/>
        </w:rPr>
        <w:t>zapotrzebowaniu na moc i energię elektryczną, o</w:t>
      </w:r>
      <w:r w:rsidR="00B44D50"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których mowa w pkt. </w:t>
      </w:r>
      <w:r w:rsidR="00F76FE2" w:rsidRPr="00EB2E7B">
        <w:rPr>
          <w:rFonts w:asciiTheme="minorHAnsi" w:hAnsiTheme="minorHAnsi" w:cstheme="minorHAnsi"/>
          <w:sz w:val="20"/>
          <w:szCs w:val="20"/>
        </w:rPr>
        <w:fldChar w:fldCharType="begin"/>
      </w:r>
      <w:r w:rsidR="00F76FE2" w:rsidRPr="00EB2E7B">
        <w:rPr>
          <w:rFonts w:asciiTheme="minorHAnsi" w:hAnsiTheme="minorHAnsi" w:cstheme="minorHAnsi"/>
          <w:sz w:val="20"/>
          <w:szCs w:val="20"/>
        </w:rPr>
        <w:instrText xml:space="preserve"> REF _Ref75513653 \r \h </w:instrText>
      </w:r>
      <w:r w:rsidR="001F1FFB" w:rsidRPr="00EB2E7B">
        <w:rPr>
          <w:rFonts w:asciiTheme="minorHAnsi" w:hAnsiTheme="minorHAnsi" w:cstheme="minorHAnsi"/>
          <w:sz w:val="20"/>
          <w:szCs w:val="20"/>
        </w:rPr>
        <w:instrText xml:space="preserve"> \* MERGEFORMAT </w:instrText>
      </w:r>
      <w:r w:rsidR="00F76FE2" w:rsidRPr="00EB2E7B">
        <w:rPr>
          <w:rFonts w:asciiTheme="minorHAnsi" w:hAnsiTheme="minorHAnsi" w:cstheme="minorHAnsi"/>
          <w:sz w:val="20"/>
          <w:szCs w:val="20"/>
        </w:rPr>
      </w:r>
      <w:r w:rsidR="00F76FE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II.5.3.1</w:t>
      </w:r>
      <w:r w:rsidR="00F76FE2"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t>
      </w:r>
    </w:p>
    <w:p w14:paraId="46DD915E" w14:textId="77777777" w:rsidR="00473957" w:rsidRPr="00EB2E7B" w:rsidRDefault="0077111A" w:rsidP="007B76DC">
      <w:pPr>
        <w:pStyle w:val="aprzed"/>
        <w:numPr>
          <w:ilvl w:val="0"/>
          <w:numId w:val="6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zapotrzebowanie na moc i energię elektryczną, </w:t>
      </w:r>
    </w:p>
    <w:p w14:paraId="3D1E902D" w14:textId="77777777"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krzywe obciążeń w wybranych dobach reprezentatywnych, </w:t>
      </w:r>
    </w:p>
    <w:p w14:paraId="588DDDB2" w14:textId="77777777"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miesięczne bilanse mocy i energii. </w:t>
      </w:r>
    </w:p>
    <w:p w14:paraId="557EDD37" w14:textId="7934638A" w:rsidR="00D91360"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Informacje o wymianie międzysystemowej, o których mowa w pkt. </w:t>
      </w:r>
      <w:r w:rsidR="00F76FE2" w:rsidRPr="00EB2E7B">
        <w:rPr>
          <w:rFonts w:asciiTheme="minorHAnsi" w:hAnsiTheme="minorHAnsi" w:cstheme="minorHAnsi"/>
          <w:sz w:val="20"/>
          <w:szCs w:val="20"/>
        </w:rPr>
        <w:fldChar w:fldCharType="begin"/>
      </w:r>
      <w:r w:rsidR="00F76FE2" w:rsidRPr="00EB2E7B">
        <w:rPr>
          <w:rFonts w:asciiTheme="minorHAnsi" w:hAnsiTheme="minorHAnsi" w:cstheme="minorHAnsi"/>
          <w:sz w:val="20"/>
          <w:szCs w:val="20"/>
        </w:rPr>
        <w:instrText xml:space="preserve"> REF _Ref75513653 \r \h </w:instrText>
      </w:r>
      <w:r w:rsidR="003B0D5F" w:rsidRPr="00EB2E7B">
        <w:rPr>
          <w:rFonts w:asciiTheme="minorHAnsi" w:hAnsiTheme="minorHAnsi" w:cstheme="minorHAnsi"/>
          <w:sz w:val="20"/>
          <w:szCs w:val="20"/>
        </w:rPr>
        <w:instrText xml:space="preserve"> \* MERGEFORMAT </w:instrText>
      </w:r>
      <w:r w:rsidR="00F76FE2" w:rsidRPr="00EB2E7B">
        <w:rPr>
          <w:rFonts w:asciiTheme="minorHAnsi" w:hAnsiTheme="minorHAnsi" w:cstheme="minorHAnsi"/>
          <w:sz w:val="20"/>
          <w:szCs w:val="20"/>
        </w:rPr>
      </w:r>
      <w:r w:rsidR="00F76FE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II.5.3.1</w:t>
      </w:r>
      <w:r w:rsidR="00F76FE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obejmują:</w:t>
      </w:r>
    </w:p>
    <w:p w14:paraId="7EF961DD" w14:textId="77777777" w:rsidR="00473957" w:rsidRPr="00EB2E7B" w:rsidRDefault="0077111A" w:rsidP="007B76DC">
      <w:pPr>
        <w:pStyle w:val="aprzed"/>
        <w:numPr>
          <w:ilvl w:val="0"/>
          <w:numId w:val="62"/>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zakontraktowaną moc i energię elektryczną, </w:t>
      </w:r>
    </w:p>
    <w:p w14:paraId="402C6827" w14:textId="77777777"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czas obowiązywania kontraktu. </w:t>
      </w:r>
    </w:p>
    <w:p w14:paraId="02A4663B" w14:textId="27BC4483"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Informacje o projektach zarządzania popytem, o których mowa w pkt. </w:t>
      </w:r>
      <w:r w:rsidR="00F76FE2" w:rsidRPr="00EB2E7B">
        <w:rPr>
          <w:rFonts w:asciiTheme="minorHAnsi" w:hAnsiTheme="minorHAnsi" w:cstheme="minorHAnsi"/>
          <w:sz w:val="20"/>
          <w:szCs w:val="20"/>
        </w:rPr>
        <w:fldChar w:fldCharType="begin"/>
      </w:r>
      <w:r w:rsidR="00F76FE2" w:rsidRPr="00EB2E7B">
        <w:rPr>
          <w:rFonts w:asciiTheme="minorHAnsi" w:hAnsiTheme="minorHAnsi" w:cstheme="minorHAnsi"/>
          <w:sz w:val="20"/>
          <w:szCs w:val="20"/>
        </w:rPr>
        <w:instrText xml:space="preserve"> REF _Ref75513653 \r \h </w:instrText>
      </w:r>
      <w:r w:rsidR="003B0D5F" w:rsidRPr="00EB2E7B">
        <w:rPr>
          <w:rFonts w:asciiTheme="minorHAnsi" w:hAnsiTheme="minorHAnsi" w:cstheme="minorHAnsi"/>
          <w:sz w:val="20"/>
          <w:szCs w:val="20"/>
        </w:rPr>
        <w:instrText xml:space="preserve"> \* MERGEFORMAT </w:instrText>
      </w:r>
      <w:r w:rsidR="00F76FE2" w:rsidRPr="00EB2E7B">
        <w:rPr>
          <w:rFonts w:asciiTheme="minorHAnsi" w:hAnsiTheme="minorHAnsi" w:cstheme="minorHAnsi"/>
          <w:sz w:val="20"/>
          <w:szCs w:val="20"/>
        </w:rPr>
      </w:r>
      <w:r w:rsidR="00F76FE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II.5.3.1</w:t>
      </w:r>
      <w:r w:rsidR="00F76FE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obejmują: </w:t>
      </w:r>
    </w:p>
    <w:p w14:paraId="77F2928A" w14:textId="77777777" w:rsidR="00473957" w:rsidRPr="00EB2E7B" w:rsidRDefault="0077111A" w:rsidP="007B76DC">
      <w:pPr>
        <w:pStyle w:val="aprzed"/>
        <w:numPr>
          <w:ilvl w:val="0"/>
          <w:numId w:val="6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opis i harmonogram projektu, </w:t>
      </w:r>
    </w:p>
    <w:p w14:paraId="2FEC9F50" w14:textId="77777777"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przewidywaną wielkość ograniczenia zapotrzebowania na moc i energię elektryczną. </w:t>
      </w:r>
    </w:p>
    <w:p w14:paraId="0F745F1B" w14:textId="0D0A136B" w:rsidR="006234C6"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Formę przekazywanych danych prognozowanych, termin oraz sposób przekazania podmioty uzgadniają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14871737" w14:textId="08CFE87A" w:rsidR="005E2C84" w:rsidRPr="00EB2E7B" w:rsidRDefault="005E2C84" w:rsidP="007B76DC">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dotyczące zdalnego pozyskiwania danych pomiarowych </w:t>
      </w:r>
    </w:p>
    <w:p w14:paraId="1D925DFE" w14:textId="70E95355" w:rsidR="005E2C84" w:rsidRPr="00EB2E7B" w:rsidRDefault="005E2C84" w:rsidP="009A432E">
      <w:pPr>
        <w:pStyle w:val="Nagwek4"/>
        <w:rPr>
          <w:rFonts w:asciiTheme="minorHAnsi" w:hAnsiTheme="minorHAnsi" w:cstheme="minorHAnsi"/>
          <w:sz w:val="20"/>
          <w:szCs w:val="20"/>
        </w:rPr>
      </w:pPr>
      <w:r w:rsidRPr="00EB2E7B">
        <w:rPr>
          <w:rFonts w:asciiTheme="minorHAnsi" w:hAnsiTheme="minorHAnsi" w:cstheme="minorHAnsi"/>
          <w:sz w:val="20"/>
          <w:szCs w:val="20"/>
        </w:rPr>
        <w:t>Podmioty przyłączone do sieci ACPRO, mają obowiązek zgodnie z</w:t>
      </w:r>
      <w:r w:rsidR="00B831A1" w:rsidRPr="00EB2E7B">
        <w:rPr>
          <w:rFonts w:asciiTheme="minorHAnsi" w:hAnsiTheme="minorHAnsi" w:cstheme="minorHAnsi"/>
          <w:sz w:val="20"/>
          <w:szCs w:val="20"/>
        </w:rPr>
        <w:t> </w:t>
      </w:r>
      <w:r w:rsidRPr="00EB2E7B">
        <w:rPr>
          <w:rFonts w:asciiTheme="minorHAnsi" w:hAnsiTheme="minorHAnsi" w:cstheme="minorHAnsi"/>
          <w:sz w:val="20"/>
          <w:szCs w:val="20"/>
        </w:rPr>
        <w:t xml:space="preserve">TCM przekazywania danych czasu rzeczywistego do OSP lub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w:t>
      </w:r>
      <w:r w:rsidR="00B831A1" w:rsidRPr="00EB2E7B">
        <w:rPr>
          <w:rFonts w:asciiTheme="minorHAnsi" w:hAnsiTheme="minorHAnsi" w:cstheme="minorHAnsi"/>
          <w:sz w:val="20"/>
          <w:szCs w:val="20"/>
        </w:rPr>
        <w:t> </w:t>
      </w:r>
      <w:r w:rsidRPr="00EB2E7B">
        <w:rPr>
          <w:rFonts w:asciiTheme="minorHAnsi" w:hAnsiTheme="minorHAnsi" w:cstheme="minorHAnsi"/>
          <w:sz w:val="20"/>
          <w:szCs w:val="20"/>
        </w:rPr>
        <w:t>sytuacji, gdy:</w:t>
      </w:r>
    </w:p>
    <w:p w14:paraId="132C97EB" w14:textId="77777777" w:rsidR="005E2C84" w:rsidRPr="00EB2E7B" w:rsidRDefault="005E2C84" w:rsidP="007B76DC">
      <w:pPr>
        <w:pStyle w:val="aprzed"/>
        <w:numPr>
          <w:ilvl w:val="0"/>
          <w:numId w:val="64"/>
        </w:numPr>
        <w:ind w:left="1701" w:hanging="566"/>
        <w:rPr>
          <w:rFonts w:asciiTheme="minorHAnsi" w:hAnsiTheme="minorHAnsi" w:cstheme="minorHAnsi"/>
          <w:sz w:val="20"/>
          <w:szCs w:val="20"/>
        </w:rPr>
      </w:pPr>
      <w:r w:rsidRPr="00EB2E7B">
        <w:rPr>
          <w:rFonts w:asciiTheme="minorHAnsi" w:hAnsiTheme="minorHAnsi" w:cstheme="minorHAnsi"/>
          <w:sz w:val="20"/>
          <w:szCs w:val="20"/>
        </w:rPr>
        <w:t>obowiązek ten dotyczy przekazywania danych bezpośrednio do OSP, zasady wykonania tego obowiązku wskazane są na stronie internetowej OSP,</w:t>
      </w:r>
    </w:p>
    <w:p w14:paraId="30CCC027" w14:textId="77777777" w:rsidR="003A6277" w:rsidRPr="00EB2E7B" w:rsidRDefault="005E2C84"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obowiązek ten dotyczy przekazywania danych bezpośrednio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 zasady wykonywania tego obowiązku wskazane są na stronie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39F47155" w14:textId="77777777" w:rsidR="003A6277" w:rsidRPr="00EB2E7B" w:rsidRDefault="003A6277" w:rsidP="006F561B">
      <w:pPr>
        <w:pStyle w:val="aprzed"/>
        <w:numPr>
          <w:ilvl w:val="0"/>
          <w:numId w:val="53"/>
        </w:numPr>
        <w:rPr>
          <w:rFonts w:asciiTheme="minorHAnsi" w:hAnsiTheme="minorHAnsi" w:cstheme="minorHAnsi"/>
          <w:sz w:val="20"/>
          <w:szCs w:val="20"/>
        </w:rPr>
      </w:pPr>
      <w:r w:rsidRPr="00EB2E7B">
        <w:rPr>
          <w:rFonts w:asciiTheme="minorHAnsi" w:hAnsiTheme="minorHAnsi" w:cstheme="minorHAnsi"/>
          <w:sz w:val="20"/>
          <w:szCs w:val="20"/>
        </w:rPr>
        <w:br w:type="page"/>
      </w:r>
    </w:p>
    <w:p w14:paraId="71ACA98F" w14:textId="77777777" w:rsidR="00D2484B" w:rsidRPr="00EB2E7B" w:rsidRDefault="0077111A" w:rsidP="00A42849">
      <w:pPr>
        <w:pStyle w:val="Nagwek1"/>
        <w:rPr>
          <w:rFonts w:asciiTheme="minorHAnsi" w:hAnsiTheme="minorHAnsi" w:cstheme="minorHAnsi"/>
          <w:sz w:val="20"/>
          <w:szCs w:val="20"/>
        </w:rPr>
      </w:pPr>
      <w:bookmarkStart w:id="164" w:name="_Ref75516612"/>
      <w:bookmarkStart w:id="165" w:name="_Toc180153722"/>
      <w:bookmarkStart w:id="166" w:name="_Toc239333315"/>
      <w:r w:rsidRPr="00EB2E7B">
        <w:rPr>
          <w:rFonts w:asciiTheme="minorHAnsi" w:hAnsiTheme="minorHAnsi" w:cstheme="minorHAnsi"/>
          <w:sz w:val="20"/>
          <w:szCs w:val="20"/>
        </w:rPr>
        <w:lastRenderedPageBreak/>
        <w:t>EKSPLOATACJA URZĄDZEŃ, INSTALACJI I SIECI</w:t>
      </w:r>
      <w:bookmarkEnd w:id="164"/>
      <w:bookmarkEnd w:id="165"/>
      <w:bookmarkEnd w:id="166"/>
    </w:p>
    <w:p w14:paraId="07F1D16F" w14:textId="77777777" w:rsidR="00473957" w:rsidRPr="00EB2E7B" w:rsidRDefault="0077111A">
      <w:pPr>
        <w:pStyle w:val="Nagwek2"/>
        <w:rPr>
          <w:rFonts w:asciiTheme="minorHAnsi" w:hAnsiTheme="minorHAnsi" w:cstheme="minorHAnsi"/>
          <w:sz w:val="20"/>
          <w:szCs w:val="20"/>
        </w:rPr>
      </w:pPr>
      <w:bookmarkStart w:id="167" w:name="_Toc180153723"/>
      <w:bookmarkStart w:id="168" w:name="_Toc239333316"/>
      <w:r w:rsidRPr="00EB2E7B">
        <w:rPr>
          <w:rFonts w:asciiTheme="minorHAnsi" w:hAnsiTheme="minorHAnsi" w:cstheme="minorHAnsi"/>
          <w:sz w:val="20"/>
          <w:szCs w:val="20"/>
        </w:rPr>
        <w:t>PRZEPISY OGÓLNE</w:t>
      </w:r>
      <w:bookmarkEnd w:id="167"/>
      <w:bookmarkEnd w:id="168"/>
    </w:p>
    <w:p w14:paraId="62FC33D0" w14:textId="77777777" w:rsidR="00473957" w:rsidRPr="00EB2E7B" w:rsidRDefault="0077111A" w:rsidP="007B76D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Urządzenia przyłączone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muszą spełniać warunki legalizacji, uzyskiwania homologacji i/lub certyfikatów, znaku CE oraz innych wymagań określonych odrębnymi przepisami. </w:t>
      </w:r>
    </w:p>
    <w:p w14:paraId="005C9E04" w14:textId="77777777" w:rsidR="00D2484B" w:rsidRPr="00EB2E7B" w:rsidRDefault="0077111A"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Projektowanie oraz eksploatacja urządzeń, instalacji i sieci powinny zapewniać racjonalne i oszczędne zużycie paliw lub energii przy zachowaniu: </w:t>
      </w:r>
    </w:p>
    <w:p w14:paraId="7C269EB2" w14:textId="77777777" w:rsidR="00473957" w:rsidRPr="00EB2E7B" w:rsidRDefault="0077111A" w:rsidP="007B76DC">
      <w:pPr>
        <w:pStyle w:val="aprzed"/>
        <w:numPr>
          <w:ilvl w:val="0"/>
          <w:numId w:val="65"/>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niezawodności współdziałania z siecią, </w:t>
      </w:r>
    </w:p>
    <w:p w14:paraId="70A3090D" w14:textId="77777777"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bezpieczeństwa obsługi i otoczenia po spełnieniu wymagań ochrony środowiska, </w:t>
      </w:r>
    </w:p>
    <w:p w14:paraId="399F1FA6" w14:textId="77777777"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zgodności z wymaganiami odrębnych przepisów, a w szczególności przepisów: prawa budowlanego, o ochronie przeciwporażeniowej, o</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ochronie przeciwpożarowej, o dozorze technicznym, Polskich Norm wprowadzonych do obowiązkowego stosowania. </w:t>
      </w:r>
    </w:p>
    <w:p w14:paraId="288DFABF" w14:textId="77777777" w:rsidR="00473957" w:rsidRPr="00EB2E7B" w:rsidRDefault="0077111A" w:rsidP="007B76D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Zasady i standardy techniczne eksploatacji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obejmują zagadnienia związane z: </w:t>
      </w:r>
    </w:p>
    <w:p w14:paraId="69D94A40" w14:textId="77777777" w:rsidR="00473957" w:rsidRPr="00EB2E7B" w:rsidRDefault="0077111A" w:rsidP="007B76DC">
      <w:pPr>
        <w:pStyle w:val="aprzed"/>
        <w:numPr>
          <w:ilvl w:val="0"/>
          <w:numId w:val="66"/>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przyjmowaniem urządzeń, instalacji i sieci do eksploatacji, </w:t>
      </w:r>
    </w:p>
    <w:p w14:paraId="5002636C" w14:textId="77777777"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prowadzeniem zabiegów eksploatacyjnych, </w:t>
      </w:r>
    </w:p>
    <w:p w14:paraId="06AD0ED7" w14:textId="7ED50EE3"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przekazaniem urządzeń, instalacji i sieci do remontu lub wycofywaniem z</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eksploatacji, </w:t>
      </w:r>
    </w:p>
    <w:p w14:paraId="381EF119" w14:textId="65630BBB"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dokonywaniem uzgodnień z OSP</w:t>
      </w:r>
      <w:r w:rsidR="00573824" w:rsidRPr="00EB2E7B">
        <w:rPr>
          <w:rFonts w:asciiTheme="minorHAnsi" w:hAnsiTheme="minorHAnsi" w:cstheme="minorHAnsi"/>
          <w:sz w:val="20"/>
          <w:szCs w:val="20"/>
        </w:rPr>
        <w:t xml:space="preserve"> i</w:t>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OSDp</w:t>
      </w:r>
      <w:proofErr w:type="spellEnd"/>
      <w:r w:rsidR="00F76FE2"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przy wykonywaniu prac eksploatacyjnych, </w:t>
      </w:r>
    </w:p>
    <w:p w14:paraId="16141F41" w14:textId="77777777" w:rsidR="00473957" w:rsidRPr="00EB2E7B" w:rsidRDefault="0077111A" w:rsidP="007B76D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prowadzeniem dokumentacji technicznej i prawnej. </w:t>
      </w:r>
    </w:p>
    <w:p w14:paraId="1CFFCBEB" w14:textId="550AB32E" w:rsidR="00473957" w:rsidRPr="00EB2E7B" w:rsidRDefault="0077111A" w:rsidP="007B76D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Właściciel urządzeń, instalacji lub sieci odpowiada za ich należyty stan techniczny w tym za prawidłowe ich utrzymanie oraz prowadzenie eksploatacji przy zachowaniu należytej staranności poprzez m.in. wykonywanie oględzin, przeglądów, konserwacji i remontów oraz badań, pomiarów i prób eksploatacyjnych. </w:t>
      </w:r>
    </w:p>
    <w:p w14:paraId="2E2E772A" w14:textId="6B61002D" w:rsidR="00473957" w:rsidRPr="00EB2E7B" w:rsidRDefault="0077111A" w:rsidP="007B76D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Właściciel urządzeń, instalacji lub sieci może na podstawie umowy powierzyć prowadzenie eksploatacji swoich urządzeń, instalacji lub sieci innemu podmiotowi, z uwzględnieniem zasad określonych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Dopuszcza się w umowie zawartej pomiędzy właścicielem urządzeń, instalacji lub sieci oraz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uzgodnienie innych niż określone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standardów eksploatacji urządzeń, instalacji lub sieci. </w:t>
      </w:r>
    </w:p>
    <w:p w14:paraId="479E5887" w14:textId="77777777" w:rsidR="00473957" w:rsidRPr="00EB2E7B" w:rsidRDefault="0080072B" w:rsidP="007B76D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ACPRO </w:t>
      </w:r>
      <w:r w:rsidR="0077111A" w:rsidRPr="00EB2E7B">
        <w:rPr>
          <w:rFonts w:asciiTheme="minorHAnsi" w:hAnsiTheme="minorHAnsi" w:cstheme="minorHAnsi"/>
          <w:sz w:val="20"/>
          <w:szCs w:val="20"/>
        </w:rPr>
        <w:t>prowadzi eksploatację własnych</w:t>
      </w:r>
      <w:r w:rsidR="0088034D"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 xml:space="preserve">urządzeń elektroenergetycznych, zgodnie z zapisami niniejszej </w:t>
      </w:r>
      <w:proofErr w:type="spellStart"/>
      <w:r w:rsidR="0077111A" w:rsidRPr="00EB2E7B">
        <w:rPr>
          <w:rFonts w:asciiTheme="minorHAnsi" w:hAnsiTheme="minorHAnsi" w:cstheme="minorHAnsi"/>
          <w:sz w:val="20"/>
          <w:szCs w:val="20"/>
        </w:rPr>
        <w:t>IRiESD</w:t>
      </w:r>
      <w:proofErr w:type="spellEnd"/>
      <w:r w:rsidR="0077111A" w:rsidRPr="00EB2E7B">
        <w:rPr>
          <w:rFonts w:asciiTheme="minorHAnsi" w:hAnsiTheme="minorHAnsi" w:cstheme="minorHAnsi"/>
          <w:sz w:val="20"/>
          <w:szCs w:val="20"/>
        </w:rPr>
        <w:t xml:space="preserve"> oraz w oparciu o zasady i instrukcje eksploatacji sieci, instalacji, grup urządzeń lub poszczególnych urządzeń, w tym układów automatyki i zabezpieczeń, pomiarowych, regulacyjnych i sterowniczo-sygnalizacyjnych. </w:t>
      </w:r>
    </w:p>
    <w:p w14:paraId="20B71DD1" w14:textId="77777777" w:rsidR="00473957" w:rsidRPr="00EB2E7B" w:rsidRDefault="0077111A" w:rsidP="007B76D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Podmioty przyłączone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zobowiązane są do eksploatowania sieci, urządzeń i instalacji będących ich własnością w sposób nie zagrażający bezpiecznej pracy systemu dystrybucyjnego. Granicę eksploatacji sieci, urządzeń i instalacji (w tym układy automatyki zabezpieczeniowej, telemechaniki i układy pomiarowo-rozliczeniowe) oraz obowiązki stron w zakresie utrzymywania tych elementów w należytym stanie technicznym, reguluje umowa o świadczenie usług dystrybucyjnych lub umowa kompleksowa.  </w:t>
      </w:r>
    </w:p>
    <w:p w14:paraId="2BFFAE8C" w14:textId="468C33F1" w:rsidR="00473957" w:rsidRPr="00EB2E7B" w:rsidRDefault="00232DA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ACPRO</w:t>
      </w:r>
      <w:r w:rsidR="0077111A" w:rsidRPr="00EB2E7B">
        <w:rPr>
          <w:rFonts w:asciiTheme="minorHAnsi" w:hAnsiTheme="minorHAnsi" w:cstheme="minorHAnsi"/>
          <w:sz w:val="20"/>
          <w:szCs w:val="20"/>
        </w:rPr>
        <w:t xml:space="preserve"> może zażądać od podmiotu, któremu świadczy usługę dystrybucji wglądu w dokumentację eksploatacyjną </w:t>
      </w:r>
      <w:r w:rsidR="005B2CFC" w:rsidRPr="00EB2E7B">
        <w:rPr>
          <w:rFonts w:asciiTheme="minorHAnsi" w:hAnsiTheme="minorHAnsi" w:cstheme="minorHAnsi"/>
          <w:sz w:val="20"/>
          <w:szCs w:val="20"/>
        </w:rPr>
        <w:t xml:space="preserve">w celu sprawdzenia </w:t>
      </w:r>
      <w:r w:rsidR="0077111A" w:rsidRPr="00EB2E7B">
        <w:rPr>
          <w:rFonts w:asciiTheme="minorHAnsi" w:hAnsiTheme="minorHAnsi" w:cstheme="minorHAnsi"/>
          <w:sz w:val="20"/>
          <w:szCs w:val="20"/>
        </w:rPr>
        <w:t>terminowoś</w:t>
      </w:r>
      <w:r w:rsidR="005B2CFC" w:rsidRPr="00EB2E7B">
        <w:rPr>
          <w:rFonts w:asciiTheme="minorHAnsi" w:hAnsiTheme="minorHAnsi" w:cstheme="minorHAnsi"/>
          <w:sz w:val="20"/>
          <w:szCs w:val="20"/>
        </w:rPr>
        <w:t>ci</w:t>
      </w:r>
      <w:r w:rsidR="0077111A" w:rsidRPr="00EB2E7B">
        <w:rPr>
          <w:rFonts w:asciiTheme="minorHAnsi" w:hAnsiTheme="minorHAnsi" w:cstheme="minorHAnsi"/>
          <w:sz w:val="20"/>
          <w:szCs w:val="20"/>
        </w:rPr>
        <w:t xml:space="preserve"> i zakres</w:t>
      </w:r>
      <w:r w:rsidR="005B2CFC" w:rsidRPr="00EB2E7B">
        <w:rPr>
          <w:rFonts w:asciiTheme="minorHAnsi" w:hAnsiTheme="minorHAnsi" w:cstheme="minorHAnsi"/>
          <w:sz w:val="20"/>
          <w:szCs w:val="20"/>
        </w:rPr>
        <w:t>u</w:t>
      </w:r>
      <w:r w:rsidR="0077111A" w:rsidRPr="00EB2E7B">
        <w:rPr>
          <w:rFonts w:asciiTheme="minorHAnsi" w:hAnsiTheme="minorHAnsi" w:cstheme="minorHAnsi"/>
          <w:sz w:val="20"/>
          <w:szCs w:val="20"/>
        </w:rPr>
        <w:t xml:space="preserve"> prowadzonych prac eksploatacyjnych sieci, urządzeń i instalacji, których stan techniczny może mieć wpływ na pracę sieci dystrybucyjnej. </w:t>
      </w:r>
    </w:p>
    <w:p w14:paraId="0A7F1127" w14:textId="3DFEDA9E" w:rsidR="005A347B" w:rsidRPr="00B07211" w:rsidRDefault="0077111A" w:rsidP="002D7ADA">
      <w:pPr>
        <w:pStyle w:val="Nagwek3"/>
        <w:ind w:left="1134" w:hanging="1134"/>
        <w:rPr>
          <w:rFonts w:asciiTheme="minorHAnsi" w:hAnsiTheme="minorHAnsi" w:cstheme="minorHAnsi"/>
          <w:sz w:val="20"/>
          <w:szCs w:val="20"/>
        </w:rPr>
      </w:pPr>
      <w:bookmarkStart w:id="169" w:name="_Ref75514235"/>
      <w:r w:rsidRPr="00B07211">
        <w:rPr>
          <w:rFonts w:asciiTheme="minorHAnsi" w:hAnsiTheme="minorHAnsi" w:cstheme="minorHAnsi"/>
          <w:sz w:val="20"/>
          <w:szCs w:val="20"/>
        </w:rPr>
        <w:t>Wykonywanie oględzin, przeglądów, oceny stanu technicznego oraz konserwacji i remontów urządzeń, instalacji oraz sieci dystrybucyjnych</w:t>
      </w:r>
      <w:r w:rsidR="00D170E9" w:rsidRPr="00B07211">
        <w:rPr>
          <w:rFonts w:asciiTheme="minorHAnsi" w:hAnsiTheme="minorHAnsi" w:cstheme="minorHAnsi"/>
          <w:sz w:val="20"/>
          <w:szCs w:val="20"/>
        </w:rPr>
        <w:t xml:space="preserve"> eksploatowanych przez ACPRO</w:t>
      </w:r>
      <w:r w:rsidRPr="00B07211">
        <w:rPr>
          <w:rFonts w:asciiTheme="minorHAnsi" w:hAnsiTheme="minorHAnsi" w:cstheme="minorHAnsi"/>
          <w:sz w:val="20"/>
          <w:szCs w:val="20"/>
        </w:rPr>
        <w:t xml:space="preserve"> określa </w:t>
      </w:r>
      <w:r w:rsidR="00232DA9" w:rsidRPr="00B07211">
        <w:rPr>
          <w:rFonts w:asciiTheme="minorHAnsi" w:hAnsiTheme="minorHAnsi" w:cstheme="minorHAnsi"/>
          <w:sz w:val="20"/>
          <w:szCs w:val="20"/>
        </w:rPr>
        <w:t>ACPRO</w:t>
      </w:r>
      <w:r w:rsidRPr="00B07211">
        <w:rPr>
          <w:rFonts w:asciiTheme="minorHAnsi" w:hAnsiTheme="minorHAnsi" w:cstheme="minorHAnsi"/>
          <w:sz w:val="20"/>
          <w:szCs w:val="20"/>
        </w:rPr>
        <w:t xml:space="preserve"> w </w:t>
      </w:r>
      <w:r w:rsidR="00005006" w:rsidRPr="00B07211">
        <w:rPr>
          <w:rFonts w:asciiTheme="minorHAnsi" w:hAnsiTheme="minorHAnsi" w:cstheme="minorHAnsi"/>
          <w:sz w:val="20"/>
          <w:szCs w:val="20"/>
        </w:rPr>
        <w:t>dokumentach wewnętrznych</w:t>
      </w:r>
      <w:bookmarkEnd w:id="169"/>
      <w:r w:rsidRPr="00B07211">
        <w:rPr>
          <w:rFonts w:asciiTheme="minorHAnsi" w:hAnsiTheme="minorHAnsi" w:cstheme="minorHAnsi"/>
          <w:sz w:val="20"/>
          <w:szCs w:val="20"/>
        </w:rPr>
        <w:t xml:space="preserve">. </w:t>
      </w:r>
      <w:r w:rsidR="0080072B" w:rsidRPr="00B07211">
        <w:rPr>
          <w:rFonts w:asciiTheme="minorHAnsi" w:hAnsiTheme="minorHAnsi" w:cstheme="minorHAnsi"/>
          <w:sz w:val="20"/>
          <w:szCs w:val="20"/>
        </w:rPr>
        <w:t xml:space="preserve"> </w:t>
      </w:r>
    </w:p>
    <w:p w14:paraId="1332E29A" w14:textId="77777777" w:rsidR="00473957" w:rsidRPr="00EB2E7B" w:rsidRDefault="0077111A">
      <w:pPr>
        <w:pStyle w:val="Nagwek2"/>
        <w:rPr>
          <w:rFonts w:asciiTheme="minorHAnsi" w:hAnsiTheme="minorHAnsi" w:cstheme="minorHAnsi"/>
          <w:bCs/>
          <w:sz w:val="20"/>
          <w:szCs w:val="20"/>
        </w:rPr>
      </w:pPr>
      <w:bookmarkStart w:id="170" w:name="_Toc180153724"/>
      <w:bookmarkStart w:id="171" w:name="_Toc239333317"/>
      <w:r w:rsidRPr="00EB2E7B">
        <w:rPr>
          <w:rFonts w:asciiTheme="minorHAnsi" w:hAnsiTheme="minorHAnsi" w:cstheme="minorHAnsi"/>
          <w:sz w:val="20"/>
          <w:szCs w:val="20"/>
        </w:rPr>
        <w:t>PRZYJMOWANIE URZĄDZEŃ, INSTALACJI I SIECI DO</w:t>
      </w:r>
      <w:r w:rsidR="00573824" w:rsidRPr="00EB2E7B">
        <w:rPr>
          <w:rFonts w:asciiTheme="minorHAnsi" w:hAnsiTheme="minorHAnsi" w:cstheme="minorHAnsi"/>
          <w:sz w:val="20"/>
          <w:szCs w:val="20"/>
        </w:rPr>
        <w:t xml:space="preserve"> </w:t>
      </w:r>
      <w:r w:rsidRPr="00EB2E7B">
        <w:rPr>
          <w:rFonts w:asciiTheme="minorHAnsi" w:hAnsiTheme="minorHAnsi" w:cstheme="minorHAnsi"/>
          <w:sz w:val="20"/>
          <w:szCs w:val="20"/>
        </w:rPr>
        <w:t>EKSPLOATACJI</w:t>
      </w:r>
      <w:bookmarkEnd w:id="170"/>
      <w:bookmarkEnd w:id="171"/>
    </w:p>
    <w:p w14:paraId="222BEB17" w14:textId="32712052" w:rsidR="00473957" w:rsidRPr="00EB2E7B" w:rsidRDefault="0077111A" w:rsidP="005A347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Przyjęcie do eksploatacji urządzeń, instalacji i sieci: nowych, przebudowanych i po remoncie - następuje po przeprowadzeniu prób i pomiarów oraz stwierdzeniu spełnienia warunków określonych w niniejszej instrukcji, w</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zawartych umowach, a także warunków zawartych w dokumentacji projektowej i fabrycznej oraz spełnieniu wymagań, o których mowa w pkt. </w:t>
      </w:r>
      <w:r w:rsidR="00B81DF7" w:rsidRPr="00EB2E7B">
        <w:rPr>
          <w:rFonts w:asciiTheme="minorHAnsi" w:hAnsiTheme="minorHAnsi" w:cstheme="minorHAnsi"/>
          <w:sz w:val="20"/>
          <w:szCs w:val="20"/>
        </w:rPr>
        <w:fldChar w:fldCharType="begin"/>
      </w:r>
      <w:r w:rsidR="00B81DF7" w:rsidRPr="00EB2E7B">
        <w:rPr>
          <w:rFonts w:asciiTheme="minorHAnsi" w:hAnsiTheme="minorHAnsi" w:cstheme="minorHAnsi"/>
          <w:sz w:val="20"/>
          <w:szCs w:val="20"/>
        </w:rPr>
        <w:instrText xml:space="preserve"> REF _Ref75514337 \r \h </w:instrText>
      </w:r>
      <w:r w:rsidR="00246757" w:rsidRPr="00EB2E7B">
        <w:rPr>
          <w:rFonts w:asciiTheme="minorHAnsi" w:hAnsiTheme="minorHAnsi" w:cstheme="minorHAnsi"/>
          <w:sz w:val="20"/>
          <w:szCs w:val="20"/>
        </w:rPr>
        <w:instrText xml:space="preserve"> \* MERGEFORMAT </w:instrText>
      </w:r>
      <w:r w:rsidR="00B81DF7" w:rsidRPr="00EB2E7B">
        <w:rPr>
          <w:rFonts w:asciiTheme="minorHAnsi" w:hAnsiTheme="minorHAnsi" w:cstheme="minorHAnsi"/>
          <w:sz w:val="20"/>
          <w:szCs w:val="20"/>
        </w:rPr>
      </w:r>
      <w:r w:rsidR="00B81D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VII.4</w:t>
      </w:r>
      <w:r w:rsidR="00B81DF7" w:rsidRPr="00EB2E7B">
        <w:rPr>
          <w:rFonts w:asciiTheme="minorHAnsi" w:hAnsiTheme="minorHAnsi" w:cstheme="minorHAnsi"/>
          <w:sz w:val="20"/>
          <w:szCs w:val="20"/>
        </w:rPr>
        <w:fldChar w:fldCharType="end"/>
      </w:r>
      <w:r w:rsidR="00246757" w:rsidRPr="00EB2E7B">
        <w:rPr>
          <w:rFonts w:asciiTheme="minorHAnsi" w:hAnsiTheme="minorHAnsi" w:cstheme="minorHAnsi"/>
          <w:sz w:val="20"/>
          <w:szCs w:val="20"/>
        </w:rPr>
        <w:t>.</w:t>
      </w:r>
      <w:r w:rsidRPr="00EB2E7B">
        <w:rPr>
          <w:rFonts w:asciiTheme="minorHAnsi" w:hAnsiTheme="minorHAnsi" w:cstheme="minorHAnsi"/>
          <w:sz w:val="20"/>
          <w:szCs w:val="20"/>
        </w:rPr>
        <w:t xml:space="preserve"> Przyjmowane do eksploatacji urządzenia, instalacje i sieci w zależności od potrzeb, powinny posiadać wymaganą dokumentację prawną i techniczną. </w:t>
      </w:r>
    </w:p>
    <w:p w14:paraId="09E68D3A" w14:textId="3CA60847" w:rsidR="00473957" w:rsidRPr="00EB2E7B" w:rsidRDefault="0077111A" w:rsidP="005A347B">
      <w:pPr>
        <w:pStyle w:val="Nagwek3"/>
        <w:ind w:left="1134" w:hanging="1134"/>
        <w:rPr>
          <w:rFonts w:asciiTheme="minorHAnsi" w:hAnsiTheme="minorHAnsi" w:cstheme="minorHAnsi"/>
          <w:sz w:val="20"/>
          <w:szCs w:val="20"/>
        </w:rPr>
      </w:pPr>
      <w:bookmarkStart w:id="172" w:name="_Ref75514455"/>
      <w:r w:rsidRPr="00EB2E7B">
        <w:rPr>
          <w:rFonts w:asciiTheme="minorHAnsi" w:hAnsiTheme="minorHAnsi" w:cstheme="minorHAnsi"/>
          <w:sz w:val="20"/>
          <w:szCs w:val="20"/>
        </w:rPr>
        <w:t>Jednostki wytwórcze</w:t>
      </w:r>
      <w:r w:rsidR="00B81DF7" w:rsidRPr="00EB2E7B">
        <w:rPr>
          <w:rFonts w:asciiTheme="minorHAnsi" w:hAnsiTheme="minorHAnsi" w:cstheme="minorHAnsi"/>
          <w:sz w:val="20"/>
          <w:szCs w:val="20"/>
        </w:rPr>
        <w:t xml:space="preserve"> </w:t>
      </w:r>
      <w:r w:rsidR="0080072B" w:rsidRPr="00EB2E7B">
        <w:rPr>
          <w:rFonts w:asciiTheme="minorHAnsi" w:hAnsiTheme="minorHAnsi" w:cstheme="minorHAnsi"/>
          <w:sz w:val="20"/>
          <w:szCs w:val="20"/>
        </w:rPr>
        <w:t>o</w:t>
      </w:r>
      <w:r w:rsidRPr="00EB2E7B">
        <w:rPr>
          <w:rFonts w:asciiTheme="minorHAnsi" w:hAnsiTheme="minorHAnsi" w:cstheme="minorHAnsi"/>
          <w:sz w:val="20"/>
          <w:szCs w:val="20"/>
        </w:rPr>
        <w:t xml:space="preserve">raz inne urządzenia określone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przyłączane lub przyłączone do sieci SN 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po dokonaniu remontu lub przebudowy, przed przyjęciem do eksploatacji są poddawane specjalnej procedurze przy wprowadzaniu do eksploatacji np. ruchowi próbnemu.</w:t>
      </w:r>
      <w:bookmarkEnd w:id="172"/>
      <w:r w:rsidRPr="00EB2E7B">
        <w:rPr>
          <w:rFonts w:asciiTheme="minorHAnsi" w:hAnsiTheme="minorHAnsi" w:cstheme="minorHAnsi"/>
          <w:sz w:val="20"/>
          <w:szCs w:val="20"/>
        </w:rPr>
        <w:t xml:space="preserve"> </w:t>
      </w:r>
    </w:p>
    <w:p w14:paraId="6CC4A290" w14:textId="29F136F1" w:rsidR="004010BE" w:rsidRPr="00EB2E7B" w:rsidRDefault="0077111A" w:rsidP="005A347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Specjalne procedury o których mowa w pkt.</w:t>
      </w:r>
      <w:r w:rsidR="00B81DF7" w:rsidRPr="00EB2E7B">
        <w:rPr>
          <w:rFonts w:asciiTheme="minorHAnsi" w:hAnsiTheme="minorHAnsi" w:cstheme="minorHAnsi"/>
          <w:sz w:val="20"/>
          <w:szCs w:val="20"/>
        </w:rPr>
        <w:t xml:space="preserve"> </w:t>
      </w:r>
      <w:r w:rsidR="00B81DF7" w:rsidRPr="00EB2E7B">
        <w:rPr>
          <w:rFonts w:asciiTheme="minorHAnsi" w:hAnsiTheme="minorHAnsi" w:cstheme="minorHAnsi"/>
          <w:sz w:val="20"/>
          <w:szCs w:val="20"/>
        </w:rPr>
        <w:fldChar w:fldCharType="begin"/>
      </w:r>
      <w:r w:rsidR="00B81DF7" w:rsidRPr="00EB2E7B">
        <w:rPr>
          <w:rFonts w:asciiTheme="minorHAnsi" w:hAnsiTheme="minorHAnsi" w:cstheme="minorHAnsi"/>
          <w:sz w:val="20"/>
          <w:szCs w:val="20"/>
        </w:rPr>
        <w:instrText xml:space="preserve"> REF _Ref75514455 \r \h </w:instrText>
      </w:r>
      <w:r w:rsidR="00530AFB" w:rsidRPr="00EB2E7B">
        <w:rPr>
          <w:rFonts w:asciiTheme="minorHAnsi" w:hAnsiTheme="minorHAnsi" w:cstheme="minorHAnsi"/>
          <w:sz w:val="20"/>
          <w:szCs w:val="20"/>
        </w:rPr>
        <w:instrText xml:space="preserve"> \* MERGEFORMAT </w:instrText>
      </w:r>
      <w:r w:rsidR="00B81DF7" w:rsidRPr="00EB2E7B">
        <w:rPr>
          <w:rFonts w:asciiTheme="minorHAnsi" w:hAnsiTheme="minorHAnsi" w:cstheme="minorHAnsi"/>
          <w:sz w:val="20"/>
          <w:szCs w:val="20"/>
        </w:rPr>
      </w:r>
      <w:r w:rsidR="00B81D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III.2.2</w:t>
      </w:r>
      <w:r w:rsidR="00B81DF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są uzgadniane pomiędzy właścicielem lub podmiotem prowadzącym eksploatację urządzeń,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i</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wykonawcą prac, z uwzględnieniem wymagań producenta urządzeń. </w:t>
      </w:r>
    </w:p>
    <w:p w14:paraId="4E9D6CDE" w14:textId="1A9D9AA4" w:rsidR="004010BE" w:rsidRPr="00EB2E7B" w:rsidRDefault="0077111A" w:rsidP="005A347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Właściciel urządzeń, instalacji i sieci (w porozumieniu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jeżeli właścicielem nie jest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dokonuje odbioru urządzeń, instalacji i sieci oraz sporządza protokół stwierdzający spełnienie przez przyjmowane do eksploatacji urządzenia, instalacje i sieci wymagań określonych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0866528C" w14:textId="4728AA15" w:rsidR="00473957" w:rsidRPr="00EB2E7B" w:rsidRDefault="00232DA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 przypadku gdy nie jest właścicielem uruchamianych urządzeń, instalacji i sieci, zastrzega sobie prawo sprawdzenia urządzeń, instalacji i sieci przyłączanych do sieci, której jest operatorem. </w:t>
      </w:r>
    </w:p>
    <w:p w14:paraId="7E11D013" w14:textId="75802D92" w:rsidR="00870A08" w:rsidRPr="00EB2E7B" w:rsidRDefault="00870A08" w:rsidP="005A347B">
      <w:pPr>
        <w:pStyle w:val="Nagwek3"/>
        <w:ind w:left="1134" w:hanging="1134"/>
        <w:rPr>
          <w:rFonts w:asciiTheme="minorHAnsi" w:hAnsiTheme="minorHAnsi" w:cstheme="minorHAnsi"/>
          <w:b/>
          <w:bCs/>
          <w:sz w:val="20"/>
          <w:szCs w:val="20"/>
        </w:rPr>
      </w:pPr>
      <w:r w:rsidRPr="00EB2E7B">
        <w:rPr>
          <w:rFonts w:asciiTheme="minorHAnsi" w:hAnsiTheme="minorHAnsi" w:cstheme="minorHAnsi"/>
          <w:b/>
          <w:bCs/>
          <w:sz w:val="20"/>
          <w:szCs w:val="20"/>
        </w:rPr>
        <w:t xml:space="preserve">Wymagania dla obiektów istotnych z punktu widzenia planu </w:t>
      </w:r>
      <w:r w:rsidR="008403EE" w:rsidRPr="00EB2E7B">
        <w:rPr>
          <w:rFonts w:asciiTheme="minorHAnsi" w:hAnsiTheme="minorHAnsi" w:cstheme="minorHAnsi"/>
          <w:b/>
          <w:bCs/>
          <w:sz w:val="20"/>
          <w:szCs w:val="20"/>
        </w:rPr>
        <w:t xml:space="preserve">obrony </w:t>
      </w:r>
      <w:r w:rsidRPr="00EB2E7B">
        <w:rPr>
          <w:rFonts w:asciiTheme="minorHAnsi" w:hAnsiTheme="minorHAnsi" w:cstheme="minorHAnsi"/>
          <w:b/>
          <w:bCs/>
          <w:sz w:val="20"/>
          <w:szCs w:val="20"/>
        </w:rPr>
        <w:t>systemu lub planu odbudowy.</w:t>
      </w:r>
    </w:p>
    <w:p w14:paraId="2477EE99" w14:textId="28462672" w:rsidR="00870A08" w:rsidRPr="00EB2E7B" w:rsidRDefault="00870A08" w:rsidP="009A432E">
      <w:pPr>
        <w:pStyle w:val="Nagwek4"/>
        <w:rPr>
          <w:rFonts w:asciiTheme="minorHAnsi" w:hAnsiTheme="minorHAnsi" w:cstheme="minorHAnsi"/>
          <w:sz w:val="20"/>
          <w:szCs w:val="20"/>
        </w:rPr>
      </w:pPr>
      <w:bookmarkStart w:id="173" w:name="_Ref142657276"/>
      <w:r w:rsidRPr="00EB2E7B">
        <w:rPr>
          <w:rFonts w:asciiTheme="minorHAnsi" w:hAnsiTheme="minorHAnsi" w:cstheme="minorHAnsi"/>
          <w:sz w:val="20"/>
          <w:szCs w:val="20"/>
        </w:rPr>
        <w:t>Wymagania techniczne dla:</w:t>
      </w:r>
      <w:bookmarkEnd w:id="173"/>
    </w:p>
    <w:p w14:paraId="263DA0B5" w14:textId="51613991" w:rsidR="00870A08" w:rsidRPr="00EB2E7B" w:rsidRDefault="00870A08" w:rsidP="00E636A2">
      <w:pPr>
        <w:pStyle w:val="1przed"/>
        <w:numPr>
          <w:ilvl w:val="0"/>
          <w:numId w:val="158"/>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obiektów istotnych dla planu </w:t>
      </w:r>
      <w:r w:rsidR="00046377" w:rsidRPr="00EB2E7B">
        <w:rPr>
          <w:rFonts w:asciiTheme="minorHAnsi" w:hAnsiTheme="minorHAnsi" w:cstheme="minorHAnsi"/>
          <w:sz w:val="20"/>
          <w:szCs w:val="20"/>
        </w:rPr>
        <w:t xml:space="preserve">obrony </w:t>
      </w:r>
      <w:r w:rsidRPr="00EB2E7B">
        <w:rPr>
          <w:rFonts w:asciiTheme="minorHAnsi" w:hAnsiTheme="minorHAnsi" w:cstheme="minorHAnsi"/>
          <w:sz w:val="20"/>
          <w:szCs w:val="20"/>
        </w:rPr>
        <w:t>systemu lub planu odbudowy, tj. jednostek wytwórczych:</w:t>
      </w:r>
    </w:p>
    <w:p w14:paraId="5AE9296D" w14:textId="098674DD" w:rsidR="00870A08" w:rsidRPr="00EB2E7B" w:rsidRDefault="00870A08" w:rsidP="00C71A41">
      <w:pPr>
        <w:pStyle w:val="apo"/>
        <w:numPr>
          <w:ilvl w:val="0"/>
          <w:numId w:val="159"/>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mocy 50 MW lub wyższej, do których nie mają zastosowania wymagania określone w NC </w:t>
      </w:r>
      <w:proofErr w:type="spellStart"/>
      <w:r w:rsidRPr="00EB2E7B">
        <w:rPr>
          <w:rFonts w:asciiTheme="minorHAnsi" w:hAnsiTheme="minorHAnsi" w:cstheme="minorHAnsi"/>
          <w:sz w:val="20"/>
          <w:szCs w:val="20"/>
        </w:rPr>
        <w:t>RfG</w:t>
      </w:r>
      <w:proofErr w:type="spellEnd"/>
      <w:r w:rsidRPr="00EB2E7B">
        <w:rPr>
          <w:rFonts w:asciiTheme="minorHAnsi" w:hAnsiTheme="minorHAnsi" w:cstheme="minorHAnsi"/>
          <w:sz w:val="20"/>
          <w:szCs w:val="20"/>
        </w:rPr>
        <w:t>;</w:t>
      </w:r>
    </w:p>
    <w:p w14:paraId="241A135B" w14:textId="45676CC7" w:rsidR="00870A08" w:rsidRPr="00EB2E7B" w:rsidRDefault="00870A08" w:rsidP="00C71A41">
      <w:pPr>
        <w:pStyle w:val="apo"/>
        <w:numPr>
          <w:ilvl w:val="0"/>
          <w:numId w:val="159"/>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będących modułami wytwarzania energii typu C i D, do których mają zastosowanie wymagania określone w NC </w:t>
      </w:r>
      <w:proofErr w:type="spellStart"/>
      <w:r w:rsidRPr="00EB2E7B">
        <w:rPr>
          <w:rFonts w:asciiTheme="minorHAnsi" w:hAnsiTheme="minorHAnsi" w:cstheme="minorHAnsi"/>
          <w:sz w:val="20"/>
          <w:szCs w:val="20"/>
        </w:rPr>
        <w:t>RfG</w:t>
      </w:r>
      <w:proofErr w:type="spellEnd"/>
      <w:r w:rsidRPr="00EB2E7B">
        <w:rPr>
          <w:rFonts w:asciiTheme="minorHAnsi" w:hAnsiTheme="minorHAnsi" w:cstheme="minorHAnsi"/>
          <w:sz w:val="20"/>
          <w:szCs w:val="20"/>
        </w:rPr>
        <w:t>;</w:t>
      </w:r>
    </w:p>
    <w:p w14:paraId="2BC4F9E4" w14:textId="4F6E025C" w:rsidR="00870A08" w:rsidRPr="00EB2E7B" w:rsidRDefault="00870A08" w:rsidP="00E636A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dostawców usług w zakresie odbudowy,</w:t>
      </w:r>
    </w:p>
    <w:p w14:paraId="4A5D5C36" w14:textId="689FEB0E" w:rsidR="00870A08" w:rsidRPr="00EB2E7B" w:rsidRDefault="00870A08"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podlegają uzgodnieniu z OSP i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 zatwierdzeniu przez Prezesa URE (TCM opracowany na podstawie NC ER).</w:t>
      </w:r>
    </w:p>
    <w:p w14:paraId="5A0976CA" w14:textId="5AE3B8A4" w:rsidR="00870A08" w:rsidRPr="00EB2E7B" w:rsidRDefault="00870A08"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TCM</w:t>
      </w:r>
      <w:r w:rsidR="00FB5784" w:rsidRPr="00EB2E7B">
        <w:rPr>
          <w:rFonts w:asciiTheme="minorHAnsi" w:hAnsiTheme="minorHAnsi" w:cstheme="minorHAnsi"/>
          <w:sz w:val="20"/>
          <w:szCs w:val="20"/>
        </w:rPr>
        <w:t>,</w:t>
      </w:r>
      <w:r w:rsidRPr="00EB2E7B">
        <w:rPr>
          <w:rFonts w:asciiTheme="minorHAnsi" w:hAnsiTheme="minorHAnsi" w:cstheme="minorHAnsi"/>
          <w:sz w:val="20"/>
          <w:szCs w:val="20"/>
        </w:rPr>
        <w:t xml:space="preserve"> opracowany na podstawie NC ER</w:t>
      </w:r>
      <w:r w:rsidR="00FB5784" w:rsidRPr="00EB2E7B">
        <w:rPr>
          <w:rFonts w:asciiTheme="minorHAnsi" w:hAnsiTheme="minorHAnsi" w:cstheme="minorHAnsi"/>
          <w:sz w:val="20"/>
          <w:szCs w:val="20"/>
        </w:rPr>
        <w:t>,</w:t>
      </w:r>
      <w:r w:rsidRPr="00EB2E7B">
        <w:rPr>
          <w:rFonts w:asciiTheme="minorHAnsi" w:hAnsiTheme="minorHAnsi" w:cstheme="minorHAnsi"/>
          <w:sz w:val="20"/>
          <w:szCs w:val="20"/>
        </w:rPr>
        <w:t xml:space="preserve"> jest udostępniany przez OSP znaczącym użytkownikom sieci (dalej „SGU”) i dostawcom usług w zakresie odbudowy, w zakresie ich dotyczącym.</w:t>
      </w:r>
    </w:p>
    <w:p w14:paraId="229FB229" w14:textId="0A8BD0C5" w:rsidR="00870A08" w:rsidRPr="00EB2E7B" w:rsidRDefault="00870A08" w:rsidP="009A432E">
      <w:pPr>
        <w:pStyle w:val="Nagwek4"/>
        <w:rPr>
          <w:rFonts w:asciiTheme="minorHAnsi" w:hAnsiTheme="minorHAnsi" w:cstheme="minorHAnsi"/>
          <w:sz w:val="20"/>
          <w:szCs w:val="20"/>
        </w:rPr>
      </w:pPr>
      <w:bookmarkStart w:id="174" w:name="_Ref142656180"/>
      <w:r w:rsidRPr="00EB2E7B">
        <w:rPr>
          <w:rFonts w:asciiTheme="minorHAnsi" w:hAnsiTheme="minorHAnsi" w:cstheme="minorHAnsi"/>
          <w:sz w:val="20"/>
          <w:szCs w:val="20"/>
        </w:rPr>
        <w:lastRenderedPageBreak/>
        <w:t xml:space="preserve">Służby dyspozytorskie lub ruchowe SGU i dostawców usług w zakresie odbudowy powinny być wyposażone w systemy łączności głosowej posiadające zdolność do realizacji łączności głosowej z centrum dyspozytorskim OSP,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t>
      </w:r>
      <w:r w:rsidR="008E07B8" w:rsidRPr="00EB2E7B">
        <w:rPr>
          <w:rFonts w:asciiTheme="minorHAnsi" w:hAnsiTheme="minorHAnsi" w:cstheme="minorHAnsi"/>
          <w:sz w:val="20"/>
          <w:szCs w:val="20"/>
        </w:rPr>
        <w:t xml:space="preserve">lub </w:t>
      </w:r>
      <w:r w:rsidRPr="00EB2E7B">
        <w:rPr>
          <w:rFonts w:asciiTheme="minorHAnsi" w:hAnsiTheme="minorHAnsi" w:cstheme="minorHAnsi"/>
          <w:sz w:val="20"/>
          <w:szCs w:val="20"/>
        </w:rPr>
        <w:t>OSD</w:t>
      </w:r>
      <w:r w:rsidR="0076685F" w:rsidRPr="00EB2E7B">
        <w:rPr>
          <w:rFonts w:asciiTheme="minorHAnsi" w:hAnsiTheme="minorHAnsi" w:cstheme="minorHAnsi"/>
          <w:sz w:val="20"/>
          <w:szCs w:val="20"/>
        </w:rPr>
        <w:t>n</w:t>
      </w:r>
      <w:r w:rsidR="008E07B8" w:rsidRPr="00EB2E7B">
        <w:rPr>
          <w:rFonts w:asciiTheme="minorHAnsi" w:hAnsiTheme="minorHAnsi" w:cstheme="minorHAnsi"/>
          <w:sz w:val="20"/>
          <w:szCs w:val="20"/>
        </w:rPr>
        <w:t xml:space="preserve"> </w:t>
      </w:r>
      <w:r w:rsidR="00F000E6" w:rsidRPr="00EB2E7B">
        <w:rPr>
          <w:rFonts w:asciiTheme="minorHAnsi" w:hAnsiTheme="minorHAnsi" w:cstheme="minorHAnsi"/>
          <w:sz w:val="20"/>
          <w:szCs w:val="20"/>
        </w:rPr>
        <w:t>(w tym ACPRO)</w:t>
      </w:r>
      <w:r w:rsidRPr="00EB2E7B">
        <w:rPr>
          <w:rFonts w:asciiTheme="minorHAnsi" w:hAnsiTheme="minorHAnsi" w:cstheme="minorHAnsi"/>
          <w:sz w:val="20"/>
          <w:szCs w:val="20"/>
        </w:rPr>
        <w:t>. System realizacji tej łączności głosowej powinien spełniać wymagania techniczne opracowane przez OSP</w:t>
      </w:r>
      <w:r w:rsidRPr="00EB2E7B" w:rsidDel="00C05098">
        <w:rPr>
          <w:rFonts w:asciiTheme="minorHAnsi" w:hAnsiTheme="minorHAnsi" w:cstheme="minorHAnsi"/>
          <w:sz w:val="20"/>
          <w:szCs w:val="20"/>
        </w:rPr>
        <w:t xml:space="preserve"> w porozumieniu z </w:t>
      </w:r>
      <w:proofErr w:type="spellStart"/>
      <w:r w:rsidRPr="00EB2E7B" w:rsidDel="00C05098">
        <w:rPr>
          <w:rFonts w:asciiTheme="minorHAnsi" w:hAnsiTheme="minorHAnsi" w:cstheme="minorHAnsi"/>
          <w:sz w:val="20"/>
          <w:szCs w:val="20"/>
        </w:rPr>
        <w:t>OSDp</w:t>
      </w:r>
      <w:proofErr w:type="spellEnd"/>
      <w:r w:rsidR="0053520A" w:rsidRPr="00EB2E7B">
        <w:rPr>
          <w:rFonts w:asciiTheme="minorHAnsi" w:hAnsiTheme="minorHAnsi" w:cstheme="minorHAnsi"/>
          <w:sz w:val="20"/>
          <w:szCs w:val="20"/>
        </w:rPr>
        <w:t xml:space="preserve"> i OSDn</w:t>
      </w:r>
      <w:r w:rsidR="00E86ECF"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na podstawie NC ER i publikowane na stronie internetowej OSP, zapewniające komunikację przez co najmniej 24 godziny po wystąpieniu stanu zaniku napięcia na rozdzielni zasilającej potrzeby własne obiektu będącego w posiadaniu SGU lub dostawcy usług w zakresie odbudowy.</w:t>
      </w:r>
      <w:bookmarkEnd w:id="174"/>
    </w:p>
    <w:p w14:paraId="700292A2" w14:textId="0DE7EDF8" w:rsidR="00870A08" w:rsidRPr="00EB2E7B" w:rsidRDefault="00870A08"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SGU i dostawca usług w zakresie odbudowy może powierzyć sterowanie swoim obiektem innemu podmiotowi posiadającemu zdolność do realizacji łączności głosowej, spełniającej wymagania, o których mowa w pkt. </w:t>
      </w:r>
      <w:r w:rsidR="00E85FEF" w:rsidRPr="00EB2E7B">
        <w:rPr>
          <w:rFonts w:asciiTheme="minorHAnsi" w:hAnsiTheme="minorHAnsi" w:cstheme="minorHAnsi"/>
          <w:sz w:val="20"/>
          <w:szCs w:val="20"/>
        </w:rPr>
        <w:fldChar w:fldCharType="begin"/>
      </w:r>
      <w:r w:rsidR="00E85FEF" w:rsidRPr="00EB2E7B">
        <w:rPr>
          <w:rFonts w:asciiTheme="minorHAnsi" w:hAnsiTheme="minorHAnsi" w:cstheme="minorHAnsi"/>
          <w:sz w:val="20"/>
          <w:szCs w:val="20"/>
        </w:rPr>
        <w:instrText xml:space="preserve"> REF _Ref142656180 \r \h </w:instrText>
      </w:r>
      <w:r w:rsidR="00231F0D" w:rsidRPr="00EB2E7B">
        <w:rPr>
          <w:rFonts w:asciiTheme="minorHAnsi" w:hAnsiTheme="minorHAnsi" w:cstheme="minorHAnsi"/>
          <w:sz w:val="20"/>
          <w:szCs w:val="20"/>
        </w:rPr>
        <w:instrText xml:space="preserve"> \* MERGEFORMAT </w:instrText>
      </w:r>
      <w:r w:rsidR="00E85FEF" w:rsidRPr="00EB2E7B">
        <w:rPr>
          <w:rFonts w:asciiTheme="minorHAnsi" w:hAnsiTheme="minorHAnsi" w:cstheme="minorHAnsi"/>
          <w:sz w:val="20"/>
          <w:szCs w:val="20"/>
        </w:rPr>
      </w:r>
      <w:r w:rsidR="00E85F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III.2.5.2</w:t>
      </w:r>
      <w:r w:rsidR="00E85FEF" w:rsidRPr="00EB2E7B">
        <w:rPr>
          <w:rFonts w:asciiTheme="minorHAnsi" w:hAnsiTheme="minorHAnsi" w:cstheme="minorHAnsi"/>
          <w:sz w:val="20"/>
          <w:szCs w:val="20"/>
        </w:rPr>
        <w:fldChar w:fldCharType="end"/>
      </w:r>
      <w:r w:rsidRPr="00EB2E7B">
        <w:rPr>
          <w:rFonts w:asciiTheme="minorHAnsi" w:hAnsiTheme="minorHAnsi" w:cstheme="minorHAnsi"/>
          <w:sz w:val="20"/>
          <w:szCs w:val="20"/>
        </w:rPr>
        <w:t>. i w takim przypadku SGU i dostawca usług w zakresie odbudowy odpowiedzialny jest za działania i zaniechania tego innego podmiotu, któremu powierzył sterowanie obiektem, jak za własne działanie lub zaniechanie.</w:t>
      </w:r>
    </w:p>
    <w:p w14:paraId="7549ADA0" w14:textId="6C0CB211" w:rsidR="00870A08" w:rsidRPr="00EB2E7B" w:rsidRDefault="00870A08" w:rsidP="009A432E">
      <w:pPr>
        <w:pStyle w:val="Nagwek4"/>
        <w:rPr>
          <w:rFonts w:asciiTheme="minorHAnsi" w:hAnsiTheme="minorHAnsi" w:cstheme="minorHAnsi"/>
          <w:sz w:val="20"/>
          <w:szCs w:val="20"/>
        </w:rPr>
      </w:pPr>
      <w:bookmarkStart w:id="175" w:name="_Ref142656242"/>
      <w:r w:rsidRPr="00EB2E7B">
        <w:rPr>
          <w:rFonts w:asciiTheme="minorHAnsi" w:hAnsiTheme="minorHAnsi" w:cstheme="minorHAnsi"/>
          <w:sz w:val="20"/>
          <w:szCs w:val="20"/>
        </w:rPr>
        <w:t xml:space="preserve">Obiekty istotne dla planu odbudowy, w szczególności rozdzielnie, o których mowa w pkt. </w:t>
      </w:r>
      <w:r w:rsidR="00E85FEF" w:rsidRPr="00EB2E7B">
        <w:rPr>
          <w:rFonts w:asciiTheme="minorHAnsi" w:hAnsiTheme="minorHAnsi" w:cstheme="minorHAnsi"/>
          <w:sz w:val="20"/>
          <w:szCs w:val="20"/>
        </w:rPr>
        <w:fldChar w:fldCharType="begin"/>
      </w:r>
      <w:r w:rsidR="00E85FEF" w:rsidRPr="00EB2E7B">
        <w:rPr>
          <w:rFonts w:asciiTheme="minorHAnsi" w:hAnsiTheme="minorHAnsi" w:cstheme="minorHAnsi"/>
          <w:sz w:val="20"/>
          <w:szCs w:val="20"/>
        </w:rPr>
        <w:instrText xml:space="preserve"> REF _Ref142656190 \r \h </w:instrText>
      </w:r>
      <w:r w:rsidR="00FA5418" w:rsidRPr="00EB2E7B">
        <w:rPr>
          <w:rFonts w:asciiTheme="minorHAnsi" w:hAnsiTheme="minorHAnsi" w:cstheme="minorHAnsi"/>
          <w:sz w:val="20"/>
          <w:szCs w:val="20"/>
        </w:rPr>
        <w:instrText xml:space="preserve"> \* MERGEFORMAT </w:instrText>
      </w:r>
      <w:r w:rsidR="00E85FEF" w:rsidRPr="00EB2E7B">
        <w:rPr>
          <w:rFonts w:asciiTheme="minorHAnsi" w:hAnsiTheme="minorHAnsi" w:cstheme="minorHAnsi"/>
          <w:sz w:val="20"/>
          <w:szCs w:val="20"/>
        </w:rPr>
      </w:r>
      <w:r w:rsidR="00E85F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III.2.5.5</w:t>
      </w:r>
      <w:r w:rsidR="00E85FEF" w:rsidRPr="00EB2E7B">
        <w:rPr>
          <w:rFonts w:asciiTheme="minorHAnsi" w:hAnsiTheme="minorHAnsi" w:cstheme="minorHAnsi"/>
          <w:sz w:val="20"/>
          <w:szCs w:val="20"/>
        </w:rPr>
        <w:fldChar w:fldCharType="end"/>
      </w:r>
      <w:r w:rsidR="00E85FEF" w:rsidRPr="00EB2E7B">
        <w:rPr>
          <w:rFonts w:asciiTheme="minorHAnsi" w:hAnsiTheme="minorHAnsi" w:cstheme="minorHAnsi"/>
          <w:sz w:val="20"/>
          <w:szCs w:val="20"/>
        </w:rPr>
        <w:t>.</w:t>
      </w:r>
      <w:r w:rsidRPr="00EB2E7B">
        <w:rPr>
          <w:rFonts w:asciiTheme="minorHAnsi" w:hAnsiTheme="minorHAnsi" w:cstheme="minorHAnsi"/>
          <w:sz w:val="20"/>
          <w:szCs w:val="20"/>
        </w:rPr>
        <w:t xml:space="preserve"> i </w:t>
      </w:r>
      <w:r w:rsidR="00E85FEF" w:rsidRPr="00EB2E7B">
        <w:rPr>
          <w:rFonts w:asciiTheme="minorHAnsi" w:hAnsiTheme="minorHAnsi" w:cstheme="minorHAnsi"/>
          <w:sz w:val="20"/>
          <w:szCs w:val="20"/>
        </w:rPr>
        <w:fldChar w:fldCharType="begin"/>
      </w:r>
      <w:r w:rsidR="00E85FEF" w:rsidRPr="00EB2E7B">
        <w:rPr>
          <w:rFonts w:asciiTheme="minorHAnsi" w:hAnsiTheme="minorHAnsi" w:cstheme="minorHAnsi"/>
          <w:sz w:val="20"/>
          <w:szCs w:val="20"/>
        </w:rPr>
        <w:instrText xml:space="preserve"> REF _Ref142656199 \r \h </w:instrText>
      </w:r>
      <w:r w:rsidR="00FA5418" w:rsidRPr="00EB2E7B">
        <w:rPr>
          <w:rFonts w:asciiTheme="minorHAnsi" w:hAnsiTheme="minorHAnsi" w:cstheme="minorHAnsi"/>
          <w:sz w:val="20"/>
          <w:szCs w:val="20"/>
        </w:rPr>
        <w:instrText xml:space="preserve"> \* MERGEFORMAT </w:instrText>
      </w:r>
      <w:r w:rsidR="00E85FEF" w:rsidRPr="00EB2E7B">
        <w:rPr>
          <w:rFonts w:asciiTheme="minorHAnsi" w:hAnsiTheme="minorHAnsi" w:cstheme="minorHAnsi"/>
          <w:sz w:val="20"/>
          <w:szCs w:val="20"/>
        </w:rPr>
      </w:r>
      <w:r w:rsidR="00E85F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III.2.5.6</w:t>
      </w:r>
      <w:r w:rsidR="00E85FEF"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wyszczególnione w wykazie opracowanym przez OSP zgodnie z NC ER i stanowiącym element planu odbudowy, podlegają zgłoszeniu Prezesowi URE przez OSP, zgodnie z NC ER. Wykaz ten jest aktualizowany przez OSP podczas cyklicznego przeglądu planu odbudowy, prowadzanego zgodnie z NC ER.</w:t>
      </w:r>
      <w:bookmarkEnd w:id="175"/>
    </w:p>
    <w:p w14:paraId="50F3922F" w14:textId="19EA9494" w:rsidR="00870A08" w:rsidRPr="00EB2E7B" w:rsidRDefault="00870A08" w:rsidP="009A432E">
      <w:pPr>
        <w:pStyle w:val="Nagwek4"/>
        <w:rPr>
          <w:rFonts w:asciiTheme="minorHAnsi" w:hAnsiTheme="minorHAnsi" w:cstheme="minorHAnsi"/>
          <w:sz w:val="20"/>
          <w:szCs w:val="20"/>
        </w:rPr>
      </w:pPr>
      <w:bookmarkStart w:id="176" w:name="_Ref142656190"/>
      <w:r w:rsidRPr="00EB2E7B">
        <w:rPr>
          <w:rFonts w:asciiTheme="minorHAnsi" w:hAnsiTheme="minorHAnsi" w:cstheme="minorHAnsi"/>
          <w:sz w:val="20"/>
          <w:szCs w:val="20"/>
        </w:rPr>
        <w:t xml:space="preserve">Rozdzielnie planowane do przyłączenia do sieci </w:t>
      </w:r>
      <w:r w:rsidR="00030252" w:rsidRPr="00EB2E7B">
        <w:rPr>
          <w:rFonts w:asciiTheme="minorHAnsi" w:hAnsiTheme="minorHAnsi" w:cstheme="minorHAnsi"/>
          <w:sz w:val="20"/>
          <w:szCs w:val="20"/>
        </w:rPr>
        <w:t xml:space="preserve">220 i </w:t>
      </w:r>
      <w:r w:rsidRPr="00EB2E7B">
        <w:rPr>
          <w:rFonts w:asciiTheme="minorHAnsi" w:hAnsiTheme="minorHAnsi" w:cstheme="minorHAnsi"/>
          <w:sz w:val="20"/>
          <w:szCs w:val="20"/>
        </w:rPr>
        <w:t xml:space="preserve">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ACPRO (o ile występują w systemie) uznaje się za obiekty istotne dla planu odbudowy.</w:t>
      </w:r>
      <w:bookmarkEnd w:id="176"/>
    </w:p>
    <w:p w14:paraId="360A3210" w14:textId="52DD5CC6" w:rsidR="00870A08" w:rsidRPr="00EB2E7B" w:rsidRDefault="00870A08"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Po przeprowadzeniu testów odbiorowych takiej rozdzielni podlega ona zgłoszeniu przez jej właściciela do OSP:</w:t>
      </w:r>
    </w:p>
    <w:p w14:paraId="113CE6AF" w14:textId="03A037D6" w:rsidR="00E62140" w:rsidRPr="00EB2E7B" w:rsidRDefault="008C220C" w:rsidP="00E636A2">
      <w:pPr>
        <w:pStyle w:val="1przed"/>
        <w:numPr>
          <w:ilvl w:val="0"/>
          <w:numId w:val="160"/>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przez ACPRO </w:t>
      </w:r>
      <w:r w:rsidR="00E62140" w:rsidRPr="00EB2E7B">
        <w:rPr>
          <w:rFonts w:asciiTheme="minorHAnsi" w:hAnsiTheme="minorHAnsi" w:cstheme="minorHAnsi"/>
          <w:sz w:val="20"/>
          <w:szCs w:val="20"/>
        </w:rPr>
        <w:t xml:space="preserve">– w przypadku rozdzielni przyłączanych do sieci </w:t>
      </w:r>
      <w:r w:rsidR="00F20BBC" w:rsidRPr="00EB2E7B">
        <w:rPr>
          <w:rFonts w:asciiTheme="minorHAnsi" w:hAnsiTheme="minorHAnsi" w:cstheme="minorHAnsi"/>
          <w:sz w:val="20"/>
          <w:szCs w:val="20"/>
        </w:rPr>
        <w:t>ACPRO</w:t>
      </w:r>
      <w:r w:rsidR="00E62140" w:rsidRPr="00EB2E7B">
        <w:rPr>
          <w:rFonts w:asciiTheme="minorHAnsi" w:hAnsiTheme="minorHAnsi" w:cstheme="minorHAnsi"/>
          <w:sz w:val="20"/>
          <w:szCs w:val="20"/>
        </w:rPr>
        <w:t>;</w:t>
      </w:r>
    </w:p>
    <w:p w14:paraId="799071C5" w14:textId="5E5A6941" w:rsidR="00E62140" w:rsidRPr="00EB2E7B" w:rsidRDefault="00E62140" w:rsidP="00E636A2">
      <w:pPr>
        <w:pStyle w:val="1przed"/>
        <w:numPr>
          <w:ilvl w:val="0"/>
          <w:numId w:val="160"/>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 w przypadku rozdzielni przyłączanych do sieci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4D84C55E" w14:textId="3F8C7433" w:rsidR="00E62140" w:rsidRPr="00EB2E7B" w:rsidRDefault="00E62140" w:rsidP="00E636A2">
      <w:pPr>
        <w:pStyle w:val="1przed"/>
        <w:numPr>
          <w:ilvl w:val="0"/>
          <w:numId w:val="160"/>
        </w:numPr>
        <w:ind w:left="1701" w:hanging="567"/>
        <w:rPr>
          <w:rFonts w:asciiTheme="minorHAnsi" w:hAnsiTheme="minorHAnsi" w:cstheme="minorHAnsi"/>
          <w:sz w:val="20"/>
          <w:szCs w:val="20"/>
        </w:rPr>
      </w:pPr>
      <w:bookmarkStart w:id="177" w:name="_Ref190083320"/>
      <w:r w:rsidRPr="00EB2E7B">
        <w:rPr>
          <w:rFonts w:asciiTheme="minorHAnsi" w:hAnsiTheme="minorHAnsi" w:cstheme="minorHAnsi"/>
          <w:sz w:val="20"/>
          <w:szCs w:val="20"/>
        </w:rPr>
        <w:t xml:space="preserve">przez OSDn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zgodnie z postanowieniami pkt.</w:t>
      </w:r>
      <w:r w:rsidR="00DD2EA0" w:rsidRPr="00EB2E7B">
        <w:rPr>
          <w:rFonts w:asciiTheme="minorHAnsi" w:hAnsiTheme="minorHAnsi" w:cstheme="minorHAnsi"/>
          <w:sz w:val="20"/>
          <w:szCs w:val="20"/>
        </w:rPr>
        <w:t xml:space="preserve"> </w:t>
      </w:r>
      <w:r w:rsidR="00215A82" w:rsidRPr="00EB2E7B">
        <w:rPr>
          <w:rFonts w:asciiTheme="minorHAnsi" w:hAnsiTheme="minorHAnsi" w:cstheme="minorHAnsi"/>
          <w:sz w:val="20"/>
          <w:szCs w:val="20"/>
        </w:rPr>
        <w:fldChar w:fldCharType="begin"/>
      </w:r>
      <w:r w:rsidR="00215A82" w:rsidRPr="00EB2E7B">
        <w:rPr>
          <w:rFonts w:asciiTheme="minorHAnsi" w:hAnsiTheme="minorHAnsi" w:cstheme="minorHAnsi"/>
          <w:sz w:val="20"/>
          <w:szCs w:val="20"/>
        </w:rPr>
        <w:instrText xml:space="preserve"> REF _Ref189084661 \r \h </w:instrText>
      </w:r>
      <w:r w:rsidR="004D729F" w:rsidRPr="00EB2E7B">
        <w:rPr>
          <w:rFonts w:asciiTheme="minorHAnsi" w:hAnsiTheme="minorHAnsi" w:cstheme="minorHAnsi"/>
          <w:sz w:val="20"/>
          <w:szCs w:val="20"/>
        </w:rPr>
        <w:instrText xml:space="preserve"> \* MERGEFORMAT </w:instrText>
      </w:r>
      <w:r w:rsidR="00215A82" w:rsidRPr="00EB2E7B">
        <w:rPr>
          <w:rFonts w:asciiTheme="minorHAnsi" w:hAnsiTheme="minorHAnsi" w:cstheme="minorHAnsi"/>
          <w:sz w:val="20"/>
          <w:szCs w:val="20"/>
        </w:rPr>
      </w:r>
      <w:r w:rsidR="00215A8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V.3</w:t>
      </w:r>
      <w:r w:rsidR="00215A8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 przypadku rozdzielni nieposiadających bezpośredniego połączenia z siecią przesyłową lub z siecią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bookmarkEnd w:id="177"/>
    </w:p>
    <w:p w14:paraId="01C33CAF" w14:textId="0C5A638D" w:rsidR="00E62140" w:rsidRPr="00EB2E7B" w:rsidRDefault="00E62140"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OSP uwzględnia rozdzielnię w wykazie, o którym mowa w pkt. </w:t>
      </w:r>
      <w:r w:rsidR="00E85FEF" w:rsidRPr="00EB2E7B">
        <w:rPr>
          <w:rFonts w:asciiTheme="minorHAnsi" w:hAnsiTheme="minorHAnsi" w:cstheme="minorHAnsi"/>
          <w:sz w:val="20"/>
          <w:szCs w:val="20"/>
        </w:rPr>
        <w:fldChar w:fldCharType="begin"/>
      </w:r>
      <w:r w:rsidR="00E85FEF" w:rsidRPr="00EB2E7B">
        <w:rPr>
          <w:rFonts w:asciiTheme="minorHAnsi" w:hAnsiTheme="minorHAnsi" w:cstheme="minorHAnsi"/>
          <w:sz w:val="20"/>
          <w:szCs w:val="20"/>
        </w:rPr>
        <w:instrText xml:space="preserve"> REF _Ref142656242 \r \h </w:instrText>
      </w:r>
      <w:r w:rsidR="0007797E" w:rsidRPr="00EB2E7B">
        <w:rPr>
          <w:rFonts w:asciiTheme="minorHAnsi" w:hAnsiTheme="minorHAnsi" w:cstheme="minorHAnsi"/>
          <w:sz w:val="20"/>
          <w:szCs w:val="20"/>
        </w:rPr>
        <w:instrText xml:space="preserve"> \* MERGEFORMAT </w:instrText>
      </w:r>
      <w:r w:rsidR="00E85FEF" w:rsidRPr="00EB2E7B">
        <w:rPr>
          <w:rFonts w:asciiTheme="minorHAnsi" w:hAnsiTheme="minorHAnsi" w:cstheme="minorHAnsi"/>
          <w:sz w:val="20"/>
          <w:szCs w:val="20"/>
        </w:rPr>
      </w:r>
      <w:r w:rsidR="00E85F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III.2.5.4</w:t>
      </w:r>
      <w:r w:rsidR="00E85FEF"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Po dokonaniu przez OSP zgłoszenia Prezesowi URE zmian w planie odbudowy w zakresie aktualizacji wykazu, OSP informuje </w:t>
      </w:r>
      <w:proofErr w:type="spellStart"/>
      <w:r w:rsidRPr="00EB2E7B">
        <w:rPr>
          <w:rFonts w:asciiTheme="minorHAnsi" w:hAnsiTheme="minorHAnsi" w:cstheme="minorHAnsi"/>
          <w:sz w:val="20"/>
          <w:szCs w:val="20"/>
        </w:rPr>
        <w:t>OSDp</w:t>
      </w:r>
      <w:proofErr w:type="spellEnd"/>
      <w:r w:rsidR="00C929C7" w:rsidRPr="00EB2E7B">
        <w:rPr>
          <w:rFonts w:asciiTheme="minorHAnsi" w:hAnsiTheme="minorHAnsi" w:cstheme="minorHAnsi"/>
          <w:sz w:val="20"/>
          <w:szCs w:val="20"/>
        </w:rPr>
        <w:t xml:space="preserve"> o aktualizacji tego wykazu</w:t>
      </w:r>
      <w:r w:rsidR="00690B56" w:rsidRPr="00EB2E7B">
        <w:rPr>
          <w:rFonts w:asciiTheme="minorHAnsi" w:hAnsiTheme="minorHAnsi" w:cstheme="minorHAnsi"/>
          <w:sz w:val="20"/>
          <w:szCs w:val="20"/>
        </w:rPr>
        <w:t xml:space="preserve">, a </w:t>
      </w:r>
      <w:proofErr w:type="spellStart"/>
      <w:r w:rsidR="00690B56" w:rsidRPr="00EB2E7B">
        <w:rPr>
          <w:rFonts w:asciiTheme="minorHAnsi" w:hAnsiTheme="minorHAnsi" w:cstheme="minorHAnsi"/>
          <w:sz w:val="20"/>
          <w:szCs w:val="20"/>
        </w:rPr>
        <w:t>OSDp</w:t>
      </w:r>
      <w:proofErr w:type="spellEnd"/>
      <w:r w:rsidR="00690B56" w:rsidRPr="00EB2E7B">
        <w:rPr>
          <w:rFonts w:asciiTheme="minorHAnsi" w:hAnsiTheme="minorHAnsi" w:cstheme="minorHAnsi"/>
          <w:sz w:val="20"/>
          <w:szCs w:val="20"/>
        </w:rPr>
        <w:t xml:space="preserve"> </w:t>
      </w:r>
      <w:r w:rsidR="0022375C" w:rsidRPr="00EB2E7B">
        <w:rPr>
          <w:rFonts w:asciiTheme="minorHAnsi" w:hAnsiTheme="minorHAnsi" w:cstheme="minorHAnsi"/>
          <w:sz w:val="20"/>
          <w:szCs w:val="20"/>
        </w:rPr>
        <w:t xml:space="preserve">ten </w:t>
      </w:r>
      <w:r w:rsidR="0077756A" w:rsidRPr="00EB2E7B">
        <w:rPr>
          <w:rFonts w:asciiTheme="minorHAnsi" w:hAnsiTheme="minorHAnsi" w:cstheme="minorHAnsi"/>
          <w:sz w:val="20"/>
          <w:szCs w:val="20"/>
        </w:rPr>
        <w:t>informuje właściciela rozdzielni przyłączonej do jego sieci o wprowadzeniu jej do wykazu</w:t>
      </w:r>
      <w:r w:rsidRPr="00EB2E7B">
        <w:rPr>
          <w:rFonts w:asciiTheme="minorHAnsi" w:hAnsiTheme="minorHAnsi" w:cstheme="minorHAnsi"/>
          <w:sz w:val="20"/>
          <w:szCs w:val="20"/>
        </w:rPr>
        <w:t xml:space="preserve">. W przypadku, o którym mowa w pkt. </w:t>
      </w:r>
      <w:r w:rsidR="004A05F5" w:rsidRPr="00EB2E7B">
        <w:rPr>
          <w:rFonts w:asciiTheme="minorHAnsi" w:hAnsiTheme="minorHAnsi" w:cstheme="minorHAnsi"/>
          <w:sz w:val="20"/>
          <w:szCs w:val="20"/>
        </w:rPr>
        <w:fldChar w:fldCharType="begin"/>
      </w:r>
      <w:r w:rsidR="004A05F5" w:rsidRPr="00EB2E7B">
        <w:rPr>
          <w:rFonts w:asciiTheme="minorHAnsi" w:hAnsiTheme="minorHAnsi" w:cstheme="minorHAnsi"/>
          <w:sz w:val="20"/>
          <w:szCs w:val="20"/>
        </w:rPr>
        <w:instrText xml:space="preserve"> REF _Ref190083320 \w \h  \* MERGEFORMAT </w:instrText>
      </w:r>
      <w:r w:rsidR="004A05F5" w:rsidRPr="00EB2E7B">
        <w:rPr>
          <w:rFonts w:asciiTheme="minorHAnsi" w:hAnsiTheme="minorHAnsi" w:cstheme="minorHAnsi"/>
          <w:sz w:val="20"/>
          <w:szCs w:val="20"/>
        </w:rPr>
      </w:r>
      <w:r w:rsidR="004A05F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004A05F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informuje OSD</w:t>
      </w:r>
      <w:r w:rsidR="00A329ED" w:rsidRPr="00EB2E7B">
        <w:rPr>
          <w:rFonts w:asciiTheme="minorHAnsi" w:hAnsiTheme="minorHAnsi" w:cstheme="minorHAnsi"/>
          <w:sz w:val="20"/>
          <w:szCs w:val="20"/>
        </w:rPr>
        <w:t>n</w:t>
      </w:r>
      <w:r w:rsidRPr="00EB2E7B">
        <w:rPr>
          <w:rFonts w:asciiTheme="minorHAnsi" w:hAnsiTheme="minorHAnsi" w:cstheme="minorHAnsi"/>
          <w:sz w:val="20"/>
          <w:szCs w:val="20"/>
        </w:rPr>
        <w:t>, a OSD</w:t>
      </w:r>
      <w:r w:rsidR="00A329ED" w:rsidRPr="00EB2E7B">
        <w:rPr>
          <w:rFonts w:asciiTheme="minorHAnsi" w:hAnsiTheme="minorHAnsi" w:cstheme="minorHAnsi"/>
          <w:sz w:val="20"/>
          <w:szCs w:val="20"/>
        </w:rPr>
        <w:t>n</w:t>
      </w:r>
      <w:r w:rsidRPr="00EB2E7B">
        <w:rPr>
          <w:rFonts w:asciiTheme="minorHAnsi" w:hAnsiTheme="minorHAnsi" w:cstheme="minorHAnsi"/>
          <w:sz w:val="20"/>
          <w:szCs w:val="20"/>
        </w:rPr>
        <w:t xml:space="preserve"> informuje właściciela rozdzielni o wprowadzeniu jej do wykazu.</w:t>
      </w:r>
    </w:p>
    <w:p w14:paraId="13370229" w14:textId="6EF6C9D5" w:rsidR="00E62140" w:rsidRPr="00EB2E7B" w:rsidRDefault="00E62140" w:rsidP="009A432E">
      <w:pPr>
        <w:pStyle w:val="Nagwek4"/>
        <w:rPr>
          <w:rFonts w:asciiTheme="minorHAnsi" w:hAnsiTheme="minorHAnsi" w:cstheme="minorHAnsi"/>
          <w:sz w:val="20"/>
          <w:szCs w:val="20"/>
        </w:rPr>
      </w:pPr>
      <w:bookmarkStart w:id="178" w:name="_Ref142656199"/>
      <w:r w:rsidRPr="00EB2E7B">
        <w:rPr>
          <w:rFonts w:asciiTheme="minorHAnsi" w:hAnsiTheme="minorHAnsi" w:cstheme="minorHAnsi"/>
          <w:sz w:val="20"/>
          <w:szCs w:val="20"/>
        </w:rPr>
        <w:t xml:space="preserve">Rozdzielnia istniejąca, do której planowane jest przyłączenie jednostki wytwórczej będącej modułem wytwarzania energii typu D o mocy większej niż 10 MW i mniejszej niż 50 MW, powinna zostać, przy udziale OSP, poddana ocenie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pod kątem jej znaczenia dla planu odbudowy. W przypadku uznania jej za obiekt istotny dla planu odbudowy właściciel rozdzielni dokonuje jej zgłoszenia do OSP w sposób określony w pkt. </w:t>
      </w:r>
      <w:r w:rsidR="00E85FEF" w:rsidRPr="00EB2E7B">
        <w:rPr>
          <w:rFonts w:asciiTheme="minorHAnsi" w:hAnsiTheme="minorHAnsi" w:cstheme="minorHAnsi"/>
          <w:sz w:val="20"/>
          <w:szCs w:val="20"/>
        </w:rPr>
        <w:fldChar w:fldCharType="begin"/>
      </w:r>
      <w:r w:rsidR="00E85FEF" w:rsidRPr="00EB2E7B">
        <w:rPr>
          <w:rFonts w:asciiTheme="minorHAnsi" w:hAnsiTheme="minorHAnsi" w:cstheme="minorHAnsi"/>
          <w:sz w:val="20"/>
          <w:szCs w:val="20"/>
        </w:rPr>
        <w:instrText xml:space="preserve"> REF _Ref142656190 \r \h </w:instrText>
      </w:r>
      <w:r w:rsidR="001E06F3" w:rsidRPr="00EB2E7B">
        <w:rPr>
          <w:rFonts w:asciiTheme="minorHAnsi" w:hAnsiTheme="minorHAnsi" w:cstheme="minorHAnsi"/>
          <w:sz w:val="20"/>
          <w:szCs w:val="20"/>
        </w:rPr>
        <w:instrText xml:space="preserve"> \* MERGEFORMAT </w:instrText>
      </w:r>
      <w:r w:rsidR="00E85FEF" w:rsidRPr="00EB2E7B">
        <w:rPr>
          <w:rFonts w:asciiTheme="minorHAnsi" w:hAnsiTheme="minorHAnsi" w:cstheme="minorHAnsi"/>
          <w:sz w:val="20"/>
          <w:szCs w:val="20"/>
        </w:rPr>
      </w:r>
      <w:r w:rsidR="00E85F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III.2.5.5</w:t>
      </w:r>
      <w:r w:rsidR="00E85FEF"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178"/>
    </w:p>
    <w:p w14:paraId="0BFEA762" w14:textId="46490B97" w:rsidR="00E62140" w:rsidRPr="00EB2E7B" w:rsidRDefault="00E62140"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Rozdzielnię istniejącą, do której planowane jest przyłączenie jednostki wytwórczej będące</w:t>
      </w:r>
      <w:r w:rsidR="001724B8" w:rsidRPr="00EB2E7B">
        <w:rPr>
          <w:rFonts w:asciiTheme="minorHAnsi" w:hAnsiTheme="minorHAnsi" w:cstheme="minorHAnsi"/>
          <w:sz w:val="20"/>
          <w:szCs w:val="20"/>
        </w:rPr>
        <w:t>j</w:t>
      </w:r>
      <w:r w:rsidRPr="00EB2E7B">
        <w:rPr>
          <w:rFonts w:asciiTheme="minorHAnsi" w:hAnsiTheme="minorHAnsi" w:cstheme="minorHAnsi"/>
          <w:sz w:val="20"/>
          <w:szCs w:val="20"/>
        </w:rPr>
        <w:t xml:space="preserve"> modułem wytwarzania energii typu D o mocy 50 MW lub wyż</w:t>
      </w:r>
      <w:r w:rsidR="001724B8" w:rsidRPr="00EB2E7B">
        <w:rPr>
          <w:rFonts w:asciiTheme="minorHAnsi" w:hAnsiTheme="minorHAnsi" w:cstheme="minorHAnsi"/>
          <w:sz w:val="20"/>
          <w:szCs w:val="20"/>
        </w:rPr>
        <w:t>sz</w:t>
      </w:r>
      <w:r w:rsidRPr="00EB2E7B">
        <w:rPr>
          <w:rFonts w:asciiTheme="minorHAnsi" w:hAnsiTheme="minorHAnsi" w:cstheme="minorHAnsi"/>
          <w:sz w:val="20"/>
          <w:szCs w:val="20"/>
        </w:rPr>
        <w:t xml:space="preserve">ej uznaje się za istotną dla planu odbudowy. Właściciel rozdzielni dokonuje jej zgłoszenia do OSP w sposób określony w pkt. </w:t>
      </w:r>
      <w:r w:rsidR="00E85FEF" w:rsidRPr="00EB2E7B">
        <w:rPr>
          <w:rFonts w:asciiTheme="minorHAnsi" w:hAnsiTheme="minorHAnsi" w:cstheme="minorHAnsi"/>
          <w:sz w:val="20"/>
          <w:szCs w:val="20"/>
        </w:rPr>
        <w:fldChar w:fldCharType="begin"/>
      </w:r>
      <w:r w:rsidR="00E85FEF" w:rsidRPr="00EB2E7B">
        <w:rPr>
          <w:rFonts w:asciiTheme="minorHAnsi" w:hAnsiTheme="minorHAnsi" w:cstheme="minorHAnsi"/>
          <w:sz w:val="20"/>
          <w:szCs w:val="20"/>
        </w:rPr>
        <w:instrText xml:space="preserve"> REF _Ref142656190 \r \h </w:instrText>
      </w:r>
      <w:r w:rsidR="001E06F3" w:rsidRPr="00EB2E7B">
        <w:rPr>
          <w:rFonts w:asciiTheme="minorHAnsi" w:hAnsiTheme="minorHAnsi" w:cstheme="minorHAnsi"/>
          <w:sz w:val="20"/>
          <w:szCs w:val="20"/>
        </w:rPr>
        <w:instrText xml:space="preserve"> \* MERGEFORMAT </w:instrText>
      </w:r>
      <w:r w:rsidR="00E85FEF" w:rsidRPr="00EB2E7B">
        <w:rPr>
          <w:rFonts w:asciiTheme="minorHAnsi" w:hAnsiTheme="minorHAnsi" w:cstheme="minorHAnsi"/>
          <w:sz w:val="20"/>
          <w:szCs w:val="20"/>
        </w:rPr>
      </w:r>
      <w:r w:rsidR="00E85F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III.2.5.5</w:t>
      </w:r>
      <w:r w:rsidR="00E85FEF"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6B3138C9" w14:textId="09FC08BC" w:rsidR="00E62140" w:rsidRPr="00EB2E7B" w:rsidRDefault="00E62140"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Rozdzielnie uznane za istotne dla planu odbudowy, OSP uwzględnia w wykazie o którym mowa w pkt. </w:t>
      </w:r>
      <w:r w:rsidR="00E85FEF" w:rsidRPr="00EB2E7B">
        <w:rPr>
          <w:rFonts w:asciiTheme="minorHAnsi" w:hAnsiTheme="minorHAnsi" w:cstheme="minorHAnsi"/>
          <w:sz w:val="20"/>
          <w:szCs w:val="20"/>
        </w:rPr>
        <w:fldChar w:fldCharType="begin"/>
      </w:r>
      <w:r w:rsidR="00E85FEF" w:rsidRPr="00EB2E7B">
        <w:rPr>
          <w:rFonts w:asciiTheme="minorHAnsi" w:hAnsiTheme="minorHAnsi" w:cstheme="minorHAnsi"/>
          <w:sz w:val="20"/>
          <w:szCs w:val="20"/>
        </w:rPr>
        <w:instrText xml:space="preserve"> REF _Ref142656242 \r \h </w:instrText>
      </w:r>
      <w:r w:rsidR="00900350" w:rsidRPr="00EB2E7B">
        <w:rPr>
          <w:rFonts w:asciiTheme="minorHAnsi" w:hAnsiTheme="minorHAnsi" w:cstheme="minorHAnsi"/>
          <w:sz w:val="20"/>
          <w:szCs w:val="20"/>
        </w:rPr>
        <w:instrText xml:space="preserve"> \* MERGEFORMAT </w:instrText>
      </w:r>
      <w:r w:rsidR="00E85FEF" w:rsidRPr="00EB2E7B">
        <w:rPr>
          <w:rFonts w:asciiTheme="minorHAnsi" w:hAnsiTheme="minorHAnsi" w:cstheme="minorHAnsi"/>
          <w:sz w:val="20"/>
          <w:szCs w:val="20"/>
        </w:rPr>
      </w:r>
      <w:r w:rsidR="00E85F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III.2.5.4</w:t>
      </w:r>
      <w:r w:rsidR="00E85FEF" w:rsidRPr="00EB2E7B">
        <w:rPr>
          <w:rFonts w:asciiTheme="minorHAnsi" w:hAnsiTheme="minorHAnsi" w:cstheme="minorHAnsi"/>
          <w:sz w:val="20"/>
          <w:szCs w:val="20"/>
        </w:rPr>
        <w:fldChar w:fldCharType="end"/>
      </w:r>
      <w:r w:rsidRPr="00EB2E7B">
        <w:rPr>
          <w:rFonts w:asciiTheme="minorHAnsi" w:hAnsiTheme="minorHAnsi" w:cstheme="minorHAnsi"/>
          <w:sz w:val="20"/>
          <w:szCs w:val="20"/>
        </w:rPr>
        <w:t>. i zgłasza Prezesowi URE zmiany w planie odbudowy w zakresie aktualizacji wykazu.</w:t>
      </w:r>
    </w:p>
    <w:p w14:paraId="3BD6283E" w14:textId="01451181" w:rsidR="00E62140" w:rsidRPr="00EB2E7B" w:rsidRDefault="00E62140"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Odpowiednio </w:t>
      </w:r>
      <w:proofErr w:type="spellStart"/>
      <w:r w:rsidRPr="00EB2E7B">
        <w:rPr>
          <w:rFonts w:asciiTheme="minorHAnsi" w:hAnsiTheme="minorHAnsi" w:cstheme="minorHAnsi"/>
          <w:sz w:val="20"/>
          <w:szCs w:val="20"/>
        </w:rPr>
        <w:t>OSD</w:t>
      </w:r>
      <w:r w:rsidR="00E91EDB"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albo OSDn, informuje właściciela rozdzielni istniejącej, o wprowadzeniu jego obiektu do wykazu i konieczności dostosowania go do wymogów technicznych w okresie do 5 lat od daty zgłoszenia Prezesowi URE.</w:t>
      </w:r>
    </w:p>
    <w:p w14:paraId="2AFFC96C" w14:textId="4FED10E4" w:rsidR="00E62140" w:rsidRPr="00EB2E7B" w:rsidRDefault="00E62140" w:rsidP="009A432E">
      <w:pPr>
        <w:pStyle w:val="Nagwek4"/>
        <w:rPr>
          <w:rFonts w:asciiTheme="minorHAnsi" w:hAnsiTheme="minorHAnsi" w:cstheme="minorHAnsi"/>
          <w:sz w:val="20"/>
          <w:szCs w:val="20"/>
        </w:rPr>
      </w:pPr>
      <w:r w:rsidRPr="00EB2E7B">
        <w:rPr>
          <w:rFonts w:asciiTheme="minorHAnsi" w:hAnsiTheme="minorHAnsi" w:cstheme="minorHAnsi"/>
          <w:sz w:val="20"/>
          <w:szCs w:val="20"/>
        </w:rPr>
        <w:t>Rozdzielnie uznane za istotne dla planu odbudowy powinny posiadać autonomiczne zasilanie rezerwowe, zapewniające prawidłowe jej działanie przez co najmniej 24 godziny, po zaniku zasilania podstawowego potrzeb własnych tej rozdzielni.</w:t>
      </w:r>
    </w:p>
    <w:p w14:paraId="54ADCA40" w14:textId="7905E952" w:rsidR="00E62140" w:rsidRPr="00EB2E7B" w:rsidRDefault="00E62140"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Podstawowe wymagania techniczne dla rozdzielni istotnych dla </w:t>
      </w:r>
      <w:r w:rsidR="000E7CA5" w:rsidRPr="00EB2E7B">
        <w:rPr>
          <w:rFonts w:asciiTheme="minorHAnsi" w:hAnsiTheme="minorHAnsi" w:cstheme="minorHAnsi"/>
          <w:sz w:val="20"/>
          <w:szCs w:val="20"/>
        </w:rPr>
        <w:t xml:space="preserve">planu </w:t>
      </w:r>
      <w:r w:rsidRPr="00EB2E7B">
        <w:rPr>
          <w:rFonts w:asciiTheme="minorHAnsi" w:hAnsiTheme="minorHAnsi" w:cstheme="minorHAnsi"/>
          <w:sz w:val="20"/>
          <w:szCs w:val="20"/>
        </w:rPr>
        <w:t>odbudowy, po zaniku zasilania podstawowego potrzeb własnych tych rozdzielni, obejmują w szczególności zdolność do:</w:t>
      </w:r>
    </w:p>
    <w:p w14:paraId="6D7F311F" w14:textId="2636EF87" w:rsidR="00E62140" w:rsidRPr="00EB2E7B" w:rsidRDefault="00E62140" w:rsidP="00E636A2">
      <w:pPr>
        <w:pStyle w:val="1przed"/>
        <w:numPr>
          <w:ilvl w:val="0"/>
          <w:numId w:val="161"/>
        </w:numPr>
        <w:ind w:left="1701" w:hanging="567"/>
        <w:rPr>
          <w:rFonts w:asciiTheme="minorHAnsi" w:hAnsiTheme="minorHAnsi" w:cstheme="minorHAnsi"/>
          <w:sz w:val="20"/>
          <w:szCs w:val="20"/>
        </w:rPr>
      </w:pPr>
      <w:r w:rsidRPr="00EB2E7B">
        <w:rPr>
          <w:rFonts w:asciiTheme="minorHAnsi" w:hAnsiTheme="minorHAnsi" w:cstheme="minorHAnsi"/>
          <w:sz w:val="20"/>
          <w:szCs w:val="20"/>
        </w:rPr>
        <w:t>sterowania zdalnego lub przez stałą obsługę obiektu wyłącznikami w:</w:t>
      </w:r>
    </w:p>
    <w:p w14:paraId="248FD24E" w14:textId="30BE4C51" w:rsidR="00E62140" w:rsidRPr="00EB2E7B" w:rsidRDefault="00E62140" w:rsidP="00B74457">
      <w:pPr>
        <w:pStyle w:val="apo"/>
        <w:numPr>
          <w:ilvl w:val="0"/>
          <w:numId w:val="36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rozdzielni </w:t>
      </w:r>
      <w:r w:rsidR="00500C13" w:rsidRPr="00EB2E7B">
        <w:rPr>
          <w:rFonts w:asciiTheme="minorHAnsi" w:hAnsiTheme="minorHAnsi" w:cstheme="minorHAnsi"/>
          <w:sz w:val="20"/>
          <w:szCs w:val="20"/>
        </w:rPr>
        <w:t xml:space="preserve">220 i </w:t>
      </w:r>
      <w:r w:rsidRPr="00EB2E7B">
        <w:rPr>
          <w:rFonts w:asciiTheme="minorHAnsi" w:hAnsiTheme="minorHAnsi" w:cstheme="minorHAnsi"/>
          <w:sz w:val="20"/>
          <w:szCs w:val="20"/>
        </w:rPr>
        <w:t xml:space="preserve">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70FD3787" w14:textId="1CAC7FBD" w:rsidR="007F1915" w:rsidRPr="00EB2E7B" w:rsidRDefault="00E62140" w:rsidP="00F82311">
      <w:pPr>
        <w:pStyle w:val="apo"/>
        <w:numPr>
          <w:ilvl w:val="0"/>
          <w:numId w:val="368"/>
        </w:numPr>
        <w:ind w:left="2268" w:hanging="567"/>
        <w:rPr>
          <w:rFonts w:asciiTheme="minorHAnsi" w:hAnsiTheme="minorHAnsi" w:cstheme="minorHAnsi"/>
          <w:sz w:val="20"/>
          <w:szCs w:val="20"/>
        </w:rPr>
      </w:pPr>
      <w:r w:rsidRPr="00EB2E7B">
        <w:rPr>
          <w:rFonts w:asciiTheme="minorHAnsi" w:hAnsiTheme="minorHAnsi" w:cstheme="minorHAnsi"/>
          <w:sz w:val="20"/>
          <w:szCs w:val="20"/>
        </w:rPr>
        <w:t>w polach SN, zapewniających prawidłowe funkcjonowanie rozdzielni, tj. zasilanie, pracę sprzęgła, dokonywanie pomiarów;</w:t>
      </w:r>
    </w:p>
    <w:p w14:paraId="2DEDE4C7" w14:textId="3B0B6BB4" w:rsidR="00E62140" w:rsidRPr="00EB2E7B" w:rsidRDefault="00E62140" w:rsidP="00763627">
      <w:pPr>
        <w:pStyle w:val="apo"/>
        <w:rPr>
          <w:rFonts w:asciiTheme="minorHAnsi" w:hAnsiTheme="minorHAnsi" w:cstheme="minorHAnsi"/>
          <w:sz w:val="20"/>
          <w:szCs w:val="20"/>
        </w:rPr>
      </w:pPr>
      <w:r w:rsidRPr="00EB2E7B">
        <w:rPr>
          <w:rFonts w:asciiTheme="minorHAnsi" w:hAnsiTheme="minorHAnsi" w:cstheme="minorHAnsi"/>
          <w:sz w:val="20"/>
          <w:szCs w:val="20"/>
        </w:rPr>
        <w:t>w zakresie wykonywania co najmniej trzech operacji łączeniowych „wyłącz – załącz”;</w:t>
      </w:r>
    </w:p>
    <w:p w14:paraId="402FBEBE" w14:textId="20AD44C9" w:rsidR="00E62140" w:rsidRPr="00EB2E7B" w:rsidRDefault="00E62140" w:rsidP="00E636A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wykonania zdalnego lub przez stałą obsługę obiektu, co najmniej jednej operacji łączeniowej „wyłącz”, wszystkimi wyłącznikami w polach liniowych SN;</w:t>
      </w:r>
    </w:p>
    <w:p w14:paraId="15C09B3B" w14:textId="5DDB376B" w:rsidR="00E62140" w:rsidRPr="00EB2E7B" w:rsidRDefault="00E62140" w:rsidP="00E636A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podania zdalnego lub przez stałą obsługę obiektu, napięcia od strony WN do pola potrzeb własnych SN;</w:t>
      </w:r>
    </w:p>
    <w:p w14:paraId="3DE9E20E" w14:textId="52FA8226" w:rsidR="00E62140" w:rsidRPr="00EB2E7B" w:rsidRDefault="00E62140" w:rsidP="00E636A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przesyłania sygnałów sterowania oraz danych pomiarowych pomiędzy </w:t>
      </w:r>
      <w:r w:rsidR="00017DA7" w:rsidRPr="00EB2E7B">
        <w:rPr>
          <w:rFonts w:asciiTheme="minorHAnsi" w:hAnsiTheme="minorHAnsi" w:cstheme="minorHAnsi"/>
          <w:sz w:val="20"/>
          <w:szCs w:val="20"/>
        </w:rPr>
        <w:t xml:space="preserve">przedmiotową </w:t>
      </w:r>
      <w:r w:rsidRPr="00EB2E7B">
        <w:rPr>
          <w:rFonts w:asciiTheme="minorHAnsi" w:hAnsiTheme="minorHAnsi" w:cstheme="minorHAnsi"/>
          <w:sz w:val="20"/>
          <w:szCs w:val="20"/>
        </w:rPr>
        <w:t>rozdzielnią a centr</w:t>
      </w:r>
      <w:r w:rsidR="00675462" w:rsidRPr="00EB2E7B">
        <w:rPr>
          <w:rFonts w:asciiTheme="minorHAnsi" w:hAnsiTheme="minorHAnsi" w:cstheme="minorHAnsi"/>
          <w:sz w:val="20"/>
          <w:szCs w:val="20"/>
        </w:rPr>
        <w:t>um</w:t>
      </w:r>
      <w:r w:rsidRPr="00EB2E7B">
        <w:rPr>
          <w:rFonts w:asciiTheme="minorHAnsi" w:hAnsiTheme="minorHAnsi" w:cstheme="minorHAnsi"/>
          <w:sz w:val="20"/>
          <w:szCs w:val="20"/>
        </w:rPr>
        <w:t xml:space="preserve"> dyspozytorskim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 </w:t>
      </w:r>
      <w:r w:rsidR="00675462" w:rsidRPr="00EB2E7B">
        <w:rPr>
          <w:rFonts w:asciiTheme="minorHAnsi" w:hAnsiTheme="minorHAnsi" w:cstheme="minorHAnsi"/>
          <w:sz w:val="20"/>
          <w:szCs w:val="20"/>
        </w:rPr>
        <w:t xml:space="preserve">służbami technicznymi </w:t>
      </w:r>
      <w:r w:rsidRPr="00EB2E7B">
        <w:rPr>
          <w:rFonts w:asciiTheme="minorHAnsi" w:hAnsiTheme="minorHAnsi" w:cstheme="minorHAnsi"/>
          <w:sz w:val="20"/>
          <w:szCs w:val="20"/>
        </w:rPr>
        <w:t>OSD</w:t>
      </w:r>
      <w:r w:rsidR="00675462" w:rsidRPr="00EB2E7B">
        <w:rPr>
          <w:rFonts w:asciiTheme="minorHAnsi" w:hAnsiTheme="minorHAnsi" w:cstheme="minorHAnsi"/>
          <w:sz w:val="20"/>
          <w:szCs w:val="20"/>
        </w:rPr>
        <w:t>n (w tym ACPRO)</w:t>
      </w:r>
      <w:r w:rsidRPr="00EB2E7B">
        <w:rPr>
          <w:rFonts w:asciiTheme="minorHAnsi" w:hAnsiTheme="minorHAnsi" w:cstheme="minorHAnsi"/>
          <w:sz w:val="20"/>
          <w:szCs w:val="20"/>
        </w:rPr>
        <w:t>;</w:t>
      </w:r>
    </w:p>
    <w:p w14:paraId="7C4A53AA" w14:textId="35F4C332" w:rsidR="00E62140" w:rsidRPr="00EB2E7B" w:rsidRDefault="00E62140" w:rsidP="00E636A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realizacji łączności głosowej pomiędzy rozdzielnią a centrami dyspozytorskimi OSP,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t>
      </w:r>
      <w:r w:rsidR="00263B33" w:rsidRPr="00EB2E7B">
        <w:rPr>
          <w:rFonts w:asciiTheme="minorHAnsi" w:hAnsiTheme="minorHAnsi" w:cstheme="minorHAnsi"/>
          <w:sz w:val="20"/>
          <w:szCs w:val="20"/>
        </w:rPr>
        <w:t>a</w:t>
      </w:r>
      <w:r w:rsidRPr="00EB2E7B">
        <w:rPr>
          <w:rFonts w:asciiTheme="minorHAnsi" w:hAnsiTheme="minorHAnsi" w:cstheme="minorHAnsi"/>
          <w:sz w:val="20"/>
          <w:szCs w:val="20"/>
        </w:rPr>
        <w:t xml:space="preserve"> </w:t>
      </w:r>
      <w:r w:rsidR="00796317" w:rsidRPr="00EB2E7B">
        <w:rPr>
          <w:rFonts w:asciiTheme="minorHAnsi" w:hAnsiTheme="minorHAnsi" w:cstheme="minorHAnsi"/>
          <w:sz w:val="20"/>
          <w:szCs w:val="20"/>
        </w:rPr>
        <w:t>służb</w:t>
      </w:r>
      <w:r w:rsidR="00263B33" w:rsidRPr="00EB2E7B">
        <w:rPr>
          <w:rFonts w:asciiTheme="minorHAnsi" w:hAnsiTheme="minorHAnsi" w:cstheme="minorHAnsi"/>
          <w:sz w:val="20"/>
          <w:szCs w:val="20"/>
        </w:rPr>
        <w:t>ami</w:t>
      </w:r>
      <w:r w:rsidR="00796317" w:rsidRPr="00EB2E7B">
        <w:rPr>
          <w:rFonts w:asciiTheme="minorHAnsi" w:hAnsiTheme="minorHAnsi" w:cstheme="minorHAnsi"/>
          <w:sz w:val="20"/>
          <w:szCs w:val="20"/>
        </w:rPr>
        <w:t xml:space="preserve"> technicznych </w:t>
      </w:r>
      <w:r w:rsidRPr="00EB2E7B">
        <w:rPr>
          <w:rFonts w:asciiTheme="minorHAnsi" w:hAnsiTheme="minorHAnsi" w:cstheme="minorHAnsi"/>
          <w:sz w:val="20"/>
          <w:szCs w:val="20"/>
        </w:rPr>
        <w:t>OSD</w:t>
      </w:r>
      <w:r w:rsidR="008F600C" w:rsidRPr="00EB2E7B">
        <w:rPr>
          <w:rFonts w:asciiTheme="minorHAnsi" w:hAnsiTheme="minorHAnsi" w:cstheme="minorHAnsi"/>
          <w:sz w:val="20"/>
          <w:szCs w:val="20"/>
        </w:rPr>
        <w:t>n</w:t>
      </w:r>
      <w:r w:rsidR="00796317"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w:t>
      </w:r>
    </w:p>
    <w:p w14:paraId="0D5217B7" w14:textId="6AE7C899" w:rsidR="00E62140" w:rsidRPr="00EB2E7B" w:rsidRDefault="00E62140"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Jeżeli rozdzielnia ujęta w wykazie, o którym mowa pkt. </w:t>
      </w:r>
      <w:r w:rsidR="00E85FEF" w:rsidRPr="00EB2E7B">
        <w:rPr>
          <w:rFonts w:asciiTheme="minorHAnsi" w:hAnsiTheme="minorHAnsi" w:cstheme="minorHAnsi"/>
          <w:sz w:val="20"/>
          <w:szCs w:val="20"/>
        </w:rPr>
        <w:fldChar w:fldCharType="begin"/>
      </w:r>
      <w:r w:rsidR="00E85FEF" w:rsidRPr="00EB2E7B">
        <w:rPr>
          <w:rFonts w:asciiTheme="minorHAnsi" w:hAnsiTheme="minorHAnsi" w:cstheme="minorHAnsi"/>
          <w:sz w:val="20"/>
          <w:szCs w:val="20"/>
        </w:rPr>
        <w:instrText xml:space="preserve"> REF _Ref142656242 \r \h </w:instrText>
      </w:r>
      <w:r w:rsidR="008A7CDB" w:rsidRPr="00EB2E7B">
        <w:rPr>
          <w:rFonts w:asciiTheme="minorHAnsi" w:hAnsiTheme="minorHAnsi" w:cstheme="minorHAnsi"/>
          <w:sz w:val="20"/>
          <w:szCs w:val="20"/>
        </w:rPr>
        <w:instrText xml:space="preserve"> \* MERGEFORMAT </w:instrText>
      </w:r>
      <w:r w:rsidR="00E85FEF" w:rsidRPr="00EB2E7B">
        <w:rPr>
          <w:rFonts w:asciiTheme="minorHAnsi" w:hAnsiTheme="minorHAnsi" w:cstheme="minorHAnsi"/>
          <w:sz w:val="20"/>
          <w:szCs w:val="20"/>
        </w:rPr>
      </w:r>
      <w:r w:rsidR="00E85FE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III.2.5.4</w:t>
      </w:r>
      <w:r w:rsidR="00E85FEF" w:rsidRPr="00EB2E7B">
        <w:rPr>
          <w:rFonts w:asciiTheme="minorHAnsi" w:hAnsiTheme="minorHAnsi" w:cstheme="minorHAnsi"/>
          <w:sz w:val="20"/>
          <w:szCs w:val="20"/>
        </w:rPr>
        <w:fldChar w:fldCharType="end"/>
      </w:r>
      <w:r w:rsidRPr="00EB2E7B">
        <w:rPr>
          <w:rFonts w:asciiTheme="minorHAnsi" w:hAnsiTheme="minorHAnsi" w:cstheme="minorHAnsi"/>
          <w:sz w:val="20"/>
          <w:szCs w:val="20"/>
        </w:rPr>
        <w:t>., korzysta z infrastruktury zewnętrznej innych obiektów, to obiekty te, w zakresie obsługującym rozdzielnię ujętą w tym wykazie, powinny zapewniać podtrzymanie zdolności telekomunikacyjnych i sterowniczych przez co najmniej 24 godziny po zaniku zasilania podstawowego tych obiektów.</w:t>
      </w:r>
    </w:p>
    <w:p w14:paraId="58798CCA" w14:textId="77777777" w:rsidR="00473957" w:rsidRPr="00EB2E7B" w:rsidRDefault="0077111A">
      <w:pPr>
        <w:pStyle w:val="Nagwek2"/>
        <w:rPr>
          <w:rFonts w:asciiTheme="minorHAnsi" w:hAnsiTheme="minorHAnsi" w:cstheme="minorHAnsi"/>
          <w:bCs/>
          <w:sz w:val="20"/>
          <w:szCs w:val="20"/>
        </w:rPr>
      </w:pPr>
      <w:bookmarkStart w:id="179" w:name="_Toc180153725"/>
      <w:bookmarkStart w:id="180" w:name="_Toc239333318"/>
      <w:r w:rsidRPr="00EB2E7B">
        <w:rPr>
          <w:rFonts w:asciiTheme="minorHAnsi" w:hAnsiTheme="minorHAnsi" w:cstheme="minorHAnsi"/>
          <w:sz w:val="20"/>
          <w:szCs w:val="20"/>
        </w:rPr>
        <w:t>PRZEKAZANIE URZĄDZEŃ DO REMONTU, PRZEBUDOWY LUB WYCOFYWANIE Z EKSPLOATACJI</w:t>
      </w:r>
      <w:bookmarkEnd w:id="179"/>
      <w:bookmarkEnd w:id="180"/>
    </w:p>
    <w:p w14:paraId="4A1B099C" w14:textId="4432C42C" w:rsidR="00473957" w:rsidRPr="00EB2E7B" w:rsidRDefault="0077111A" w:rsidP="00754D6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Przekazanie urządzeń do remontu, przebudowy lub wycofanie z eksploatacji następuje na podstawie decyzji właściciela urządzeń. </w:t>
      </w:r>
    </w:p>
    <w:p w14:paraId="0A4C728D" w14:textId="7A8AF88D" w:rsidR="00473957" w:rsidRPr="00EB2E7B" w:rsidRDefault="0077111A" w:rsidP="00754D6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Datę i sposób przekazania urządzeń do remontu, przebudowy lub wycofania z</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eksploatacji należy uzgodnić z właściwym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t>
      </w:r>
    </w:p>
    <w:p w14:paraId="31D34CA3" w14:textId="77777777" w:rsidR="00473957" w:rsidRPr="00EB2E7B" w:rsidRDefault="0077111A">
      <w:pPr>
        <w:pStyle w:val="Nagwek2"/>
        <w:rPr>
          <w:rFonts w:asciiTheme="minorHAnsi" w:hAnsiTheme="minorHAnsi" w:cstheme="minorHAnsi"/>
          <w:bCs/>
          <w:sz w:val="20"/>
          <w:szCs w:val="20"/>
        </w:rPr>
      </w:pPr>
      <w:bookmarkStart w:id="181" w:name="_Toc180153726"/>
      <w:bookmarkStart w:id="182" w:name="_Toc239333319"/>
      <w:r w:rsidRPr="00EB2E7B">
        <w:rPr>
          <w:rFonts w:asciiTheme="minorHAnsi" w:hAnsiTheme="minorHAnsi" w:cstheme="minorHAnsi"/>
          <w:sz w:val="20"/>
          <w:szCs w:val="20"/>
        </w:rPr>
        <w:t>UZGADNIANIE PRAC EKSPLOATACYJNYCH Z OPERATOREM SYSTEMU PRZESYŁOWEGO I OPERATORAMI SYSTEMÓW DYSTRYBUCYJNYCH</w:t>
      </w:r>
      <w:bookmarkEnd w:id="181"/>
      <w:bookmarkEnd w:id="182"/>
    </w:p>
    <w:p w14:paraId="122FD2A6" w14:textId="3A4075A9" w:rsidR="00473957" w:rsidRPr="00EB2E7B" w:rsidRDefault="0077111A" w:rsidP="00754D6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Wszystkie prace wykonywane w sieciach dystrybucyjnych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są prowadzone w uzgodnieniu z</w:t>
      </w:r>
      <w:r w:rsidR="008170C6" w:rsidRPr="00EB2E7B">
        <w:rPr>
          <w:rFonts w:asciiTheme="minorHAnsi" w:hAnsiTheme="minorHAnsi" w:cstheme="minorHAnsi"/>
          <w:sz w:val="20"/>
          <w:szCs w:val="20"/>
        </w:rPr>
        <w:t xml:space="preserve"> operatorem systemu dystrybucyjnego </w:t>
      </w:r>
      <w:r w:rsidR="00AC1E41" w:rsidRPr="00EB2E7B">
        <w:rPr>
          <w:rFonts w:asciiTheme="minorHAnsi" w:hAnsiTheme="minorHAnsi" w:cstheme="minorHAnsi"/>
          <w:sz w:val="20"/>
          <w:szCs w:val="20"/>
        </w:rPr>
        <w:t>odpowiedzialnym za prowadzenie ruchu sieci dystrybucyjnej, w której mają być wykonane prace eksploatacyjne</w:t>
      </w:r>
      <w:r w:rsidRPr="00EB2E7B">
        <w:rPr>
          <w:rFonts w:asciiTheme="minorHAnsi" w:hAnsiTheme="minorHAnsi" w:cstheme="minorHAnsi"/>
          <w:sz w:val="20"/>
          <w:szCs w:val="20"/>
        </w:rPr>
        <w:t xml:space="preserve">. </w:t>
      </w:r>
    </w:p>
    <w:p w14:paraId="4FB0DE14" w14:textId="77777777" w:rsidR="00473957" w:rsidRPr="00EB2E7B" w:rsidRDefault="0077111A" w:rsidP="00754D6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powierzenia prowadzenia eksploatacji urządzeń, instalacji lub sieci innemu podmiotowi, szczegółowe zasady i terminy dokonywania uzgodnień prac eksploatacyjnych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reguluje umowa. </w:t>
      </w:r>
    </w:p>
    <w:p w14:paraId="14C0FE78" w14:textId="77777777" w:rsidR="00473957" w:rsidRPr="00EB2E7B" w:rsidRDefault="00232DA9" w:rsidP="00754D6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ACPRO</w:t>
      </w:r>
      <w:r w:rsidR="0077111A" w:rsidRPr="00EB2E7B">
        <w:rPr>
          <w:rFonts w:asciiTheme="minorHAnsi" w:hAnsiTheme="minorHAnsi" w:cstheme="minorHAnsi"/>
          <w:sz w:val="20"/>
          <w:szCs w:val="20"/>
        </w:rPr>
        <w:t xml:space="preserve"> dokonuje niezbędnych uzgodnień planowanych prac eksploatacyjnych w</w:t>
      </w:r>
      <w:r w:rsidR="00883B8E"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zakresie, w jakim mogą one mieć wpływ na pracę sieci, której ruch prowadzą inni operatorzy. </w:t>
      </w:r>
    </w:p>
    <w:p w14:paraId="50783474" w14:textId="77777777" w:rsidR="00473957" w:rsidRPr="00EB2E7B" w:rsidRDefault="0077111A">
      <w:pPr>
        <w:pStyle w:val="Nagwek2"/>
        <w:rPr>
          <w:rFonts w:asciiTheme="minorHAnsi" w:hAnsiTheme="minorHAnsi" w:cstheme="minorHAnsi"/>
          <w:bCs/>
          <w:sz w:val="20"/>
          <w:szCs w:val="20"/>
        </w:rPr>
      </w:pPr>
      <w:bookmarkStart w:id="183" w:name="_Toc180153727"/>
      <w:bookmarkStart w:id="184" w:name="_Toc239333320"/>
      <w:r w:rsidRPr="00EB2E7B">
        <w:rPr>
          <w:rFonts w:asciiTheme="minorHAnsi" w:hAnsiTheme="minorHAnsi" w:cstheme="minorHAnsi"/>
          <w:sz w:val="20"/>
          <w:szCs w:val="20"/>
        </w:rPr>
        <w:t>DOKUMENTACJA TECHNICZNA I PRAWNA</w:t>
      </w:r>
      <w:bookmarkEnd w:id="183"/>
      <w:bookmarkEnd w:id="184"/>
    </w:p>
    <w:p w14:paraId="2E8132CA" w14:textId="77777777" w:rsidR="00473957" w:rsidRPr="00EB2E7B" w:rsidRDefault="0077111A" w:rsidP="0089224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Właściciel obiektu lub urządzenia elektroenergetycznego prowadzi i na bieżąco aktualizuje następującą dokumentację: </w:t>
      </w:r>
    </w:p>
    <w:p w14:paraId="2D863165" w14:textId="77777777" w:rsidR="00473957" w:rsidRPr="00EB2E7B" w:rsidRDefault="0077111A" w:rsidP="00892242">
      <w:pPr>
        <w:pStyle w:val="aprzed"/>
        <w:numPr>
          <w:ilvl w:val="0"/>
          <w:numId w:val="6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dla obiektu elektroenergetycznego – dokumentację prawną i techniczną, </w:t>
      </w:r>
    </w:p>
    <w:p w14:paraId="1021CA82" w14:textId="77777777" w:rsidR="00473957" w:rsidRPr="00EB2E7B" w:rsidRDefault="0077111A" w:rsidP="0089224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dla urządzeń – dokumentację techniczną. </w:t>
      </w:r>
    </w:p>
    <w:p w14:paraId="7B629665" w14:textId="77777777" w:rsidR="00473957" w:rsidRPr="00EB2E7B" w:rsidRDefault="0077111A"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Dopuszcza się prowadzenie oraz aktualizacje dokumentacji przez inny podmiot działający na podstawie umowy zawartej z właścicielem. Rodzaj i zakres prowadzonej dokumentacji określa umowa. </w:t>
      </w:r>
    </w:p>
    <w:p w14:paraId="1030913D" w14:textId="63E11904" w:rsidR="00473957" w:rsidRPr="00EB2E7B" w:rsidRDefault="0077111A" w:rsidP="0089224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Dokumentacja </w:t>
      </w:r>
      <w:r w:rsidR="002A678B" w:rsidRPr="00EB2E7B">
        <w:rPr>
          <w:rFonts w:asciiTheme="minorHAnsi" w:hAnsiTheme="minorHAnsi" w:cstheme="minorHAnsi"/>
          <w:sz w:val="20"/>
          <w:szCs w:val="20"/>
        </w:rPr>
        <w:t>prawna obiektu elektroenergetycznego powinna zawierać w szczególności:</w:t>
      </w:r>
    </w:p>
    <w:p w14:paraId="32407E0B" w14:textId="77777777" w:rsidR="00473957" w:rsidRPr="00EB2E7B" w:rsidRDefault="0077111A" w:rsidP="00C64E02">
      <w:pPr>
        <w:pStyle w:val="aprzed"/>
        <w:numPr>
          <w:ilvl w:val="0"/>
          <w:numId w:val="68"/>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decyzję o warunkach zabudowy i zagospodarowania terenu – jeżeli jest  wymagana, </w:t>
      </w:r>
    </w:p>
    <w:p w14:paraId="6F303E44" w14:textId="77777777" w:rsidR="00473957" w:rsidRPr="00EB2E7B" w:rsidRDefault="0077111A" w:rsidP="00C64E0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dokumenty stwierdzające stan prawno-własnościowy nieruchomości, </w:t>
      </w:r>
    </w:p>
    <w:p w14:paraId="28D1A17A" w14:textId="77777777" w:rsidR="00473957" w:rsidRPr="00EB2E7B" w:rsidRDefault="0077111A" w:rsidP="00C64E0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pozwolenie na budowę wraz z załącznikami, </w:t>
      </w:r>
    </w:p>
    <w:p w14:paraId="0D2C9905" w14:textId="77777777" w:rsidR="00473957" w:rsidRPr="00EB2E7B" w:rsidRDefault="0077111A" w:rsidP="00C64E0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pozwolenie na użytkowanie – jeżeli jest wymagane. </w:t>
      </w:r>
    </w:p>
    <w:p w14:paraId="02F7042D" w14:textId="77777777" w:rsidR="00473957" w:rsidRPr="00EB2E7B" w:rsidRDefault="0077111A" w:rsidP="00C64E0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Dokumentacja techniczna w zależności od potrzeb, rodzaju obiektu, urządzenia lub grupy urządzeń obejmuje m.in.: </w:t>
      </w:r>
    </w:p>
    <w:p w14:paraId="5967DE08" w14:textId="77777777" w:rsidR="00473957" w:rsidRPr="00EB2E7B" w:rsidRDefault="0077111A" w:rsidP="00C64E02">
      <w:pPr>
        <w:pStyle w:val="aprzed"/>
        <w:numPr>
          <w:ilvl w:val="0"/>
          <w:numId w:val="6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dokumentację projektową i powykonawczą, </w:t>
      </w:r>
    </w:p>
    <w:p w14:paraId="00BDAEC8" w14:textId="77777777" w:rsidR="00473957" w:rsidRPr="00EB2E7B" w:rsidRDefault="0077111A" w:rsidP="00C64E0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protokół zakwalifikowania pomieszczeń i ich stref lub przestrzeni zewnętrznych do kategorii niebezpieczeństwa pożarowego i/lub zagrożenia wybuchem, </w:t>
      </w:r>
    </w:p>
    <w:p w14:paraId="07E6D8EB" w14:textId="77777777" w:rsidR="00473957" w:rsidRPr="00EB2E7B" w:rsidRDefault="0077111A" w:rsidP="00C64E0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dokumentację </w:t>
      </w:r>
      <w:proofErr w:type="spellStart"/>
      <w:r w:rsidRPr="00EB2E7B">
        <w:rPr>
          <w:rFonts w:asciiTheme="minorHAnsi" w:hAnsiTheme="minorHAnsi" w:cstheme="minorHAnsi"/>
          <w:sz w:val="20"/>
          <w:szCs w:val="20"/>
        </w:rPr>
        <w:t>techniczno</w:t>
      </w:r>
      <w:proofErr w:type="spellEnd"/>
      <w:r w:rsidRPr="00EB2E7B">
        <w:rPr>
          <w:rFonts w:asciiTheme="minorHAnsi" w:hAnsiTheme="minorHAnsi" w:cstheme="minorHAnsi"/>
          <w:sz w:val="20"/>
          <w:szCs w:val="20"/>
        </w:rPr>
        <w:t xml:space="preserve"> – ruchową urządzeń, </w:t>
      </w:r>
    </w:p>
    <w:p w14:paraId="3E1C73EF" w14:textId="77777777" w:rsidR="00473957" w:rsidRPr="00EB2E7B" w:rsidRDefault="0077111A" w:rsidP="00C64E0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dokumentację związaną z ochroną środowiska naturalnego, </w:t>
      </w:r>
    </w:p>
    <w:p w14:paraId="64985E84" w14:textId="77777777" w:rsidR="00473957" w:rsidRPr="00EB2E7B" w:rsidRDefault="0077111A" w:rsidP="00C64E02">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dokumentację eksploatacyjną i ruchową. </w:t>
      </w:r>
    </w:p>
    <w:p w14:paraId="446EE96F" w14:textId="77777777" w:rsidR="00B61AEA" w:rsidRPr="00EB2E7B" w:rsidRDefault="0077111A" w:rsidP="00975D9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Dokumentacja eksploatacyjna i ruchowa w zależności od potrzeb, rodzaju obiektu, urządzenia lub grupy urządzeń obejmuje m.in.: </w:t>
      </w:r>
    </w:p>
    <w:p w14:paraId="6DFE2E59" w14:textId="77777777" w:rsidR="00473957" w:rsidRPr="00EB2E7B" w:rsidRDefault="0077111A" w:rsidP="00975D9C">
      <w:pPr>
        <w:pStyle w:val="aprzed"/>
        <w:numPr>
          <w:ilvl w:val="0"/>
          <w:numId w:val="70"/>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dokumenty przyjęcia do eksploatacji, </w:t>
      </w:r>
    </w:p>
    <w:p w14:paraId="4B45032B"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instrukcję eksploatacji wraz z niezbędnymi załącznikami,  </w:t>
      </w:r>
    </w:p>
    <w:p w14:paraId="319765C2" w14:textId="5FDFBD28" w:rsidR="0088034D"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dokumenty dotyczące oględzin, przeglądów, konserwacji, napraw</w:t>
      </w:r>
      <w:r w:rsidR="0088034D" w:rsidRPr="00EB2E7B">
        <w:rPr>
          <w:rFonts w:asciiTheme="minorHAnsi" w:hAnsiTheme="minorHAnsi" w:cstheme="minorHAnsi"/>
          <w:sz w:val="20"/>
          <w:szCs w:val="20"/>
        </w:rPr>
        <w:t xml:space="preserve"> i</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remontów, w tym dokumenty dotyczące rodzaju i zakresu uszkodzeń i</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napraw,</w:t>
      </w:r>
    </w:p>
    <w:p w14:paraId="182794DA"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 protokoły zawierające wyniki przeprowadzonych badań, prób i pomiarów, </w:t>
      </w:r>
    </w:p>
    <w:p w14:paraId="41862CB6"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wykaz niezbędnych części zamiennych, </w:t>
      </w:r>
    </w:p>
    <w:p w14:paraId="536E20D3"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dokumenty z przeprowadzonej oceny stanu technicznego, </w:t>
      </w:r>
    </w:p>
    <w:p w14:paraId="42EE2F45"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dziennik operacyjny, </w:t>
      </w:r>
    </w:p>
    <w:p w14:paraId="46984421"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schemat elektryczny obiektu z zaznaczeniem granic własności, </w:t>
      </w:r>
    </w:p>
    <w:p w14:paraId="5A7A8C90"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wykaz nastawień zabezpieczeń i automatyki, </w:t>
      </w:r>
    </w:p>
    <w:p w14:paraId="2A6F63B4"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 xml:space="preserve">karty przełączeń, </w:t>
      </w:r>
    </w:p>
    <w:p w14:paraId="0E50BFBE"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ewidencję założonych uziemień, </w:t>
      </w:r>
    </w:p>
    <w:p w14:paraId="4AD89D36"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programy łączeniowe, </w:t>
      </w:r>
    </w:p>
    <w:p w14:paraId="7313FB81"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wykaz personelu ruchowego. </w:t>
      </w:r>
    </w:p>
    <w:p w14:paraId="60A46A5D" w14:textId="56220BC9" w:rsidR="00473957" w:rsidRPr="00EB2E7B" w:rsidRDefault="0077111A" w:rsidP="00975D9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Instrukcja eksploatacji obiektu, urządzenia lub grupy urządzeń jest opracowywana </w:t>
      </w:r>
      <w:r w:rsidR="00264AF7" w:rsidRPr="00EB2E7B">
        <w:rPr>
          <w:rFonts w:asciiTheme="minorHAnsi" w:hAnsiTheme="minorHAnsi" w:cstheme="minorHAnsi"/>
          <w:sz w:val="20"/>
          <w:szCs w:val="20"/>
        </w:rPr>
        <w:t xml:space="preserve">przez właściciela </w:t>
      </w:r>
      <w:r w:rsidRPr="00EB2E7B">
        <w:rPr>
          <w:rFonts w:asciiTheme="minorHAnsi" w:hAnsiTheme="minorHAnsi" w:cstheme="minorHAnsi"/>
          <w:sz w:val="20"/>
          <w:szCs w:val="20"/>
        </w:rPr>
        <w:t xml:space="preserve">i w zależności od potrzeb oraz rodzaju obiektu, urządzenia lub grupy urządzeń zawiera m.in.: </w:t>
      </w:r>
    </w:p>
    <w:p w14:paraId="1E915E35" w14:textId="77777777" w:rsidR="00473957" w:rsidRPr="00EB2E7B" w:rsidRDefault="0077111A" w:rsidP="00975D9C">
      <w:pPr>
        <w:pStyle w:val="aprzed"/>
        <w:numPr>
          <w:ilvl w:val="0"/>
          <w:numId w:val="7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ogólną charakterystykę urządzenia, </w:t>
      </w:r>
    </w:p>
    <w:p w14:paraId="49D7EAB9"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niezbędne warunki eksploatacji urządzenia, </w:t>
      </w:r>
    </w:p>
    <w:p w14:paraId="7B54A261"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wymagania dotyczące kwalifikacji osób zajmujących się eksploatacją, </w:t>
      </w:r>
    </w:p>
    <w:p w14:paraId="78E66802"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określenie czynności związanych z uruchomieniem, obsługą w czasie pracy i wyłączeniem urządzenia w warunkach normalnej eksploatacji, </w:t>
      </w:r>
    </w:p>
    <w:p w14:paraId="3A310FD6"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zakresy przeprowadzania oględzin, przeglądów oraz prób, pomiarów i</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badań, </w:t>
      </w:r>
    </w:p>
    <w:p w14:paraId="07394901"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wymagania w zakresie konserwacji i napraw, </w:t>
      </w:r>
    </w:p>
    <w:p w14:paraId="3BB2710C"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postępowania w razie awarii, pożaru i w przypadku innych zakłóceń w pracy urządzenia, </w:t>
      </w:r>
    </w:p>
    <w:p w14:paraId="47A7B05A"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wykaz niezbędnego sprzętu ochronnego, </w:t>
      </w:r>
    </w:p>
    <w:p w14:paraId="0725421E"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informacje o środkach łączności, </w:t>
      </w:r>
    </w:p>
    <w:p w14:paraId="3B662F12"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wymagania związane z ochroną środowiska naturalnego, </w:t>
      </w:r>
    </w:p>
    <w:p w14:paraId="5A28ABE4"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zakresy wykonywania zapisów ruchowych, w tym wskazań aparatury kontrolnopomiarowej, </w:t>
      </w:r>
    </w:p>
    <w:p w14:paraId="65572850" w14:textId="77777777" w:rsidR="00473957" w:rsidRPr="00EB2E7B" w:rsidRDefault="0077111A" w:rsidP="00975D9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opis zastosowanych środków ochrony przed porażeniem, pożarem, wybuchem oraz środków w zakresie bezpieczeństwa obsługi i otoczenia. </w:t>
      </w:r>
    </w:p>
    <w:p w14:paraId="1B2AF284" w14:textId="77777777" w:rsidR="00473957" w:rsidRPr="00EB2E7B" w:rsidRDefault="0077111A">
      <w:pPr>
        <w:pStyle w:val="Nagwek2"/>
        <w:rPr>
          <w:rFonts w:asciiTheme="minorHAnsi" w:hAnsiTheme="minorHAnsi" w:cstheme="minorHAnsi"/>
          <w:bCs/>
          <w:sz w:val="20"/>
          <w:szCs w:val="20"/>
        </w:rPr>
      </w:pPr>
      <w:bookmarkStart w:id="185" w:name="_Toc180153728"/>
      <w:bookmarkStart w:id="186" w:name="_Toc239333321"/>
      <w:r w:rsidRPr="00EB2E7B">
        <w:rPr>
          <w:rFonts w:asciiTheme="minorHAnsi" w:hAnsiTheme="minorHAnsi" w:cstheme="minorHAnsi"/>
          <w:sz w:val="20"/>
          <w:szCs w:val="20"/>
        </w:rPr>
        <w:t>REZERWA URZĄDZEŃ I CZĘŚCI ZAPASOWYCH</w:t>
      </w:r>
      <w:bookmarkEnd w:id="185"/>
      <w:bookmarkEnd w:id="186"/>
    </w:p>
    <w:p w14:paraId="59A6632E" w14:textId="77777777" w:rsidR="00473957" w:rsidRPr="00EB2E7B" w:rsidRDefault="00232DA9" w:rsidP="00EC57F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 zakresie posiadanego majątku, zapewnia rezerwy urządzeń i części zapasowych, niezbędne z punktu widzenia bezpiecznej pracy systemu elektroenergetycznego. </w:t>
      </w:r>
    </w:p>
    <w:p w14:paraId="5F37C283" w14:textId="77777777" w:rsidR="00473957" w:rsidRPr="00EB2E7B" w:rsidRDefault="0077111A" w:rsidP="00EC57F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powierzenia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prowadzenia eksploatacji przez właściciela urządzeń zawarta umowa powinna regulować zasady utrzymywania niezbędnej rezerwy urządzeń i części zapasowych. </w:t>
      </w:r>
    </w:p>
    <w:p w14:paraId="792DFD85" w14:textId="77777777" w:rsidR="00473957" w:rsidRPr="00EB2E7B" w:rsidRDefault="0077111A">
      <w:pPr>
        <w:pStyle w:val="Nagwek2"/>
        <w:rPr>
          <w:rFonts w:asciiTheme="minorHAnsi" w:hAnsiTheme="minorHAnsi" w:cstheme="minorHAnsi"/>
          <w:bCs/>
          <w:sz w:val="20"/>
          <w:szCs w:val="20"/>
        </w:rPr>
      </w:pPr>
      <w:bookmarkStart w:id="187" w:name="_Toc180153729"/>
      <w:bookmarkStart w:id="188" w:name="_Toc239333322"/>
      <w:r w:rsidRPr="00EB2E7B">
        <w:rPr>
          <w:rFonts w:asciiTheme="minorHAnsi" w:hAnsiTheme="minorHAnsi" w:cstheme="minorHAnsi"/>
          <w:sz w:val="20"/>
          <w:szCs w:val="20"/>
        </w:rPr>
        <w:t>WYMIANA INFORMACJI EKSPLOATACYJNYCH</w:t>
      </w:r>
      <w:bookmarkEnd w:id="187"/>
      <w:bookmarkEnd w:id="188"/>
    </w:p>
    <w:p w14:paraId="7463C0AA" w14:textId="77777777" w:rsidR="00473957" w:rsidRPr="00EB2E7B" w:rsidRDefault="0077111A" w:rsidP="00EC57F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Podmioty prowadzące eksploatację sieci dystrybucyjnej oraz urządzeń, instalacji  i sieci przyłączonych do sieci dystrybucyjnej wymieniają wzajemnie informacje eksploatacyjne.  </w:t>
      </w:r>
    </w:p>
    <w:p w14:paraId="31E32295" w14:textId="77777777" w:rsidR="00473957" w:rsidRPr="00EB2E7B" w:rsidRDefault="0077111A"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Odbiorcy i wytwórcy mogą uzyskać od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informacje eksploatacyjne 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zakresie związanym z bezpieczeństwem i</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niezawodnością pracy ich urządzeń i instalacji. </w:t>
      </w:r>
    </w:p>
    <w:p w14:paraId="71B28C76" w14:textId="77777777" w:rsidR="00473957" w:rsidRPr="00EB2E7B" w:rsidRDefault="0077111A" w:rsidP="00EC57FC">
      <w:pPr>
        <w:pStyle w:val="Nagwek3"/>
        <w:ind w:left="1134" w:hanging="1134"/>
        <w:rPr>
          <w:rFonts w:asciiTheme="minorHAnsi" w:hAnsiTheme="minorHAnsi" w:cstheme="minorHAnsi"/>
          <w:sz w:val="20"/>
          <w:szCs w:val="20"/>
        </w:rPr>
      </w:pPr>
      <w:bookmarkStart w:id="189" w:name="_Ref75514749"/>
      <w:r w:rsidRPr="00EB2E7B">
        <w:rPr>
          <w:rFonts w:asciiTheme="minorHAnsi" w:hAnsiTheme="minorHAnsi" w:cstheme="minorHAnsi"/>
          <w:sz w:val="20"/>
          <w:szCs w:val="20"/>
        </w:rPr>
        <w:t>Wymiana informacji eksploatacyjnych obejmuje w zależności od potrzeb:</w:t>
      </w:r>
      <w:bookmarkEnd w:id="189"/>
      <w:r w:rsidRPr="00EB2E7B">
        <w:rPr>
          <w:rFonts w:asciiTheme="minorHAnsi" w:hAnsiTheme="minorHAnsi" w:cstheme="minorHAnsi"/>
          <w:sz w:val="20"/>
          <w:szCs w:val="20"/>
        </w:rPr>
        <w:t xml:space="preserve"> </w:t>
      </w:r>
    </w:p>
    <w:p w14:paraId="69C37F01" w14:textId="77777777" w:rsidR="00473957" w:rsidRPr="00EB2E7B" w:rsidRDefault="0077111A" w:rsidP="00EC57FC">
      <w:pPr>
        <w:pStyle w:val="aprzed"/>
        <w:numPr>
          <w:ilvl w:val="0"/>
          <w:numId w:val="72"/>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informacje niezbędne do sporządzenia schematów sieci dystrybucyjnej, </w:t>
      </w:r>
    </w:p>
    <w:p w14:paraId="0BEC3830" w14:textId="77777777" w:rsidR="00473957" w:rsidRPr="00EB2E7B" w:rsidRDefault="0077111A" w:rsidP="00EC57F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wyniki oględzin, przeglądów i oceny stanu technicznego, </w:t>
      </w:r>
    </w:p>
    <w:p w14:paraId="00342F5B" w14:textId="77777777" w:rsidR="00473957" w:rsidRPr="00EB2E7B" w:rsidRDefault="0077111A" w:rsidP="00EC57F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 xml:space="preserve">wyniki badań, pomiarów i prób eksploatacyjnych, </w:t>
      </w:r>
    </w:p>
    <w:p w14:paraId="6D096616" w14:textId="77777777" w:rsidR="00473957" w:rsidRPr="00EB2E7B" w:rsidRDefault="0077111A" w:rsidP="00EC57F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parametry obiektów, urządzeń i sieci zmienione w wyniku podjęcia działań eksploatacyjnych, </w:t>
      </w:r>
    </w:p>
    <w:p w14:paraId="1C9E4465" w14:textId="77777777" w:rsidR="00473957" w:rsidRPr="00EB2E7B" w:rsidRDefault="0077111A" w:rsidP="00EC57F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informacje związane z elektroenergetyczną automatyką zabezpieczeniową, </w:t>
      </w:r>
    </w:p>
    <w:p w14:paraId="7EB295DA" w14:textId="77777777" w:rsidR="00473957" w:rsidRPr="00EB2E7B" w:rsidRDefault="0077111A" w:rsidP="00EC57FC">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imienne wykazy osób, wraz z danymi teleadresowymi, odpowiedzialnych za podejmowanie działań eksploatacyjnych. </w:t>
      </w:r>
    </w:p>
    <w:p w14:paraId="242BD11F" w14:textId="12F8D28C" w:rsidR="00473957" w:rsidRPr="00EB2E7B" w:rsidRDefault="0077111A" w:rsidP="00EC57F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Informacje eksploatacyjne, o których mowa w pkt.</w:t>
      </w:r>
      <w:r w:rsidR="00B81DF7" w:rsidRPr="00EB2E7B">
        <w:rPr>
          <w:rFonts w:asciiTheme="minorHAnsi" w:hAnsiTheme="minorHAnsi" w:cstheme="minorHAnsi"/>
          <w:sz w:val="20"/>
          <w:szCs w:val="20"/>
        </w:rPr>
        <w:t xml:space="preserve"> </w:t>
      </w:r>
      <w:r w:rsidR="00B81DF7" w:rsidRPr="00EB2E7B">
        <w:rPr>
          <w:rFonts w:asciiTheme="minorHAnsi" w:hAnsiTheme="minorHAnsi" w:cstheme="minorHAnsi"/>
          <w:sz w:val="20"/>
          <w:szCs w:val="20"/>
        </w:rPr>
        <w:fldChar w:fldCharType="begin"/>
      </w:r>
      <w:r w:rsidR="00B81DF7" w:rsidRPr="00EB2E7B">
        <w:rPr>
          <w:rFonts w:asciiTheme="minorHAnsi" w:hAnsiTheme="minorHAnsi" w:cstheme="minorHAnsi"/>
          <w:sz w:val="20"/>
          <w:szCs w:val="20"/>
        </w:rPr>
        <w:instrText xml:space="preserve"> REF _Ref75514749 \r \h </w:instrText>
      </w:r>
      <w:r w:rsidR="00112309" w:rsidRPr="00EB2E7B">
        <w:rPr>
          <w:rFonts w:asciiTheme="minorHAnsi" w:hAnsiTheme="minorHAnsi" w:cstheme="minorHAnsi"/>
          <w:sz w:val="20"/>
          <w:szCs w:val="20"/>
        </w:rPr>
        <w:instrText xml:space="preserve"> \* MERGEFORMAT </w:instrText>
      </w:r>
      <w:r w:rsidR="00B81DF7" w:rsidRPr="00EB2E7B">
        <w:rPr>
          <w:rFonts w:asciiTheme="minorHAnsi" w:hAnsiTheme="minorHAnsi" w:cstheme="minorHAnsi"/>
          <w:sz w:val="20"/>
          <w:szCs w:val="20"/>
        </w:rPr>
      </w:r>
      <w:r w:rsidR="00B81D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III.7.2</w:t>
      </w:r>
      <w:r w:rsidR="00B81DF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są aktualizowane  i</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przekazywane na bieżąco. </w:t>
      </w:r>
    </w:p>
    <w:p w14:paraId="40024EBB" w14:textId="77777777" w:rsidR="008230A5" w:rsidRPr="00EB2E7B" w:rsidRDefault="008230A5" w:rsidP="00EC57F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Operator systemu przesyłowego, operatorzy systemów dystrybucyjnych oraz podmioty przyłączone do sieci dystrybucyjnej ACPRO stosują jednolite nazewnictwo i numerację swoich obiektów i urządzeń.</w:t>
      </w:r>
    </w:p>
    <w:p w14:paraId="339325D0" w14:textId="77777777" w:rsidR="00473957" w:rsidRPr="00EB2E7B" w:rsidRDefault="00232DA9" w:rsidP="00EC57F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sporządza i aktualizuje schematy sieci dystrybucyjnej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p>
    <w:p w14:paraId="1E12ADC1" w14:textId="77777777" w:rsidR="00473957" w:rsidRPr="00EB2E7B" w:rsidRDefault="0077111A">
      <w:pPr>
        <w:pStyle w:val="Nagwek2"/>
        <w:rPr>
          <w:rFonts w:asciiTheme="minorHAnsi" w:hAnsiTheme="minorHAnsi" w:cstheme="minorHAnsi"/>
          <w:bCs/>
          <w:sz w:val="20"/>
          <w:szCs w:val="20"/>
        </w:rPr>
      </w:pPr>
      <w:bookmarkStart w:id="190" w:name="_Toc180153730"/>
      <w:bookmarkStart w:id="191" w:name="_Toc239333323"/>
      <w:r w:rsidRPr="00EB2E7B">
        <w:rPr>
          <w:rFonts w:asciiTheme="minorHAnsi" w:hAnsiTheme="minorHAnsi" w:cstheme="minorHAnsi"/>
          <w:sz w:val="20"/>
          <w:szCs w:val="20"/>
        </w:rPr>
        <w:t>OCHRONA ŚRODOWISKA NATURALNEGO</w:t>
      </w:r>
      <w:bookmarkEnd w:id="190"/>
      <w:bookmarkEnd w:id="191"/>
    </w:p>
    <w:p w14:paraId="4DA07A3D" w14:textId="77777777" w:rsidR="00473957" w:rsidRPr="00EB2E7B" w:rsidRDefault="00232DA9"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oraz podmioty przyłączone do sieci dystrybucyjnej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są zobowiązane do przestrzegania zasad ochrony środowiska, określonych obowiązującymi normami i przepisami prawnymi. </w:t>
      </w:r>
    </w:p>
    <w:p w14:paraId="207E47AF" w14:textId="77777777" w:rsidR="00473957" w:rsidRPr="00EB2E7B" w:rsidRDefault="00232DA9"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stosuje środki techniczne i organizacyjne ograniczające wpływ pracy urządzeń elektrycznych na środowisko naturalne. </w:t>
      </w:r>
    </w:p>
    <w:p w14:paraId="2790D007" w14:textId="77777777" w:rsidR="00473957"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Dokumentacja projektowa obiektów i urządzeń sieci dystrybucyjnej jest uzgadniana w zakresie wymogów ochrony środowiska z właściwymi organami administracji, jeśli uzgodnienia takie są wymagane obowiązującymi przepisami prawa. </w:t>
      </w:r>
    </w:p>
    <w:p w14:paraId="79897302" w14:textId="77777777" w:rsidR="00473957" w:rsidRPr="00EB2E7B" w:rsidRDefault="0077111A">
      <w:pPr>
        <w:pStyle w:val="Nagwek2"/>
        <w:rPr>
          <w:rFonts w:asciiTheme="minorHAnsi" w:hAnsiTheme="minorHAnsi" w:cstheme="minorHAnsi"/>
          <w:bCs/>
          <w:sz w:val="20"/>
          <w:szCs w:val="20"/>
        </w:rPr>
      </w:pPr>
      <w:bookmarkStart w:id="192" w:name="_Toc180153731"/>
      <w:bookmarkStart w:id="193" w:name="_Toc239333324"/>
      <w:r w:rsidRPr="00EB2E7B">
        <w:rPr>
          <w:rFonts w:asciiTheme="minorHAnsi" w:hAnsiTheme="minorHAnsi" w:cstheme="minorHAnsi"/>
          <w:sz w:val="20"/>
          <w:szCs w:val="20"/>
        </w:rPr>
        <w:t>OCHRONA PRZECIWPOŻAROWA</w:t>
      </w:r>
      <w:bookmarkEnd w:id="192"/>
      <w:bookmarkEnd w:id="193"/>
    </w:p>
    <w:p w14:paraId="290E0518" w14:textId="77777777" w:rsidR="00473957"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Właściciel urządzeń, instalacji i sieci zapewnia ich ochronę przeciwpożarową zgodnie z obowiązującymi normami i przepisami prawnymi. </w:t>
      </w:r>
    </w:p>
    <w:p w14:paraId="19E63CD1" w14:textId="77777777" w:rsidR="00473957" w:rsidRPr="00EB2E7B" w:rsidRDefault="00232DA9"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zapewnia opracowanie instrukcji przeciwpożarowych dla określonych obiektów, układów, urządzeń i instalacji eksploatowanej przez siebie sieci dystrybucyjnej. </w:t>
      </w:r>
    </w:p>
    <w:p w14:paraId="30B7E243" w14:textId="77777777" w:rsidR="00473957" w:rsidRPr="00EB2E7B" w:rsidRDefault="0077111A">
      <w:pPr>
        <w:pStyle w:val="Nagwek2"/>
        <w:rPr>
          <w:rFonts w:asciiTheme="minorHAnsi" w:hAnsiTheme="minorHAnsi" w:cstheme="minorHAnsi"/>
          <w:bCs/>
          <w:sz w:val="20"/>
          <w:szCs w:val="20"/>
        </w:rPr>
      </w:pPr>
      <w:bookmarkStart w:id="194" w:name="_Toc180153732"/>
      <w:bookmarkStart w:id="195" w:name="_Toc239333325"/>
      <w:r w:rsidRPr="00EB2E7B">
        <w:rPr>
          <w:rFonts w:asciiTheme="minorHAnsi" w:hAnsiTheme="minorHAnsi" w:cstheme="minorHAnsi"/>
          <w:sz w:val="20"/>
          <w:szCs w:val="20"/>
        </w:rPr>
        <w:t>PLANOWANIE PRAC EKSPLOATACYJNYCH</w:t>
      </w:r>
      <w:bookmarkEnd w:id="194"/>
      <w:bookmarkEnd w:id="195"/>
    </w:p>
    <w:p w14:paraId="196FF0FF" w14:textId="527F0413" w:rsidR="00473957" w:rsidRPr="00EB2E7B" w:rsidRDefault="00232DA9"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opracowuje </w:t>
      </w:r>
      <w:r w:rsidR="00050145" w:rsidRPr="00EB2E7B">
        <w:rPr>
          <w:rFonts w:asciiTheme="minorHAnsi" w:hAnsiTheme="minorHAnsi" w:cstheme="minorHAnsi"/>
          <w:sz w:val="20"/>
          <w:szCs w:val="20"/>
        </w:rPr>
        <w:t xml:space="preserve">roczne </w:t>
      </w:r>
      <w:r w:rsidR="0077111A" w:rsidRPr="00EB2E7B">
        <w:rPr>
          <w:rFonts w:asciiTheme="minorHAnsi" w:hAnsiTheme="minorHAnsi" w:cstheme="minorHAnsi"/>
          <w:sz w:val="20"/>
          <w:szCs w:val="20"/>
        </w:rPr>
        <w:t xml:space="preserve">plany prac eksploatacyjnych dla </w:t>
      </w:r>
      <w:r w:rsidR="000169FD" w:rsidRPr="00EB2E7B">
        <w:rPr>
          <w:rFonts w:asciiTheme="minorHAnsi" w:hAnsiTheme="minorHAnsi" w:cstheme="minorHAnsi"/>
          <w:sz w:val="20"/>
          <w:szCs w:val="20"/>
        </w:rPr>
        <w:t xml:space="preserve">własnych </w:t>
      </w:r>
      <w:r w:rsidR="0077111A" w:rsidRPr="00EB2E7B">
        <w:rPr>
          <w:rFonts w:asciiTheme="minorHAnsi" w:hAnsiTheme="minorHAnsi" w:cstheme="minorHAnsi"/>
          <w:sz w:val="20"/>
          <w:szCs w:val="20"/>
        </w:rPr>
        <w:t xml:space="preserve">urządzeń, instalacji i sieci dystrybucyjnej obejmujące w szczególności: </w:t>
      </w:r>
    </w:p>
    <w:p w14:paraId="767D1324" w14:textId="77777777" w:rsidR="00473957" w:rsidRPr="00EB2E7B" w:rsidRDefault="0077111A" w:rsidP="00331A7D">
      <w:pPr>
        <w:pStyle w:val="aprzed"/>
        <w:numPr>
          <w:ilvl w:val="0"/>
          <w:numId w:val="7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oględziny, przeglądy oraz badania i pomiary, </w:t>
      </w:r>
    </w:p>
    <w:p w14:paraId="3754483C" w14:textId="1B4AB440" w:rsidR="00473957" w:rsidRPr="00EB2E7B" w:rsidRDefault="0077111A" w:rsidP="00331A7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remonty. </w:t>
      </w:r>
    </w:p>
    <w:p w14:paraId="3763FEE3" w14:textId="6DCC3C51" w:rsidR="00473957"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Poza pracami przewidywanymi w </w:t>
      </w:r>
      <w:r w:rsidR="00E104B3" w:rsidRPr="00EB2E7B">
        <w:rPr>
          <w:rFonts w:asciiTheme="minorHAnsi" w:hAnsiTheme="minorHAnsi" w:cstheme="minorHAnsi"/>
          <w:sz w:val="20"/>
          <w:szCs w:val="20"/>
        </w:rPr>
        <w:t xml:space="preserve">rocznym </w:t>
      </w:r>
      <w:r w:rsidRPr="00EB2E7B">
        <w:rPr>
          <w:rFonts w:asciiTheme="minorHAnsi" w:hAnsiTheme="minorHAnsi" w:cstheme="minorHAnsi"/>
          <w:sz w:val="20"/>
          <w:szCs w:val="20"/>
        </w:rPr>
        <w:t xml:space="preserve">planie prac eksploatacyjnych </w:t>
      </w:r>
      <w:r w:rsidR="00B61AEA"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zapewnia realizację doraźnych prac eksploatacyjnych, mających na celu </w:t>
      </w:r>
      <w:r w:rsidR="00837223" w:rsidRPr="00EB2E7B">
        <w:rPr>
          <w:rFonts w:asciiTheme="minorHAnsi" w:hAnsiTheme="minorHAnsi" w:cstheme="minorHAnsi"/>
          <w:sz w:val="20"/>
          <w:szCs w:val="20"/>
        </w:rPr>
        <w:t xml:space="preserve">usunięcie </w:t>
      </w:r>
      <w:r w:rsidRPr="00EB2E7B">
        <w:rPr>
          <w:rFonts w:asciiTheme="minorHAnsi" w:hAnsiTheme="minorHAnsi" w:cstheme="minorHAnsi"/>
          <w:sz w:val="20"/>
          <w:szCs w:val="20"/>
        </w:rPr>
        <w:t>uszkodzeń zagrażających prawidłowemu funkcjonowaniu urządzeń, instalacji i</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lub stwarzających zagrożenie dla bezpieczeństwa ludzi i środowiska naturalnego. </w:t>
      </w:r>
    </w:p>
    <w:p w14:paraId="1236232F" w14:textId="77777777" w:rsidR="00473957"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Podmioty przyłączone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uzgadniają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prace eksploatacyjne w zakresie, w jakim mogą mieć one wpływ na ruch i eksploatację sieci dystrybucyjnej. </w:t>
      </w:r>
    </w:p>
    <w:p w14:paraId="41F077F3" w14:textId="3B7FB933" w:rsidR="00473957"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Podmioty planujące realizację prac eksploatacyjnych wymagających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elementów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są zobowiązane do przestrzegania zasad i</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trybu planowania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w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ustalonego w pkt.</w:t>
      </w:r>
      <w:r w:rsidR="00B81DF7" w:rsidRPr="00EB2E7B">
        <w:rPr>
          <w:rFonts w:asciiTheme="minorHAnsi" w:hAnsiTheme="minorHAnsi" w:cstheme="minorHAnsi"/>
          <w:sz w:val="20"/>
          <w:szCs w:val="20"/>
        </w:rPr>
        <w:t xml:space="preserve"> </w:t>
      </w:r>
      <w:r w:rsidR="00B81DF7" w:rsidRPr="00EB2E7B">
        <w:rPr>
          <w:rFonts w:asciiTheme="minorHAnsi" w:hAnsiTheme="minorHAnsi" w:cstheme="minorHAnsi"/>
          <w:sz w:val="20"/>
          <w:szCs w:val="20"/>
        </w:rPr>
        <w:fldChar w:fldCharType="begin"/>
      </w:r>
      <w:r w:rsidR="00B81DF7" w:rsidRPr="00EB2E7B">
        <w:rPr>
          <w:rFonts w:asciiTheme="minorHAnsi" w:hAnsiTheme="minorHAnsi" w:cstheme="minorHAnsi"/>
          <w:sz w:val="20"/>
          <w:szCs w:val="20"/>
        </w:rPr>
        <w:instrText xml:space="preserve"> REF _Ref75514860 \r \h </w:instrText>
      </w:r>
      <w:r w:rsidR="009D7421" w:rsidRPr="00EB2E7B">
        <w:rPr>
          <w:rFonts w:asciiTheme="minorHAnsi" w:hAnsiTheme="minorHAnsi" w:cstheme="minorHAnsi"/>
          <w:sz w:val="20"/>
          <w:szCs w:val="20"/>
        </w:rPr>
        <w:instrText xml:space="preserve"> \* MERGEFORMAT </w:instrText>
      </w:r>
      <w:r w:rsidR="00B81DF7" w:rsidRPr="00EB2E7B">
        <w:rPr>
          <w:rFonts w:asciiTheme="minorHAnsi" w:hAnsiTheme="minorHAnsi" w:cstheme="minorHAnsi"/>
          <w:sz w:val="20"/>
          <w:szCs w:val="20"/>
        </w:rPr>
      </w:r>
      <w:r w:rsidR="00B81D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VI.6</w:t>
      </w:r>
      <w:r w:rsidR="00B81DF7" w:rsidRPr="00EB2E7B">
        <w:rPr>
          <w:rFonts w:asciiTheme="minorHAnsi" w:hAnsiTheme="minorHAnsi" w:cstheme="minorHAnsi"/>
          <w:sz w:val="20"/>
          <w:szCs w:val="20"/>
        </w:rPr>
        <w:fldChar w:fldCharType="end"/>
      </w:r>
      <w:r w:rsidR="009D7421"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p w14:paraId="41366FC2" w14:textId="073D61E4" w:rsidR="00473957"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Podmioty planujące realizację prac eksploatacyjnych wymagających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elementów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przekazują do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zgłoszenia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elementów sieci.</w:t>
      </w:r>
      <w:r w:rsidR="00EE100E" w:rsidRPr="00EB2E7B">
        <w:rPr>
          <w:rFonts w:asciiTheme="minorHAnsi" w:hAnsiTheme="minorHAnsi" w:cstheme="minorHAnsi"/>
          <w:sz w:val="20"/>
          <w:szCs w:val="20"/>
        </w:rPr>
        <w:t xml:space="preserve"> </w:t>
      </w:r>
      <w:r w:rsidR="005E6D2B" w:rsidRPr="00EB2E7B">
        <w:rPr>
          <w:rFonts w:asciiTheme="minorHAnsi" w:hAnsiTheme="minorHAnsi" w:cstheme="minorHAnsi"/>
          <w:sz w:val="20"/>
          <w:szCs w:val="20"/>
        </w:rPr>
        <w:t xml:space="preserve">Zawartość i terminy przekazywania zgłoszeń określono w pkt. </w:t>
      </w:r>
      <w:r w:rsidR="00801CD1" w:rsidRPr="00EB2E7B">
        <w:rPr>
          <w:rFonts w:asciiTheme="minorHAnsi" w:hAnsiTheme="minorHAnsi" w:cstheme="minorHAnsi"/>
          <w:sz w:val="20"/>
          <w:szCs w:val="20"/>
        </w:rPr>
        <w:t xml:space="preserve"> </w:t>
      </w:r>
      <w:r w:rsidR="00801CD1" w:rsidRPr="00EB2E7B">
        <w:rPr>
          <w:rFonts w:asciiTheme="minorHAnsi" w:hAnsiTheme="minorHAnsi" w:cstheme="minorHAnsi"/>
          <w:sz w:val="20"/>
          <w:szCs w:val="20"/>
        </w:rPr>
        <w:fldChar w:fldCharType="begin"/>
      </w:r>
      <w:r w:rsidR="00801CD1" w:rsidRPr="00EB2E7B">
        <w:rPr>
          <w:rFonts w:asciiTheme="minorHAnsi" w:hAnsiTheme="minorHAnsi" w:cstheme="minorHAnsi"/>
          <w:sz w:val="20"/>
          <w:szCs w:val="20"/>
        </w:rPr>
        <w:instrText xml:space="preserve"> REF _Ref75514860 \r \h  \* MERGEFORMAT </w:instrText>
      </w:r>
      <w:r w:rsidR="00801CD1" w:rsidRPr="00EB2E7B">
        <w:rPr>
          <w:rFonts w:asciiTheme="minorHAnsi" w:hAnsiTheme="minorHAnsi" w:cstheme="minorHAnsi"/>
          <w:sz w:val="20"/>
          <w:szCs w:val="20"/>
        </w:rPr>
      </w:r>
      <w:r w:rsidR="00801CD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VI.6</w:t>
      </w:r>
      <w:r w:rsidR="00801CD1" w:rsidRPr="00EB2E7B">
        <w:rPr>
          <w:rFonts w:asciiTheme="minorHAnsi" w:hAnsiTheme="minorHAnsi" w:cstheme="minorHAnsi"/>
          <w:sz w:val="20"/>
          <w:szCs w:val="20"/>
        </w:rPr>
        <w:fldChar w:fldCharType="end"/>
      </w:r>
      <w:r w:rsidR="005E6D2B" w:rsidRPr="00EB2E7B">
        <w:rPr>
          <w:rFonts w:asciiTheme="minorHAnsi" w:hAnsiTheme="minorHAnsi" w:cstheme="minorHAnsi"/>
          <w:sz w:val="20"/>
          <w:szCs w:val="20"/>
        </w:rPr>
        <w:t>.</w:t>
      </w:r>
    </w:p>
    <w:p w14:paraId="606A2E15" w14:textId="77777777" w:rsidR="00473957" w:rsidRPr="00EB2E7B" w:rsidRDefault="0077111A">
      <w:pPr>
        <w:pStyle w:val="Nagwek2"/>
        <w:rPr>
          <w:rFonts w:asciiTheme="minorHAnsi" w:hAnsiTheme="minorHAnsi" w:cstheme="minorHAnsi"/>
          <w:bCs/>
          <w:sz w:val="20"/>
          <w:szCs w:val="20"/>
        </w:rPr>
      </w:pPr>
      <w:bookmarkStart w:id="196" w:name="_Toc180153733"/>
      <w:bookmarkStart w:id="197" w:name="_Toc239333326"/>
      <w:r w:rsidRPr="00EB2E7B">
        <w:rPr>
          <w:rFonts w:asciiTheme="minorHAnsi" w:hAnsiTheme="minorHAnsi" w:cstheme="minorHAnsi"/>
          <w:sz w:val="20"/>
          <w:szCs w:val="20"/>
        </w:rPr>
        <w:t>WARUNKI BEZPIECZNEGO WYKONYWANIA PRAC</w:t>
      </w:r>
      <w:bookmarkEnd w:id="196"/>
      <w:bookmarkEnd w:id="197"/>
    </w:p>
    <w:p w14:paraId="6476B5D7" w14:textId="77777777" w:rsidR="00473957" w:rsidRPr="00EB2E7B" w:rsidRDefault="00232DA9"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opracowuje instrukcję organizacji bezpiecznej pracy, obowiązującą osoby eksploatujące jego urządzenia, instalacje i sieci. </w:t>
      </w:r>
    </w:p>
    <w:p w14:paraId="392AED9F" w14:textId="77777777" w:rsidR="003526BE"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Pracownicy zatrudnieni przy eksploatacji urządzeń, instalacji i sieci elektroenergetycznych powinni posiadać odpowiednie kwalifikacje i spełniać określone wymagania zdrowotne oraz być przeszkoleni do pracy na zajmowanych stanowiskach. </w:t>
      </w:r>
    </w:p>
    <w:p w14:paraId="3EEAB18C" w14:textId="77777777" w:rsidR="00A54D70" w:rsidRPr="00EB2E7B" w:rsidRDefault="00A54D70" w:rsidP="0099115A">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4CAA17F5" w14:textId="77777777" w:rsidR="00473957" w:rsidRPr="00EB2E7B" w:rsidRDefault="0077111A" w:rsidP="00A42849">
      <w:pPr>
        <w:pStyle w:val="Nagwek1"/>
        <w:rPr>
          <w:rFonts w:asciiTheme="minorHAnsi" w:hAnsiTheme="minorHAnsi" w:cstheme="minorHAnsi"/>
          <w:sz w:val="20"/>
          <w:szCs w:val="20"/>
        </w:rPr>
      </w:pPr>
      <w:bookmarkStart w:id="198" w:name="_Ref75516626"/>
      <w:bookmarkStart w:id="199" w:name="_Toc180153734"/>
      <w:bookmarkStart w:id="200" w:name="_Toc239333327"/>
      <w:r w:rsidRPr="00EB2E7B">
        <w:rPr>
          <w:rFonts w:asciiTheme="minorHAnsi" w:hAnsiTheme="minorHAnsi" w:cstheme="minorHAnsi"/>
          <w:sz w:val="20"/>
          <w:szCs w:val="20"/>
        </w:rPr>
        <w:lastRenderedPageBreak/>
        <w:t xml:space="preserve">BEZPIECZEŃSTWO FUNKCJONOWANIA SYSTEMU </w:t>
      </w:r>
      <w:r w:rsidR="00BA4474" w:rsidRPr="00EB2E7B">
        <w:rPr>
          <w:rFonts w:asciiTheme="minorHAnsi" w:hAnsiTheme="minorHAnsi" w:cstheme="minorHAnsi"/>
          <w:sz w:val="20"/>
          <w:szCs w:val="20"/>
        </w:rPr>
        <w:t xml:space="preserve"> E</w:t>
      </w:r>
      <w:r w:rsidRPr="00EB2E7B">
        <w:rPr>
          <w:rFonts w:asciiTheme="minorHAnsi" w:hAnsiTheme="minorHAnsi" w:cstheme="minorHAnsi"/>
          <w:sz w:val="20"/>
          <w:szCs w:val="20"/>
        </w:rPr>
        <w:t>LEKTROENERGETYCZNEGO</w:t>
      </w:r>
      <w:bookmarkEnd w:id="198"/>
      <w:bookmarkEnd w:id="199"/>
      <w:bookmarkEnd w:id="200"/>
    </w:p>
    <w:p w14:paraId="3465F283" w14:textId="12C1DA13" w:rsidR="00473957" w:rsidRPr="00EB2E7B" w:rsidRDefault="0077111A">
      <w:pPr>
        <w:pStyle w:val="Nagwek2"/>
        <w:rPr>
          <w:rFonts w:asciiTheme="minorHAnsi" w:hAnsiTheme="minorHAnsi" w:cstheme="minorHAnsi"/>
          <w:bCs/>
          <w:sz w:val="20"/>
          <w:szCs w:val="20"/>
        </w:rPr>
      </w:pPr>
      <w:bookmarkStart w:id="201" w:name="_Toc180153735"/>
      <w:bookmarkStart w:id="202" w:name="_Toc239333328"/>
      <w:r w:rsidRPr="00EB2E7B">
        <w:rPr>
          <w:rFonts w:asciiTheme="minorHAnsi" w:hAnsiTheme="minorHAnsi" w:cstheme="minorHAnsi"/>
          <w:sz w:val="20"/>
          <w:szCs w:val="20"/>
        </w:rPr>
        <w:t>BEZPIECZEŃSTWO DOSTAW ENERGII ELEKTRYCZNEJ</w:t>
      </w:r>
      <w:bookmarkEnd w:id="201"/>
      <w:bookmarkEnd w:id="202"/>
    </w:p>
    <w:p w14:paraId="461563A1" w14:textId="77777777" w:rsidR="008230A5" w:rsidRPr="00EB2E7B" w:rsidRDefault="0077111A" w:rsidP="00331A7D">
      <w:pPr>
        <w:pStyle w:val="Nagwek3"/>
        <w:ind w:left="1134" w:hanging="1105"/>
        <w:rPr>
          <w:rFonts w:asciiTheme="minorHAnsi" w:hAnsiTheme="minorHAnsi" w:cstheme="minorHAnsi"/>
          <w:sz w:val="20"/>
          <w:szCs w:val="20"/>
        </w:rPr>
      </w:pPr>
      <w:r w:rsidRPr="00EB2E7B">
        <w:rPr>
          <w:rFonts w:asciiTheme="minorHAnsi" w:hAnsiTheme="minorHAnsi" w:cstheme="minorHAnsi"/>
          <w:sz w:val="20"/>
          <w:szCs w:val="20"/>
        </w:rPr>
        <w:t xml:space="preserve">OSP, zgodnie z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na bieżąco kontroluje warunki pracy KSE. OSP może stwierdzić zagrożenie bezpieczeństwa dostaw energii elektrycznej i podać do publicznej wiadomości komunikat o wystąpieniu zagrożenia bezpieczeństwa dostaw energii elektrycznej i podejmowanych działaniach.</w:t>
      </w:r>
    </w:p>
    <w:p w14:paraId="3D9C01BD" w14:textId="4F32F373" w:rsidR="00473957" w:rsidRPr="00EB2E7B" w:rsidRDefault="0077111A" w:rsidP="00331A7D">
      <w:pPr>
        <w:ind w:left="1134"/>
        <w:rPr>
          <w:rFonts w:asciiTheme="minorHAnsi" w:hAnsiTheme="minorHAnsi" w:cstheme="minorHAnsi"/>
          <w:sz w:val="20"/>
          <w:szCs w:val="20"/>
        </w:rPr>
      </w:pPr>
      <w:r w:rsidRPr="00EB2E7B">
        <w:rPr>
          <w:rFonts w:asciiTheme="minorHAnsi" w:hAnsiTheme="minorHAnsi" w:cstheme="minorHAnsi"/>
          <w:sz w:val="20"/>
          <w:szCs w:val="20"/>
        </w:rPr>
        <w:t xml:space="preserve">OSP, opracowuje i aktualizuje plan obrony systemu i plan odbudowy zgodnie z NC ER. </w:t>
      </w:r>
    </w:p>
    <w:p w14:paraId="24FB78DE" w14:textId="072B4F7A" w:rsidR="00473957"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Podstawowym </w:t>
      </w:r>
      <w:r w:rsidR="00D374A1" w:rsidRPr="00EB2E7B">
        <w:rPr>
          <w:rFonts w:asciiTheme="minorHAnsi" w:hAnsiTheme="minorHAnsi" w:cstheme="minorHAnsi"/>
          <w:sz w:val="20"/>
          <w:szCs w:val="20"/>
        </w:rPr>
        <w:t>stanem pracy KSE wymagającym działań interwencyjnych służb dyspozytorskich i służb ruchowych jest zagrożenie bezpieczeństwa dostaw energii elektrycznej.</w:t>
      </w:r>
      <w:r w:rsidRPr="00EB2E7B">
        <w:rPr>
          <w:rFonts w:asciiTheme="minorHAnsi" w:hAnsiTheme="minorHAnsi" w:cstheme="minorHAnsi"/>
          <w:sz w:val="20"/>
          <w:szCs w:val="20"/>
        </w:rPr>
        <w:t xml:space="preserve"> </w:t>
      </w:r>
    </w:p>
    <w:p w14:paraId="0AD55E17" w14:textId="77777777" w:rsidR="00473957" w:rsidRPr="00EB2E7B" w:rsidRDefault="0077111A" w:rsidP="00331A7D">
      <w:pPr>
        <w:ind w:left="1134" w:firstLine="0"/>
        <w:rPr>
          <w:rFonts w:asciiTheme="minorHAnsi" w:hAnsiTheme="minorHAnsi" w:cstheme="minorHAnsi"/>
          <w:sz w:val="20"/>
          <w:szCs w:val="20"/>
        </w:rPr>
      </w:pPr>
      <w:r w:rsidRPr="00EB2E7B">
        <w:rPr>
          <w:rFonts w:asciiTheme="minorHAnsi" w:hAnsiTheme="minorHAnsi" w:cstheme="minorHAnsi"/>
          <w:sz w:val="20"/>
          <w:szCs w:val="20"/>
        </w:rPr>
        <w:t>Zagrożenie bezpieczeństwa dostaw energii elektrycznej może powstać w</w:t>
      </w:r>
      <w:r w:rsidR="00883B8E" w:rsidRPr="00EB2E7B">
        <w:rPr>
          <w:rFonts w:asciiTheme="minorHAnsi" w:hAnsiTheme="minorHAnsi" w:cstheme="minorHAnsi"/>
          <w:sz w:val="20"/>
          <w:szCs w:val="20"/>
        </w:rPr>
        <w:t> </w:t>
      </w:r>
      <w:r w:rsidRPr="00EB2E7B">
        <w:rPr>
          <w:rFonts w:asciiTheme="minorHAnsi" w:hAnsiTheme="minorHAnsi" w:cstheme="minorHAnsi"/>
          <w:sz w:val="20"/>
          <w:szCs w:val="20"/>
        </w:rPr>
        <w:t xml:space="preserve">szczególności w następstwie: </w:t>
      </w:r>
    </w:p>
    <w:p w14:paraId="18557834" w14:textId="77777777" w:rsidR="00706888" w:rsidRPr="00EB2E7B" w:rsidRDefault="00706888" w:rsidP="00331A7D">
      <w:pPr>
        <w:pStyle w:val="aprzed"/>
        <w:numPr>
          <w:ilvl w:val="0"/>
          <w:numId w:val="206"/>
        </w:numPr>
        <w:ind w:left="1701" w:hanging="566"/>
        <w:rPr>
          <w:rFonts w:asciiTheme="minorHAnsi" w:hAnsiTheme="minorHAnsi" w:cstheme="minorHAnsi"/>
          <w:sz w:val="20"/>
          <w:szCs w:val="20"/>
        </w:rPr>
      </w:pPr>
      <w:r w:rsidRPr="00EB2E7B">
        <w:rPr>
          <w:rFonts w:asciiTheme="minorHAnsi" w:hAnsiTheme="minorHAnsi" w:cstheme="minorHAnsi"/>
          <w:sz w:val="20"/>
          <w:szCs w:val="20"/>
        </w:rPr>
        <w:t>działań wynikających z wprowadzenia stanu nadzwyczajnego,</w:t>
      </w:r>
    </w:p>
    <w:p w14:paraId="21F1323E" w14:textId="77777777" w:rsidR="00706888" w:rsidRPr="00EB2E7B" w:rsidRDefault="00706888" w:rsidP="00331A7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katastrofy naturalnej albo bezpośredniego zagrożenia wystąpienia awarii technicznej,</w:t>
      </w:r>
    </w:p>
    <w:p w14:paraId="3D2135B6" w14:textId="77777777" w:rsidR="00706888" w:rsidRPr="00EB2E7B" w:rsidRDefault="00706888" w:rsidP="00331A7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wprowadzenia embarga, blokady, ograniczenia lub braku dostaw paliw lub energii elektrycznej z innego kraju na terytorium Rzeczypospolitej Polskiej, lub zakłóceń w funkcjonowaniu systemów elektroenergetycznych połączonych z krajowym systemem elektroenergetycznym,</w:t>
      </w:r>
    </w:p>
    <w:p w14:paraId="3E166201" w14:textId="77777777" w:rsidR="00706888" w:rsidRPr="00EB2E7B" w:rsidRDefault="00706888" w:rsidP="00331A7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strajku lub niepokojów społecznych,</w:t>
      </w:r>
    </w:p>
    <w:p w14:paraId="1933D6AE" w14:textId="7BBAA6DD" w:rsidR="00473957" w:rsidRPr="00EB2E7B" w:rsidRDefault="00706888" w:rsidP="00331A7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obniżenia dostępnych rezerw zdolności wytwórczych poniżej niezbędnych wielkości lub braku możliwości ich wykorzystania</w:t>
      </w:r>
      <w:r w:rsidR="0077111A" w:rsidRPr="00EB2E7B">
        <w:rPr>
          <w:rFonts w:asciiTheme="minorHAnsi" w:hAnsiTheme="minorHAnsi" w:cstheme="minorHAnsi"/>
          <w:sz w:val="20"/>
          <w:szCs w:val="20"/>
        </w:rPr>
        <w:t xml:space="preserve">. </w:t>
      </w:r>
    </w:p>
    <w:p w14:paraId="045A3E90" w14:textId="6AA17D58" w:rsidR="00473957" w:rsidRPr="00EB2E7B" w:rsidRDefault="0077111A"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w:t>
      </w:r>
      <w:r w:rsidR="00B47F87" w:rsidRPr="00EB2E7B">
        <w:rPr>
          <w:rFonts w:asciiTheme="minorHAnsi" w:hAnsiTheme="minorHAnsi" w:cstheme="minorHAnsi"/>
          <w:sz w:val="20"/>
          <w:szCs w:val="20"/>
        </w:rPr>
        <w:t>przypadku stwierdzenia przez OSP zagrożenia bezpieczeństwa dostaw energii elektrycznej, JWCD i JWCK przyłączone do sieci dystrybucyjnej stosują się do bezpośrednich poleceń OSP. Pozostali wytwórcy oraz odbiorcy przyłączeni do sieci dystrybucyjnej stosują się do poleceń ACPRO</w:t>
      </w:r>
      <w:r w:rsidRPr="00EB2E7B">
        <w:rPr>
          <w:rFonts w:asciiTheme="minorHAnsi" w:hAnsiTheme="minorHAnsi" w:cstheme="minorHAnsi"/>
          <w:sz w:val="20"/>
          <w:szCs w:val="20"/>
        </w:rPr>
        <w:t xml:space="preserve">. </w:t>
      </w:r>
    </w:p>
    <w:p w14:paraId="469C63BE" w14:textId="34633DEA" w:rsidR="00B034DE" w:rsidRPr="00EB2E7B" w:rsidRDefault="00E43FBC"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OSD</w:t>
      </w:r>
      <w:r w:rsidR="00270773" w:rsidRPr="00EB2E7B">
        <w:rPr>
          <w:rFonts w:asciiTheme="minorHAnsi" w:hAnsiTheme="minorHAnsi" w:cstheme="minorHAnsi"/>
          <w:sz w:val="20"/>
          <w:szCs w:val="20"/>
        </w:rPr>
        <w:t>n</w:t>
      </w:r>
      <w:r w:rsidR="00483887" w:rsidRPr="00EB2E7B">
        <w:rPr>
          <w:rFonts w:asciiTheme="minorHAnsi" w:hAnsiTheme="minorHAnsi" w:cstheme="minorHAnsi"/>
          <w:sz w:val="20"/>
          <w:szCs w:val="20"/>
        </w:rPr>
        <w:t xml:space="preserve"> (w tym</w:t>
      </w:r>
      <w:r w:rsidR="00270773" w:rsidRPr="00EB2E7B">
        <w:rPr>
          <w:rFonts w:asciiTheme="minorHAnsi" w:hAnsiTheme="minorHAnsi" w:cstheme="minorHAnsi"/>
          <w:sz w:val="20"/>
          <w:szCs w:val="20"/>
        </w:rPr>
        <w:t xml:space="preserve"> ACPRO</w:t>
      </w:r>
      <w:r w:rsidR="00483887"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r w:rsidR="00B47F87" w:rsidRPr="00EB2E7B" w:rsidDel="00E43FBC">
        <w:rPr>
          <w:rFonts w:asciiTheme="minorHAnsi" w:hAnsiTheme="minorHAnsi" w:cstheme="minorHAnsi"/>
          <w:sz w:val="20"/>
          <w:szCs w:val="20"/>
        </w:rPr>
        <w:t>wraz z</w:t>
      </w:r>
      <w:r w:rsidR="00B47F87" w:rsidRPr="00EB2E7B">
        <w:rPr>
          <w:rFonts w:asciiTheme="minorHAnsi" w:hAnsiTheme="minorHAnsi" w:cstheme="minorHAnsi"/>
          <w:sz w:val="20"/>
          <w:szCs w:val="20"/>
        </w:rPr>
        <w:t xml:space="preserve"> OSP podejmują, zgodnie z </w:t>
      </w:r>
      <w:proofErr w:type="spellStart"/>
      <w:r w:rsidR="00B47F87" w:rsidRPr="00EB2E7B">
        <w:rPr>
          <w:rFonts w:asciiTheme="minorHAnsi" w:hAnsiTheme="minorHAnsi" w:cstheme="minorHAnsi"/>
          <w:sz w:val="20"/>
          <w:szCs w:val="20"/>
        </w:rPr>
        <w:t>IRiESP</w:t>
      </w:r>
      <w:proofErr w:type="spellEnd"/>
      <w:r w:rsidR="00B47F87" w:rsidRPr="00EB2E7B">
        <w:rPr>
          <w:rFonts w:asciiTheme="minorHAnsi" w:hAnsiTheme="minorHAnsi" w:cstheme="minorHAnsi"/>
          <w:sz w:val="20"/>
          <w:szCs w:val="20"/>
        </w:rPr>
        <w:t>, niezwłoczne działania zmierzające do likwidacji zagrożenia bezpieczeństwa dostaw energii elektrycznej</w:t>
      </w:r>
      <w:r w:rsidR="0077111A" w:rsidRPr="00EB2E7B">
        <w:rPr>
          <w:rFonts w:asciiTheme="minorHAnsi" w:hAnsiTheme="minorHAnsi" w:cstheme="minorHAnsi"/>
          <w:sz w:val="20"/>
          <w:szCs w:val="20"/>
        </w:rPr>
        <w:t>.</w:t>
      </w:r>
    </w:p>
    <w:p w14:paraId="77D983EA" w14:textId="3FD58004" w:rsidR="004D1721" w:rsidRPr="00EB2E7B" w:rsidRDefault="004D1721"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Procedury dyspozytorskie na okres odbudowy zasilania systemu dystrybucyjnego obejmują w szczególności:</w:t>
      </w:r>
    </w:p>
    <w:p w14:paraId="581F35D7" w14:textId="6DFBC6C5" w:rsidR="000A772B" w:rsidRPr="00EB2E7B" w:rsidRDefault="000A772B" w:rsidP="00EE7359">
      <w:pPr>
        <w:pStyle w:val="Akapitzlist"/>
        <w:numPr>
          <w:ilvl w:val="7"/>
          <w:numId w:val="33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podział kompetencji służb dyspozytorskich, </w:t>
      </w:r>
    </w:p>
    <w:p w14:paraId="4FD01A56" w14:textId="77777777" w:rsidR="000A772B" w:rsidRPr="00EB2E7B" w:rsidRDefault="000A772B" w:rsidP="00EE7359">
      <w:pPr>
        <w:pStyle w:val="Akapitzlist"/>
        <w:numPr>
          <w:ilvl w:val="7"/>
          <w:numId w:val="33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awaryjne układy pracy sieci, </w:t>
      </w:r>
    </w:p>
    <w:p w14:paraId="572C651C" w14:textId="77777777" w:rsidR="000A772B" w:rsidRPr="00EB2E7B" w:rsidRDefault="000A772B" w:rsidP="00EE7359">
      <w:pPr>
        <w:pStyle w:val="Akapitzlist"/>
        <w:numPr>
          <w:ilvl w:val="7"/>
          <w:numId w:val="33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wykaz operacji ruchowych wykonywanych w poszczególnych fazach odbudowy zasilania, </w:t>
      </w:r>
    </w:p>
    <w:p w14:paraId="5B58D2EE" w14:textId="2AE2BAFE" w:rsidR="004D1721" w:rsidRPr="00EB2E7B" w:rsidRDefault="000A772B" w:rsidP="00EE7359">
      <w:pPr>
        <w:pStyle w:val="Akapitzlist"/>
        <w:numPr>
          <w:ilvl w:val="7"/>
          <w:numId w:val="33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dane techniczne niezbędne do odbudowy zasilania, tryb i zasady wymiany informacji i poleceń dyspozytorskich.</w:t>
      </w:r>
    </w:p>
    <w:p w14:paraId="33419189" w14:textId="7C9D001A" w:rsidR="005D127D" w:rsidRPr="00EB2E7B" w:rsidRDefault="00130CD4"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Jeżeli zagrożenie bezpieczeństwa dostaw energii elektrycznej lub też przewidziana procedura likwidacji awarii lub zagrożenia bezpieczeństwa dostaw energii elektrycznej stanowi zagrożenie dla użytkowników systemu nie objętych awarią lub stanem zagrożenia, ACPRO udziela tym użytkownikom niezbędnych informacji o</w:t>
      </w:r>
      <w:r w:rsidR="007A421F" w:rsidRPr="00EB2E7B">
        <w:rPr>
          <w:rFonts w:asciiTheme="minorHAnsi" w:hAnsiTheme="minorHAnsi" w:cstheme="minorHAnsi"/>
          <w:sz w:val="20"/>
          <w:szCs w:val="20"/>
        </w:rPr>
        <w:t> </w:t>
      </w:r>
      <w:r w:rsidRPr="00EB2E7B">
        <w:rPr>
          <w:rFonts w:asciiTheme="minorHAnsi" w:hAnsiTheme="minorHAnsi" w:cstheme="minorHAnsi"/>
          <w:sz w:val="20"/>
          <w:szCs w:val="20"/>
        </w:rPr>
        <w:t>zagrożeniu i sposobach przeciwdziałania rozszerzaniu się awarii lub stanu zagrożenia</w:t>
      </w:r>
      <w:r w:rsidR="005D127D" w:rsidRPr="00EB2E7B">
        <w:rPr>
          <w:rFonts w:asciiTheme="minorHAnsi" w:hAnsiTheme="minorHAnsi" w:cstheme="minorHAnsi"/>
          <w:sz w:val="20"/>
          <w:szCs w:val="20"/>
        </w:rPr>
        <w:t>.</w:t>
      </w:r>
    </w:p>
    <w:p w14:paraId="151EC10E" w14:textId="60F0C9ED" w:rsidR="00473957" w:rsidRPr="00EB2E7B" w:rsidRDefault="005B7AF8" w:rsidP="00331A7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celu ustalenia przebiegu awarii sieci dystrybucyjnej, przyczyny jej powstania, a także zaproponowania działań zapobiegających powstaniu podobnych awarii w przyszłości, operator </w:t>
      </w:r>
      <w:r w:rsidRPr="00EB2E7B">
        <w:rPr>
          <w:rFonts w:asciiTheme="minorHAnsi" w:hAnsiTheme="minorHAnsi" w:cstheme="minorHAnsi"/>
          <w:sz w:val="20"/>
          <w:szCs w:val="20"/>
        </w:rPr>
        <w:lastRenderedPageBreak/>
        <w:t>systemu dystrybucyjnego ma prawo powołać komisję poawaryjną. W pracach komisji biorą udział przedstawiciele podmiotów, których urządzenia, instalacje lub sieci brały bezpośredni udział w awarii.</w:t>
      </w:r>
    </w:p>
    <w:p w14:paraId="57E0E60A" w14:textId="77777777" w:rsidR="00473957" w:rsidRPr="00EB2E7B" w:rsidRDefault="0077111A">
      <w:pPr>
        <w:pStyle w:val="Nagwek2"/>
        <w:rPr>
          <w:rFonts w:asciiTheme="minorHAnsi" w:hAnsiTheme="minorHAnsi" w:cstheme="minorHAnsi"/>
          <w:bCs/>
          <w:sz w:val="20"/>
          <w:szCs w:val="20"/>
        </w:rPr>
      </w:pPr>
      <w:bookmarkStart w:id="203" w:name="_Toc180153736"/>
      <w:bookmarkStart w:id="204" w:name="_Toc239333329"/>
      <w:r w:rsidRPr="00EB2E7B">
        <w:rPr>
          <w:rFonts w:asciiTheme="minorHAnsi" w:hAnsiTheme="minorHAnsi" w:cstheme="minorHAnsi"/>
          <w:sz w:val="20"/>
          <w:szCs w:val="20"/>
        </w:rPr>
        <w:t>BEZPIECZEŃSTWO PRACY SIECI DYSTRYBUCYJNEJ</w:t>
      </w:r>
      <w:bookmarkEnd w:id="203"/>
      <w:bookmarkEnd w:id="204"/>
    </w:p>
    <w:p w14:paraId="69E5F10F" w14:textId="77777777" w:rsidR="00654ABF" w:rsidRPr="00EB2E7B" w:rsidRDefault="00232DA9" w:rsidP="006C39D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prowadzi ruch sieci dystrybucyjnej w sposób zapewniający bezpieczeństwo realizacji dostaw energii elektrycznej siecią dystrybucyjną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w:t>
      </w:r>
    </w:p>
    <w:p w14:paraId="355DCE13" w14:textId="2E19DFCE" w:rsidR="00473957" w:rsidRPr="00EB2E7B" w:rsidRDefault="00232DA9" w:rsidP="006C39D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dotrzymuje standardowych parametrów jakościowych energii elektrycznej i</w:t>
      </w:r>
      <w:r w:rsidR="00AD320B"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standardów jakościowych obsługi odbiorców. </w:t>
      </w:r>
    </w:p>
    <w:p w14:paraId="6AB791E1" w14:textId="77777777" w:rsidR="00473957" w:rsidRPr="00EB2E7B" w:rsidRDefault="0077111A">
      <w:pPr>
        <w:pStyle w:val="Nagwek2"/>
        <w:rPr>
          <w:rFonts w:asciiTheme="minorHAnsi" w:hAnsiTheme="minorHAnsi" w:cstheme="minorHAnsi"/>
          <w:bCs/>
          <w:sz w:val="20"/>
          <w:szCs w:val="20"/>
        </w:rPr>
      </w:pPr>
      <w:bookmarkStart w:id="205" w:name="_Toc180153737"/>
      <w:bookmarkStart w:id="206" w:name="_Ref190091691"/>
      <w:bookmarkStart w:id="207" w:name="_Toc239333330"/>
      <w:r w:rsidRPr="00EB2E7B">
        <w:rPr>
          <w:rFonts w:asciiTheme="minorHAnsi" w:hAnsiTheme="minorHAnsi" w:cstheme="minorHAnsi"/>
          <w:sz w:val="20"/>
          <w:szCs w:val="20"/>
        </w:rPr>
        <w:t>WPROWADZANIE PRZERW ORAZ OGRANICZEŃ W DOSTARCZANIU I POBORZE ENERGII ELEKTRYCZNEJ</w:t>
      </w:r>
      <w:bookmarkEnd w:id="205"/>
      <w:bookmarkEnd w:id="206"/>
      <w:bookmarkEnd w:id="207"/>
    </w:p>
    <w:p w14:paraId="1F6462EB" w14:textId="77777777" w:rsidR="00473957" w:rsidRPr="00EB2E7B" w:rsidRDefault="0077111A" w:rsidP="00646832">
      <w:pPr>
        <w:pStyle w:val="Nagwek3gruby"/>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Postanowienia ogólne </w:t>
      </w:r>
    </w:p>
    <w:p w14:paraId="6C92EF6F" w14:textId="77777777" w:rsidR="00B0204F" w:rsidRPr="00EB2E7B" w:rsidRDefault="00B0204F" w:rsidP="009A432E">
      <w:pPr>
        <w:pStyle w:val="Nagwek4"/>
        <w:rPr>
          <w:rFonts w:asciiTheme="minorHAnsi" w:hAnsiTheme="minorHAnsi" w:cstheme="minorHAnsi"/>
          <w:sz w:val="20"/>
          <w:szCs w:val="20"/>
        </w:rPr>
      </w:pPr>
      <w:bookmarkStart w:id="208" w:name="_Hlk127281245"/>
      <w:r w:rsidRPr="00EB2E7B">
        <w:rPr>
          <w:rFonts w:asciiTheme="minorHAnsi" w:hAnsiTheme="minorHAnsi" w:cstheme="minorHAnsi"/>
          <w:sz w:val="20"/>
          <w:szCs w:val="20"/>
        </w:rPr>
        <w:t>Ograniczenia w dostarczaniu i poborze energii elektrycznej mogą być wprowadzone przez</w:t>
      </w:r>
      <w:bookmarkEnd w:id="208"/>
      <w:r w:rsidRPr="00EB2E7B">
        <w:rPr>
          <w:rFonts w:asciiTheme="minorHAnsi" w:hAnsiTheme="minorHAnsi" w:cstheme="minorHAnsi"/>
          <w:sz w:val="20"/>
          <w:szCs w:val="20"/>
        </w:rPr>
        <w:t>:</w:t>
      </w:r>
    </w:p>
    <w:p w14:paraId="5BF86557" w14:textId="38C12DAC" w:rsidR="00B0204F" w:rsidRPr="00EB2E7B" w:rsidRDefault="00B0204F" w:rsidP="004A4305">
      <w:pPr>
        <w:pStyle w:val="aprzed"/>
        <w:numPr>
          <w:ilvl w:val="0"/>
          <w:numId w:val="267"/>
        </w:numPr>
        <w:ind w:left="1701" w:hanging="566"/>
        <w:rPr>
          <w:rFonts w:asciiTheme="minorHAnsi" w:hAnsiTheme="minorHAnsi" w:cstheme="minorHAnsi"/>
          <w:sz w:val="20"/>
          <w:szCs w:val="20"/>
        </w:rPr>
      </w:pPr>
      <w:bookmarkStart w:id="209" w:name="_Hlk127281268"/>
      <w:r w:rsidRPr="00EB2E7B">
        <w:rPr>
          <w:rFonts w:asciiTheme="minorHAnsi" w:hAnsiTheme="minorHAnsi" w:cstheme="minorHAnsi"/>
          <w:sz w:val="20"/>
          <w:szCs w:val="20"/>
        </w:rPr>
        <w:t xml:space="preserve">OSP, do czasu wejścia w życie przepisów, o których mowa w lit. </w:t>
      </w:r>
      <w:r w:rsidR="00617EB7" w:rsidRPr="00EB2E7B">
        <w:rPr>
          <w:rFonts w:asciiTheme="minorHAnsi" w:hAnsiTheme="minorHAnsi" w:cstheme="minorHAnsi"/>
          <w:sz w:val="20"/>
          <w:szCs w:val="20"/>
        </w:rPr>
        <w:fldChar w:fldCharType="begin"/>
      </w:r>
      <w:r w:rsidR="00617EB7" w:rsidRPr="00EB2E7B">
        <w:rPr>
          <w:rFonts w:asciiTheme="minorHAnsi" w:hAnsiTheme="minorHAnsi" w:cstheme="minorHAnsi"/>
          <w:sz w:val="20"/>
          <w:szCs w:val="20"/>
        </w:rPr>
        <w:instrText xml:space="preserve"> REF _Ref190083678 \w \h  \* MERGEFORMAT </w:instrText>
      </w:r>
      <w:r w:rsidR="00617EB7" w:rsidRPr="00EB2E7B">
        <w:rPr>
          <w:rFonts w:asciiTheme="minorHAnsi" w:hAnsiTheme="minorHAnsi" w:cstheme="minorHAnsi"/>
          <w:sz w:val="20"/>
          <w:szCs w:val="20"/>
        </w:rPr>
      </w:r>
      <w:r w:rsidR="00617EB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617EB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jednak nie dłużej niż na okres 72 godzin – w przypadku wystąpienia zagrożenia bezpieczeństwa dostaw energii elektrycznej</w:t>
      </w:r>
      <w:bookmarkEnd w:id="209"/>
      <w:r w:rsidRPr="00EB2E7B">
        <w:rPr>
          <w:rFonts w:asciiTheme="minorHAnsi" w:hAnsiTheme="minorHAnsi" w:cstheme="minorHAnsi"/>
          <w:sz w:val="20"/>
          <w:szCs w:val="20"/>
        </w:rPr>
        <w:t>,</w:t>
      </w:r>
    </w:p>
    <w:p w14:paraId="6933A6B6" w14:textId="504B80B6" w:rsidR="00473957" w:rsidRPr="00EB2E7B" w:rsidRDefault="00B0204F" w:rsidP="004A4305">
      <w:pPr>
        <w:pStyle w:val="aprzed"/>
        <w:numPr>
          <w:ilvl w:val="0"/>
          <w:numId w:val="53"/>
        </w:numPr>
        <w:ind w:left="1701" w:hanging="566"/>
        <w:rPr>
          <w:rFonts w:asciiTheme="minorHAnsi" w:hAnsiTheme="minorHAnsi" w:cstheme="minorHAnsi"/>
          <w:sz w:val="20"/>
          <w:szCs w:val="20"/>
        </w:rPr>
      </w:pPr>
      <w:bookmarkStart w:id="210" w:name="_Hlk127281285"/>
      <w:bookmarkStart w:id="211" w:name="_Ref190083678"/>
      <w:r w:rsidRPr="00EB2E7B">
        <w:rPr>
          <w:rFonts w:asciiTheme="minorHAnsi" w:hAnsiTheme="minorHAnsi" w:cstheme="minorHAnsi"/>
          <w:sz w:val="20"/>
          <w:szCs w:val="20"/>
        </w:rPr>
        <w:t xml:space="preserve">Radę Ministrów w drodze rozporządzenia, na podstawie art. 11 ust. 7 Ustawy – w przypadkach,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_Ref130809412 \r \h </w:instrText>
      </w:r>
      <w:r w:rsidR="00271038"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210"/>
      <w:r w:rsidR="0077111A" w:rsidRPr="00EB2E7B">
        <w:rPr>
          <w:rFonts w:asciiTheme="minorHAnsi" w:hAnsiTheme="minorHAnsi" w:cstheme="minorHAnsi"/>
          <w:sz w:val="20"/>
          <w:szCs w:val="20"/>
        </w:rPr>
        <w:t xml:space="preserve"> </w:t>
      </w:r>
      <w:bookmarkEnd w:id="211"/>
    </w:p>
    <w:p w14:paraId="7D8F900C" w14:textId="647BE7C4" w:rsidR="00473957"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 </w:t>
      </w:r>
      <w:r w:rsidR="00B47F87" w:rsidRPr="00EB2E7B">
        <w:rPr>
          <w:rFonts w:asciiTheme="minorHAnsi" w:hAnsiTheme="minorHAnsi" w:cstheme="minorHAnsi"/>
          <w:sz w:val="20"/>
          <w:szCs w:val="20"/>
        </w:rPr>
        <w:t xml:space="preserve">przypadku wystąpienia zagrożenia bezpieczeństwa dostaw energii elektrycznej, OSP podejmuje we współpracy z ACPRO i innymi użytkownikami systemu wszelkie możliwe działania przy wykorzystaniu dostępnych środków mających na celu usunięcie zagrożenia bezpieczeństwa dostaw energii elektrycznej i zapobieżenia jego negatywnym skutkom. Działania te podejmowane są przez OSP zgodnie z </w:t>
      </w:r>
      <w:proofErr w:type="spellStart"/>
      <w:r w:rsidR="00B47F87"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w:t>
      </w:r>
    </w:p>
    <w:p w14:paraId="6FF4B806" w14:textId="4249659C" w:rsidR="00093570" w:rsidRPr="00EB2E7B" w:rsidRDefault="00232DA9" w:rsidP="004A4305">
      <w:pPr>
        <w:ind w:left="1134" w:firstLine="0"/>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na polecenie OSP</w:t>
      </w:r>
      <w:r w:rsidR="003F6303" w:rsidRPr="00EB2E7B">
        <w:rPr>
          <w:rFonts w:asciiTheme="minorHAnsi" w:hAnsiTheme="minorHAnsi" w:cstheme="minorHAnsi"/>
          <w:sz w:val="20"/>
          <w:szCs w:val="20"/>
        </w:rPr>
        <w:t xml:space="preserve"> za pośrednictwem </w:t>
      </w:r>
      <w:proofErr w:type="spellStart"/>
      <w:r w:rsidR="003F6303" w:rsidRPr="00EB2E7B">
        <w:rPr>
          <w:rFonts w:asciiTheme="minorHAnsi" w:hAnsiTheme="minorHAnsi" w:cstheme="minorHAnsi"/>
          <w:sz w:val="20"/>
          <w:szCs w:val="20"/>
        </w:rPr>
        <w:t>OSDp</w:t>
      </w:r>
      <w:proofErr w:type="spellEnd"/>
      <w:r w:rsidR="00654ABF" w:rsidRPr="00EB2E7B">
        <w:rPr>
          <w:rFonts w:asciiTheme="minorHAnsi" w:hAnsiTheme="minorHAnsi" w:cstheme="minorHAnsi"/>
          <w:sz w:val="20"/>
          <w:szCs w:val="20"/>
        </w:rPr>
        <w:t xml:space="preserve"> </w:t>
      </w:r>
      <w:r w:rsidR="00E35780" w:rsidRPr="00EB2E7B">
        <w:rPr>
          <w:rFonts w:asciiTheme="minorHAnsi" w:hAnsiTheme="minorHAnsi" w:cstheme="minorHAnsi"/>
          <w:sz w:val="20"/>
          <w:szCs w:val="20"/>
        </w:rPr>
        <w:t>podejmuje w szczególności następujące działa</w:t>
      </w:r>
      <w:r w:rsidR="00093570" w:rsidRPr="00EB2E7B">
        <w:rPr>
          <w:rFonts w:asciiTheme="minorHAnsi" w:hAnsiTheme="minorHAnsi" w:cstheme="minorHAnsi"/>
          <w:sz w:val="20"/>
          <w:szCs w:val="20"/>
        </w:rPr>
        <w:t>nia</w:t>
      </w:r>
      <w:r w:rsidR="00057344" w:rsidRPr="00EB2E7B">
        <w:rPr>
          <w:rFonts w:asciiTheme="minorHAnsi" w:hAnsiTheme="minorHAnsi" w:cstheme="minorHAnsi"/>
          <w:sz w:val="20"/>
          <w:szCs w:val="20"/>
        </w:rPr>
        <w:t>:</w:t>
      </w:r>
    </w:p>
    <w:p w14:paraId="4619AA39" w14:textId="2C0604BA" w:rsidR="00093570" w:rsidRPr="00EB2E7B" w:rsidRDefault="00057344" w:rsidP="00EE7359">
      <w:pPr>
        <w:pStyle w:val="Akapitzlist"/>
        <w:numPr>
          <w:ilvl w:val="7"/>
          <w:numId w:val="33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wydaje polecenia uruchomienia, odstawienia, zmiany obciążenia lub odłączenia od sieci </w:t>
      </w:r>
      <w:proofErr w:type="spellStart"/>
      <w:r w:rsidRPr="00EB2E7B">
        <w:rPr>
          <w:rFonts w:asciiTheme="minorHAnsi" w:hAnsiTheme="minorHAnsi" w:cstheme="minorHAnsi"/>
          <w:sz w:val="20"/>
          <w:szCs w:val="20"/>
        </w:rPr>
        <w:t>nJWCD</w:t>
      </w:r>
      <w:proofErr w:type="spellEnd"/>
      <w:r w:rsidRPr="00EB2E7B">
        <w:rPr>
          <w:rFonts w:asciiTheme="minorHAnsi" w:hAnsiTheme="minorHAnsi" w:cstheme="minorHAnsi"/>
          <w:sz w:val="20"/>
          <w:szCs w:val="20"/>
        </w:rPr>
        <w:t>,</w:t>
      </w:r>
    </w:p>
    <w:p w14:paraId="079606D6" w14:textId="322EBD1C" w:rsidR="00473957" w:rsidRPr="00EB2E7B" w:rsidRDefault="0077111A" w:rsidP="00EE7359">
      <w:pPr>
        <w:pStyle w:val="Akapitzlist"/>
        <w:numPr>
          <w:ilvl w:val="7"/>
          <w:numId w:val="33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wydaje polecenia zmniejszenia ilości pobieranej energii elektrycznej przez odbiorców końcowych przyłączonych do sieci dystrybucyjnej na obszarze działania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lub przerywa zasilanie niezbędnej liczby odbiorców końcowych przyłączonych do sieci dystrybucyjnej na tym obszarze. </w:t>
      </w:r>
    </w:p>
    <w:p w14:paraId="2190F791" w14:textId="77777777" w:rsidR="00654ABF" w:rsidRPr="00EB2E7B" w:rsidRDefault="0077111A" w:rsidP="009A432E">
      <w:pPr>
        <w:pStyle w:val="Nagwek4"/>
        <w:rPr>
          <w:rFonts w:asciiTheme="minorHAnsi" w:hAnsiTheme="minorHAnsi" w:cstheme="minorHAnsi"/>
          <w:sz w:val="20"/>
          <w:szCs w:val="20"/>
        </w:rPr>
      </w:pPr>
      <w:r w:rsidRPr="00EB2E7B">
        <w:rPr>
          <w:rFonts w:asciiTheme="minorHAnsi" w:hAnsiTheme="minorHAnsi" w:cstheme="minorHAnsi"/>
          <w:sz w:val="20"/>
          <w:szCs w:val="20"/>
        </w:rPr>
        <w:t>Ograniczenia w dostarczaniu i poborze energii elektrycznej wprowadza się wg następujących trybów:</w:t>
      </w:r>
    </w:p>
    <w:p w14:paraId="51763584" w14:textId="752E322A" w:rsidR="00473957" w:rsidRPr="00EB2E7B" w:rsidRDefault="0077111A" w:rsidP="004A4305">
      <w:pPr>
        <w:pStyle w:val="aprzed"/>
        <w:numPr>
          <w:ilvl w:val="0"/>
          <w:numId w:val="7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tryb normalny, określony w pkt </w:t>
      </w:r>
      <w:r w:rsidR="00B81DF7" w:rsidRPr="00EB2E7B">
        <w:rPr>
          <w:rFonts w:asciiTheme="minorHAnsi" w:hAnsiTheme="minorHAnsi" w:cstheme="minorHAnsi"/>
          <w:sz w:val="20"/>
          <w:szCs w:val="20"/>
        </w:rPr>
        <w:fldChar w:fldCharType="begin"/>
      </w:r>
      <w:r w:rsidR="00B81DF7" w:rsidRPr="00EB2E7B">
        <w:rPr>
          <w:rFonts w:asciiTheme="minorHAnsi" w:hAnsiTheme="minorHAnsi" w:cstheme="minorHAnsi"/>
          <w:sz w:val="20"/>
          <w:szCs w:val="20"/>
        </w:rPr>
        <w:instrText xml:space="preserve"> REF _Ref75515441 \r \h </w:instrText>
      </w:r>
      <w:r w:rsidR="00AC623C" w:rsidRPr="00EB2E7B">
        <w:rPr>
          <w:rFonts w:asciiTheme="minorHAnsi" w:hAnsiTheme="minorHAnsi" w:cstheme="minorHAnsi"/>
          <w:sz w:val="20"/>
          <w:szCs w:val="20"/>
        </w:rPr>
        <w:instrText xml:space="preserve"> \* MERGEFORMAT </w:instrText>
      </w:r>
      <w:r w:rsidR="00B81DF7" w:rsidRPr="00EB2E7B">
        <w:rPr>
          <w:rFonts w:asciiTheme="minorHAnsi" w:hAnsiTheme="minorHAnsi" w:cstheme="minorHAnsi"/>
          <w:sz w:val="20"/>
          <w:szCs w:val="20"/>
        </w:rPr>
      </w:r>
      <w:r w:rsidR="00B81D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w:t>
      </w:r>
      <w:r w:rsidR="00B81DF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3EEFD980" w14:textId="39243999" w:rsidR="00473957" w:rsidRPr="00EB2E7B" w:rsidRDefault="0077111A" w:rsidP="004A430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tryb normalny na polecenie OSP, określony w pkt </w:t>
      </w:r>
      <w:r w:rsidR="00B81DF7" w:rsidRPr="00EB2E7B">
        <w:rPr>
          <w:rFonts w:asciiTheme="minorHAnsi" w:hAnsiTheme="minorHAnsi" w:cstheme="minorHAnsi"/>
          <w:sz w:val="20"/>
          <w:szCs w:val="20"/>
        </w:rPr>
        <w:fldChar w:fldCharType="begin"/>
      </w:r>
      <w:r w:rsidR="00B81DF7" w:rsidRPr="00EB2E7B">
        <w:rPr>
          <w:rFonts w:asciiTheme="minorHAnsi" w:hAnsiTheme="minorHAnsi" w:cstheme="minorHAnsi"/>
          <w:sz w:val="20"/>
          <w:szCs w:val="20"/>
        </w:rPr>
        <w:instrText xml:space="preserve"> REF _Ref75515462 \r \h </w:instrText>
      </w:r>
      <w:r w:rsidR="00AC623C" w:rsidRPr="00EB2E7B">
        <w:rPr>
          <w:rFonts w:asciiTheme="minorHAnsi" w:hAnsiTheme="minorHAnsi" w:cstheme="minorHAnsi"/>
          <w:sz w:val="20"/>
          <w:szCs w:val="20"/>
        </w:rPr>
        <w:instrText xml:space="preserve"> \* MERGEFORMAT </w:instrText>
      </w:r>
      <w:r w:rsidR="00B81DF7" w:rsidRPr="00EB2E7B">
        <w:rPr>
          <w:rFonts w:asciiTheme="minorHAnsi" w:hAnsiTheme="minorHAnsi" w:cstheme="minorHAnsi"/>
          <w:sz w:val="20"/>
          <w:szCs w:val="20"/>
        </w:rPr>
      </w:r>
      <w:r w:rsidR="00B81D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IV.3.3</w:t>
      </w:r>
      <w:r w:rsidR="00B81DF7" w:rsidRPr="00EB2E7B">
        <w:rPr>
          <w:rFonts w:asciiTheme="minorHAnsi" w:hAnsiTheme="minorHAnsi" w:cstheme="minorHAnsi"/>
          <w:sz w:val="20"/>
          <w:szCs w:val="20"/>
        </w:rPr>
        <w:fldChar w:fldCharType="end"/>
      </w:r>
      <w:r w:rsidR="00B81DF7"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p w14:paraId="1277E775" w14:textId="665A8D5D" w:rsidR="00473957" w:rsidRPr="00EB2E7B" w:rsidRDefault="0077111A" w:rsidP="004A430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tryb awaryjny, określony w pkt </w:t>
      </w:r>
      <w:r w:rsidR="00B81DF7" w:rsidRPr="00EB2E7B">
        <w:rPr>
          <w:rFonts w:asciiTheme="minorHAnsi" w:hAnsiTheme="minorHAnsi" w:cstheme="minorHAnsi"/>
          <w:sz w:val="20"/>
          <w:szCs w:val="20"/>
        </w:rPr>
        <w:fldChar w:fldCharType="begin"/>
      </w:r>
      <w:r w:rsidR="00B81DF7" w:rsidRPr="00EB2E7B">
        <w:rPr>
          <w:rFonts w:asciiTheme="minorHAnsi" w:hAnsiTheme="minorHAnsi" w:cstheme="minorHAnsi"/>
          <w:sz w:val="20"/>
          <w:szCs w:val="20"/>
        </w:rPr>
        <w:instrText xml:space="preserve"> REF _Ref75515478 \r \h </w:instrText>
      </w:r>
      <w:r w:rsidR="00AC623C" w:rsidRPr="00EB2E7B">
        <w:rPr>
          <w:rFonts w:asciiTheme="minorHAnsi" w:hAnsiTheme="minorHAnsi" w:cstheme="minorHAnsi"/>
          <w:sz w:val="20"/>
          <w:szCs w:val="20"/>
        </w:rPr>
        <w:instrText xml:space="preserve"> \* MERGEFORMAT </w:instrText>
      </w:r>
      <w:r w:rsidR="00B81DF7" w:rsidRPr="00EB2E7B">
        <w:rPr>
          <w:rFonts w:asciiTheme="minorHAnsi" w:hAnsiTheme="minorHAnsi" w:cstheme="minorHAnsi"/>
          <w:sz w:val="20"/>
          <w:szCs w:val="20"/>
        </w:rPr>
      </w:r>
      <w:r w:rsidR="00B81D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IV.3.4</w:t>
      </w:r>
      <w:r w:rsidR="00B81DF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65DA8A64" w14:textId="5D5F66D0" w:rsidR="00E25AB9" w:rsidRPr="00EB2E7B" w:rsidRDefault="0077111A" w:rsidP="004A4305">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tryb automatyczny, określony w pkt </w:t>
      </w:r>
      <w:r w:rsidR="00B81DF7" w:rsidRPr="00EB2E7B">
        <w:rPr>
          <w:rFonts w:asciiTheme="minorHAnsi" w:hAnsiTheme="minorHAnsi" w:cstheme="minorHAnsi"/>
          <w:sz w:val="20"/>
          <w:szCs w:val="20"/>
        </w:rPr>
        <w:fldChar w:fldCharType="begin"/>
      </w:r>
      <w:r w:rsidR="00B81DF7" w:rsidRPr="00EB2E7B">
        <w:rPr>
          <w:rFonts w:asciiTheme="minorHAnsi" w:hAnsiTheme="minorHAnsi" w:cstheme="minorHAnsi"/>
          <w:sz w:val="20"/>
          <w:szCs w:val="20"/>
        </w:rPr>
        <w:instrText xml:space="preserve"> REF _Ref75515492 \r \h </w:instrText>
      </w:r>
      <w:r w:rsidR="00AC623C" w:rsidRPr="00EB2E7B">
        <w:rPr>
          <w:rFonts w:asciiTheme="minorHAnsi" w:hAnsiTheme="minorHAnsi" w:cstheme="minorHAnsi"/>
          <w:sz w:val="20"/>
          <w:szCs w:val="20"/>
        </w:rPr>
        <w:instrText xml:space="preserve"> \* MERGEFORMAT </w:instrText>
      </w:r>
      <w:r w:rsidR="00B81DF7" w:rsidRPr="00EB2E7B">
        <w:rPr>
          <w:rFonts w:asciiTheme="minorHAnsi" w:hAnsiTheme="minorHAnsi" w:cstheme="minorHAnsi"/>
          <w:sz w:val="20"/>
          <w:szCs w:val="20"/>
        </w:rPr>
      </w:r>
      <w:r w:rsidR="00B81D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w:t>
      </w:r>
      <w:r w:rsidR="00B81DF7" w:rsidRPr="00EB2E7B">
        <w:rPr>
          <w:rFonts w:asciiTheme="minorHAnsi" w:hAnsiTheme="minorHAnsi" w:cstheme="minorHAnsi"/>
          <w:sz w:val="20"/>
          <w:szCs w:val="20"/>
        </w:rPr>
        <w:fldChar w:fldCharType="end"/>
      </w:r>
      <w:r w:rsidR="00B47F87" w:rsidRPr="00EB2E7B">
        <w:rPr>
          <w:rFonts w:asciiTheme="minorHAnsi" w:hAnsiTheme="minorHAnsi" w:cstheme="minorHAnsi"/>
          <w:sz w:val="20"/>
          <w:szCs w:val="20"/>
        </w:rPr>
        <w:t>.</w:t>
      </w:r>
    </w:p>
    <w:p w14:paraId="60199633" w14:textId="1C6724B4" w:rsidR="00E25AB9" w:rsidRPr="00EB2E7B" w:rsidRDefault="00E25AB9" w:rsidP="004A4305">
      <w:pPr>
        <w:pStyle w:val="Nagwek3gruby"/>
        <w:ind w:left="1134" w:hanging="1134"/>
        <w:rPr>
          <w:rFonts w:asciiTheme="minorHAnsi" w:hAnsiTheme="minorHAnsi" w:cstheme="minorHAnsi"/>
          <w:sz w:val="20"/>
          <w:szCs w:val="20"/>
        </w:rPr>
      </w:pPr>
      <w:bookmarkStart w:id="212" w:name="_Ref75515441"/>
      <w:r w:rsidRPr="00EB2E7B">
        <w:rPr>
          <w:rFonts w:asciiTheme="minorHAnsi" w:hAnsiTheme="minorHAnsi" w:cstheme="minorHAnsi"/>
          <w:sz w:val="20"/>
          <w:szCs w:val="20"/>
        </w:rPr>
        <w:t>Tryb normalny</w:t>
      </w:r>
      <w:bookmarkEnd w:id="212"/>
      <w:r w:rsidRPr="00EB2E7B">
        <w:rPr>
          <w:rFonts w:asciiTheme="minorHAnsi" w:hAnsiTheme="minorHAnsi" w:cstheme="minorHAnsi"/>
          <w:sz w:val="20"/>
          <w:szCs w:val="20"/>
        </w:rPr>
        <w:t xml:space="preserve"> </w:t>
      </w:r>
    </w:p>
    <w:p w14:paraId="50A41B29" w14:textId="77777777" w:rsidR="00E25AB9" w:rsidRPr="00EB2E7B" w:rsidRDefault="00E25AB9" w:rsidP="009A432E">
      <w:pPr>
        <w:pStyle w:val="Nagwek4"/>
        <w:rPr>
          <w:rFonts w:asciiTheme="minorHAnsi" w:hAnsiTheme="minorHAnsi" w:cstheme="minorHAnsi"/>
          <w:sz w:val="20"/>
          <w:szCs w:val="20"/>
        </w:rPr>
      </w:pPr>
      <w:bookmarkStart w:id="213" w:name="_Ref130809412"/>
      <w:r w:rsidRPr="00EB2E7B">
        <w:rPr>
          <w:rFonts w:asciiTheme="minorHAnsi" w:hAnsiTheme="minorHAnsi" w:cstheme="minorHAnsi"/>
          <w:sz w:val="20"/>
          <w:szCs w:val="20"/>
        </w:rPr>
        <w:t xml:space="preserve">Ograniczenia w trybie normalnym wprowadza Rada Ministrów, w drodze rozporządzenia, wydanego na podstawie Ustawy, na wniosek ministra właściwego do spraw energii. Ograniczenia w </w:t>
      </w:r>
      <w:r w:rsidRPr="00EB2E7B">
        <w:rPr>
          <w:rFonts w:asciiTheme="minorHAnsi" w:hAnsiTheme="minorHAnsi" w:cstheme="minorHAnsi"/>
          <w:sz w:val="20"/>
          <w:szCs w:val="20"/>
        </w:rPr>
        <w:lastRenderedPageBreak/>
        <w:t>dostarczaniu i poborze energii elektrycznej wprowadzane są na czas oznaczony, na terytorium Rzeczypospolitej Polskiej lub jego części, w przypadku wystąpienia zagrożenia:</w:t>
      </w:r>
      <w:bookmarkEnd w:id="213"/>
    </w:p>
    <w:p w14:paraId="42B2DEAB" w14:textId="77777777" w:rsidR="00E25AB9" w:rsidRPr="00EB2E7B" w:rsidRDefault="00E25AB9" w:rsidP="00DF5D04">
      <w:pPr>
        <w:pStyle w:val="aprzed"/>
        <w:numPr>
          <w:ilvl w:val="0"/>
          <w:numId w:val="271"/>
        </w:numPr>
        <w:rPr>
          <w:rFonts w:asciiTheme="minorHAnsi" w:hAnsiTheme="minorHAnsi" w:cstheme="minorHAnsi"/>
          <w:sz w:val="20"/>
          <w:szCs w:val="20"/>
        </w:rPr>
      </w:pPr>
      <w:r w:rsidRPr="00EB2E7B">
        <w:rPr>
          <w:rFonts w:asciiTheme="minorHAnsi" w:hAnsiTheme="minorHAnsi" w:cstheme="minorHAnsi"/>
          <w:sz w:val="20"/>
          <w:szCs w:val="20"/>
        </w:rPr>
        <w:t>bezpieczeństwa energetycznego Rzeczypospolitej Polskiej polegającego na długookresowym braku równowagi na rynku paliwowo – energetycznym,</w:t>
      </w:r>
    </w:p>
    <w:p w14:paraId="631519BD" w14:textId="77777777" w:rsidR="00E25AB9" w:rsidRPr="00EB2E7B" w:rsidRDefault="00E25AB9" w:rsidP="006F561B">
      <w:pPr>
        <w:pStyle w:val="aprzed"/>
        <w:numPr>
          <w:ilvl w:val="0"/>
          <w:numId w:val="53"/>
        </w:numPr>
        <w:rPr>
          <w:rFonts w:asciiTheme="minorHAnsi" w:hAnsiTheme="minorHAnsi" w:cstheme="minorHAnsi"/>
          <w:sz w:val="20"/>
          <w:szCs w:val="20"/>
        </w:rPr>
      </w:pPr>
      <w:r w:rsidRPr="00EB2E7B">
        <w:rPr>
          <w:rFonts w:asciiTheme="minorHAnsi" w:hAnsiTheme="minorHAnsi" w:cstheme="minorHAnsi"/>
          <w:sz w:val="20"/>
          <w:szCs w:val="20"/>
        </w:rPr>
        <w:t xml:space="preserve"> bezpieczeństwa dostaw energii elektrycznej, </w:t>
      </w:r>
    </w:p>
    <w:p w14:paraId="3B895CC6" w14:textId="77777777" w:rsidR="00E25AB9" w:rsidRPr="00EB2E7B" w:rsidRDefault="00E25AB9" w:rsidP="006F561B">
      <w:pPr>
        <w:pStyle w:val="aprzed"/>
        <w:numPr>
          <w:ilvl w:val="0"/>
          <w:numId w:val="53"/>
        </w:numPr>
        <w:rPr>
          <w:rFonts w:asciiTheme="minorHAnsi" w:hAnsiTheme="minorHAnsi" w:cstheme="minorHAnsi"/>
          <w:sz w:val="20"/>
          <w:szCs w:val="20"/>
        </w:rPr>
      </w:pPr>
      <w:r w:rsidRPr="00EB2E7B">
        <w:rPr>
          <w:rFonts w:asciiTheme="minorHAnsi" w:hAnsiTheme="minorHAnsi" w:cstheme="minorHAnsi"/>
          <w:sz w:val="20"/>
          <w:szCs w:val="20"/>
        </w:rPr>
        <w:t xml:space="preserve">bezpieczeństwa osób, </w:t>
      </w:r>
    </w:p>
    <w:p w14:paraId="1FB8EE19" w14:textId="77777777" w:rsidR="00E25AB9" w:rsidRPr="00EB2E7B" w:rsidRDefault="00E25AB9" w:rsidP="006F561B">
      <w:pPr>
        <w:pStyle w:val="aprzed"/>
        <w:numPr>
          <w:ilvl w:val="0"/>
          <w:numId w:val="53"/>
        </w:numPr>
        <w:rPr>
          <w:rFonts w:asciiTheme="minorHAnsi" w:hAnsiTheme="minorHAnsi" w:cstheme="minorHAnsi"/>
          <w:sz w:val="20"/>
          <w:szCs w:val="20"/>
        </w:rPr>
      </w:pPr>
      <w:r w:rsidRPr="00EB2E7B">
        <w:rPr>
          <w:rFonts w:asciiTheme="minorHAnsi" w:hAnsiTheme="minorHAnsi" w:cstheme="minorHAnsi"/>
          <w:sz w:val="20"/>
          <w:szCs w:val="20"/>
        </w:rPr>
        <w:t xml:space="preserve">wystąpienia znacznych strat materialnych. </w:t>
      </w:r>
    </w:p>
    <w:p w14:paraId="14930A94" w14:textId="1648CC0F"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Ograniczenia w dostarczaniu i poborze energii elektrycznej mogą być wprowadzane po wyczerpaniu, przez OSP, </w:t>
      </w:r>
      <w:proofErr w:type="spellStart"/>
      <w:r w:rsidRPr="00EB2E7B">
        <w:rPr>
          <w:rFonts w:asciiTheme="minorHAnsi" w:hAnsiTheme="minorHAnsi" w:cstheme="minorHAnsi"/>
          <w:sz w:val="20"/>
          <w:szCs w:val="20"/>
        </w:rPr>
        <w:t>OSDp</w:t>
      </w:r>
      <w:proofErr w:type="spellEnd"/>
      <w:r w:rsidR="00D67B95" w:rsidRPr="00EB2E7B">
        <w:rPr>
          <w:rFonts w:asciiTheme="minorHAnsi" w:hAnsiTheme="minorHAnsi" w:cstheme="minorHAnsi"/>
          <w:sz w:val="20"/>
          <w:szCs w:val="20"/>
        </w:rPr>
        <w:t>,</w:t>
      </w:r>
      <w:r w:rsidRPr="00EB2E7B">
        <w:rPr>
          <w:rFonts w:asciiTheme="minorHAnsi" w:hAnsiTheme="minorHAnsi" w:cstheme="minorHAnsi"/>
          <w:sz w:val="20"/>
          <w:szCs w:val="20"/>
        </w:rPr>
        <w:t xml:space="preserve"> ACPRO</w:t>
      </w:r>
      <w:r w:rsidR="00D67B95" w:rsidRPr="00EB2E7B">
        <w:rPr>
          <w:rFonts w:asciiTheme="minorHAnsi" w:hAnsiTheme="minorHAnsi" w:cstheme="minorHAnsi"/>
          <w:sz w:val="20"/>
          <w:szCs w:val="20"/>
        </w:rPr>
        <w:t xml:space="preserve"> i OSDn</w:t>
      </w:r>
      <w:r w:rsidRPr="00EB2E7B">
        <w:rPr>
          <w:rFonts w:asciiTheme="minorHAnsi" w:hAnsiTheme="minorHAnsi" w:cstheme="minorHAnsi"/>
          <w:sz w:val="20"/>
          <w:szCs w:val="20"/>
        </w:rPr>
        <w:t xml:space="preserve"> we współpracy z zainteresowanymi podmiotami, wszelkich dostępnych środków, o których mowa w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służących do zapewnienia prawidłowego funkcjonowania systemu elektroenergetycznego, przy dochowaniu należytej staranności. </w:t>
      </w:r>
    </w:p>
    <w:p w14:paraId="68098CE8" w14:textId="5EECDB79"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Wniosek,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_Ref130809412 \r \h </w:instrText>
      </w:r>
      <w:r w:rsidR="004B044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sporządza minister właściwy do spraw energii z własnej inicjatywy lub na podstawie zgłoszenia OSP. </w:t>
      </w:r>
    </w:p>
    <w:p w14:paraId="516F8283" w14:textId="58EB2A91" w:rsidR="00E25AB9" w:rsidRPr="00EB2E7B" w:rsidRDefault="0013741E"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OSP </w:t>
      </w:r>
      <w:r w:rsidR="00E25AB9" w:rsidRPr="00EB2E7B">
        <w:rPr>
          <w:rFonts w:asciiTheme="minorHAnsi" w:hAnsiTheme="minorHAnsi" w:cstheme="minorHAnsi"/>
          <w:sz w:val="20"/>
          <w:szCs w:val="20"/>
        </w:rPr>
        <w:t xml:space="preserve">we współpracy z ACPRO za pośrednictwem </w:t>
      </w:r>
      <w:proofErr w:type="spellStart"/>
      <w:r w:rsidR="00E25AB9" w:rsidRPr="00EB2E7B">
        <w:rPr>
          <w:rFonts w:asciiTheme="minorHAnsi" w:hAnsiTheme="minorHAnsi" w:cstheme="minorHAnsi"/>
          <w:sz w:val="20"/>
          <w:szCs w:val="20"/>
        </w:rPr>
        <w:t>OSDp</w:t>
      </w:r>
      <w:proofErr w:type="spellEnd"/>
      <w:r w:rsidR="00E25AB9" w:rsidRPr="00EB2E7B">
        <w:rPr>
          <w:rFonts w:asciiTheme="minorHAnsi" w:hAnsiTheme="minorHAnsi" w:cstheme="minorHAnsi"/>
          <w:sz w:val="20"/>
          <w:szCs w:val="20"/>
        </w:rPr>
        <w:t xml:space="preserve"> opracowuje plan wprowadzania ograniczeń w dostarczaniu i poborze energii elektrycznej na wypadek wystąpienia okoliczności powołanych w pkt </w:t>
      </w:r>
      <w:r w:rsidR="00E25AB9" w:rsidRPr="00EB2E7B">
        <w:rPr>
          <w:rFonts w:asciiTheme="minorHAnsi" w:hAnsiTheme="minorHAnsi" w:cstheme="minorHAnsi"/>
          <w:sz w:val="20"/>
          <w:szCs w:val="20"/>
        </w:rPr>
        <w:fldChar w:fldCharType="begin"/>
      </w:r>
      <w:r w:rsidR="00E25AB9" w:rsidRPr="00EB2E7B">
        <w:rPr>
          <w:rFonts w:asciiTheme="minorHAnsi" w:hAnsiTheme="minorHAnsi" w:cstheme="minorHAnsi"/>
          <w:sz w:val="20"/>
          <w:szCs w:val="20"/>
        </w:rPr>
        <w:instrText xml:space="preserve"> REF _Ref130809412 \r \h </w:instrText>
      </w:r>
      <w:r w:rsidR="006910CE" w:rsidRPr="00EB2E7B">
        <w:rPr>
          <w:rFonts w:asciiTheme="minorHAnsi" w:hAnsiTheme="minorHAnsi" w:cstheme="minorHAnsi"/>
          <w:sz w:val="20"/>
          <w:szCs w:val="20"/>
        </w:rPr>
        <w:instrText xml:space="preserve"> \* MERGEFORMAT </w:instrText>
      </w:r>
      <w:r w:rsidR="00E25AB9" w:rsidRPr="00EB2E7B">
        <w:rPr>
          <w:rFonts w:asciiTheme="minorHAnsi" w:hAnsiTheme="minorHAnsi" w:cstheme="minorHAnsi"/>
          <w:sz w:val="20"/>
          <w:szCs w:val="20"/>
        </w:rPr>
      </w:r>
      <w:r w:rsidR="00E25AB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w:t>
      </w:r>
      <w:r w:rsidR="00E25AB9" w:rsidRPr="00EB2E7B">
        <w:rPr>
          <w:rFonts w:asciiTheme="minorHAnsi" w:hAnsiTheme="minorHAnsi" w:cstheme="minorHAnsi"/>
          <w:sz w:val="20"/>
          <w:szCs w:val="20"/>
        </w:rPr>
        <w:fldChar w:fldCharType="end"/>
      </w:r>
      <w:r w:rsidR="00E25AB9" w:rsidRPr="00EB2E7B">
        <w:rPr>
          <w:rFonts w:asciiTheme="minorHAnsi" w:hAnsiTheme="minorHAnsi" w:cstheme="minorHAnsi"/>
          <w:sz w:val="20"/>
          <w:szCs w:val="20"/>
        </w:rPr>
        <w:t>. Ograniczenia w dostarczaniu i poborze energii elektrycznej nie mogą powodować:</w:t>
      </w:r>
    </w:p>
    <w:p w14:paraId="3DEEBA73" w14:textId="77777777" w:rsidR="00E25AB9" w:rsidRPr="00EB2E7B" w:rsidRDefault="00E25AB9" w:rsidP="00EE7359">
      <w:pPr>
        <w:pStyle w:val="aprzed"/>
        <w:numPr>
          <w:ilvl w:val="0"/>
          <w:numId w:val="272"/>
        </w:numPr>
        <w:ind w:left="1701" w:hanging="566"/>
        <w:rPr>
          <w:rFonts w:asciiTheme="minorHAnsi" w:hAnsiTheme="minorHAnsi" w:cstheme="minorHAnsi"/>
          <w:sz w:val="20"/>
          <w:szCs w:val="20"/>
        </w:rPr>
      </w:pPr>
      <w:r w:rsidRPr="00EB2E7B">
        <w:rPr>
          <w:rFonts w:asciiTheme="minorHAnsi" w:hAnsiTheme="minorHAnsi" w:cstheme="minorHAnsi"/>
          <w:sz w:val="20"/>
          <w:szCs w:val="20"/>
        </w:rPr>
        <w:t>bezpośredniego zagrożenia życia lub zdrowia osób,</w:t>
      </w:r>
    </w:p>
    <w:p w14:paraId="0A73A5F9" w14:textId="77777777" w:rsidR="00E25AB9" w:rsidRPr="00EB2E7B" w:rsidRDefault="00E25AB9" w:rsidP="00EE7359">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t>uszkodzenia lub zniszczenia urządzeń lub ich zespołów – wykorzystywanych bezpośrednio w procesach technologicznych,</w:t>
      </w:r>
    </w:p>
    <w:p w14:paraId="11B2ECEB" w14:textId="0D867345" w:rsidR="00E25AB9" w:rsidRPr="00EB2E7B" w:rsidRDefault="00E25AB9" w:rsidP="00EE7359">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t>zakłóceń w funkcjonowaniu urządzeń lub ich zespołów – przeznaczonych bezpośrednio do wytwarzani</w:t>
      </w:r>
      <w:r w:rsidR="00C15533" w:rsidRPr="00EB2E7B">
        <w:rPr>
          <w:rFonts w:asciiTheme="minorHAnsi" w:hAnsiTheme="minorHAnsi" w:cstheme="minorHAnsi"/>
          <w:sz w:val="20"/>
          <w:szCs w:val="20"/>
        </w:rPr>
        <w:t>a</w:t>
      </w:r>
      <w:r w:rsidRPr="00EB2E7B">
        <w:rPr>
          <w:rFonts w:asciiTheme="minorHAnsi" w:hAnsiTheme="minorHAnsi" w:cstheme="minorHAnsi"/>
          <w:sz w:val="20"/>
          <w:szCs w:val="20"/>
        </w:rPr>
        <w:t xml:space="preserve">, przesyłania lub dystrybucji energii elektrycznej lub ciepła lub do wydobycia, przesyłania lub dystrybucji paliw gazowych. </w:t>
      </w:r>
    </w:p>
    <w:p w14:paraId="1837B456" w14:textId="77777777" w:rsidR="00E25AB9" w:rsidRPr="00EB2E7B" w:rsidRDefault="00E25AB9" w:rsidP="009A432E">
      <w:pPr>
        <w:pStyle w:val="Nagwek4"/>
        <w:rPr>
          <w:rFonts w:asciiTheme="minorHAnsi" w:hAnsiTheme="minorHAnsi" w:cstheme="minorHAnsi"/>
          <w:sz w:val="20"/>
          <w:szCs w:val="20"/>
        </w:rPr>
      </w:pPr>
      <w:bookmarkStart w:id="214" w:name="_Ref130810907"/>
      <w:r w:rsidRPr="00EB2E7B">
        <w:rPr>
          <w:rFonts w:asciiTheme="minorHAnsi" w:hAnsiTheme="minorHAnsi" w:cstheme="minorHAnsi"/>
          <w:sz w:val="20"/>
          <w:szCs w:val="20"/>
        </w:rPr>
        <w:t xml:space="preserve">Ograniczenia w dostarczaniu i poborze energii elektrycznej wprowadzane w trybie normalnym dotyczą odbiorców w zakresie posiadanego przez nich obiektu, dla którego określona w umowach dystrybucyjnych i kompleksowych łączna wielkość mocy umownej wynosi co najmniej 300 </w:t>
      </w:r>
      <w:proofErr w:type="spellStart"/>
      <w:r w:rsidRPr="00EB2E7B">
        <w:rPr>
          <w:rFonts w:asciiTheme="minorHAnsi" w:hAnsiTheme="minorHAnsi" w:cstheme="minorHAnsi"/>
          <w:sz w:val="20"/>
          <w:szCs w:val="20"/>
        </w:rPr>
        <w:t>kW.</w:t>
      </w:r>
      <w:bookmarkEnd w:id="214"/>
      <w:proofErr w:type="spellEnd"/>
      <w:r w:rsidRPr="00EB2E7B">
        <w:rPr>
          <w:rFonts w:asciiTheme="minorHAnsi" w:hAnsiTheme="minorHAnsi" w:cstheme="minorHAnsi"/>
          <w:sz w:val="20"/>
          <w:szCs w:val="20"/>
        </w:rPr>
        <w:t xml:space="preserve"> </w:t>
      </w:r>
    </w:p>
    <w:p w14:paraId="2C0E0D3A" w14:textId="5D17BA15"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 przypadku, gdy odbiorca posiada więcej niż jeden obiekt, ograniczenia w dostarczaniu i poborze energii elektrycznej dotyczą każdego z obiektów, dla którego określona w umowach dystrybucyjnych i kompleksowych, łączna wielkość mocy umownej została ustalona w wysokości,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_Ref130810907 \r \h </w:instrText>
      </w:r>
      <w:r w:rsidR="00574C4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321E3693" w14:textId="7821DA3A" w:rsidR="00E25AB9" w:rsidRPr="00EB2E7B" w:rsidRDefault="00E25AB9" w:rsidP="009A432E">
      <w:pPr>
        <w:pStyle w:val="Nagwek4"/>
        <w:rPr>
          <w:rFonts w:asciiTheme="minorHAnsi" w:hAnsiTheme="minorHAnsi" w:cstheme="minorHAnsi"/>
          <w:sz w:val="20"/>
          <w:szCs w:val="20"/>
        </w:rPr>
      </w:pPr>
      <w:r>
        <w:rPr>
          <w:rFonts w:asciiTheme="minorHAnsi" w:hAnsiTheme="minorHAnsi" w:cstheme="minorHAnsi"/>
          <w:sz w:val="20"/>
          <w:szCs w:val="20"/>
        </w:rPr>
        <w:t>W przypadku, gdy obiekt jest przyłączony do sieci więcej niż jednego OSD, zasadę, o której mowa w pkt IV.3.2.4. stosuje się odrębnie dla każdego OSD, dla sumy mocy umownych określonych w umowach dystrybucyjnych i kompleksowych zawartych z tym ACPRO. Mocy umownych dla danego obiektu, które są określone w umowach dystrybucyjnych i kompleksowych zawartych z różnymi ACPRO, nie sumuje się.</w:t>
      </w:r>
    </w:p>
    <w:p w14:paraId="4C206A56" w14:textId="31E69854"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 przypadku, gdy odbiorca posiada obiekt, dla którego określona w umowach dystrybucyjnych i kompleksowych łączna wielkość mocy umownej może być różna w poszczególnych miesiącach, w zakresie tego obiektu odbiorca ten podlega ochronie przed ograniczeniami w tych miesiącach, dla których łączna wielkość mocy umownej ustalona została poniżej wysokości,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_Ref130810907 \r \h </w:instrText>
      </w:r>
      <w:r w:rsidR="00AE099E"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129C4348" w14:textId="0AAB65DC"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lastRenderedPageBreak/>
        <w:t xml:space="preserve">OSDn, w zakresie posiadanego obiektu przyłączonego do jego własnej sieci i podlegającego ograniczeniom, opracowuje taki sam plan </w:t>
      </w:r>
      <w:r w:rsidR="00805F6F" w:rsidRPr="00EB2E7B">
        <w:rPr>
          <w:rFonts w:asciiTheme="minorHAnsi" w:hAnsiTheme="minorHAnsi" w:cstheme="minorHAnsi"/>
          <w:sz w:val="20"/>
          <w:szCs w:val="20"/>
        </w:rPr>
        <w:t xml:space="preserve">ograniczeń </w:t>
      </w:r>
      <w:r w:rsidRPr="00EB2E7B">
        <w:rPr>
          <w:rFonts w:asciiTheme="minorHAnsi" w:hAnsiTheme="minorHAnsi" w:cstheme="minorHAnsi"/>
          <w:sz w:val="20"/>
          <w:szCs w:val="20"/>
        </w:rPr>
        <w:t>jak w przypadku obiektu</w:t>
      </w:r>
      <w:r w:rsidR="00805F6F" w:rsidRPr="00EB2E7B">
        <w:rPr>
          <w:rFonts w:asciiTheme="minorHAnsi" w:hAnsiTheme="minorHAnsi" w:cstheme="minorHAnsi"/>
          <w:sz w:val="20"/>
          <w:szCs w:val="20"/>
        </w:rPr>
        <w:t xml:space="preserve"> odbiorcy</w:t>
      </w:r>
      <w:r w:rsidRPr="00EB2E7B">
        <w:rPr>
          <w:rFonts w:asciiTheme="minorHAnsi" w:hAnsiTheme="minorHAnsi" w:cstheme="minorHAnsi"/>
          <w:sz w:val="20"/>
          <w:szCs w:val="20"/>
        </w:rPr>
        <w:t xml:space="preserve"> przyłączonego do tej sieci i uwzględnia go w planie wprowadzania ograniczeń przekazywanym do </w:t>
      </w:r>
      <w:proofErr w:type="spellStart"/>
      <w:r w:rsidRPr="00EB2E7B">
        <w:rPr>
          <w:rFonts w:asciiTheme="minorHAnsi" w:hAnsiTheme="minorHAnsi" w:cstheme="minorHAnsi"/>
          <w:sz w:val="20"/>
          <w:szCs w:val="20"/>
        </w:rPr>
        <w:t>OSD</w:t>
      </w:r>
      <w:r w:rsidR="005769DF"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 terminie określonym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_Ref130810940 \r \h </w:instrText>
      </w:r>
      <w:r w:rsidR="00F7467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IV.3.2.18</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0FCDD310" w14:textId="4097E4BB"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Opracowany przez ACPRO plan wprowadzania ograniczeń dla odbiorcy w zakresie posiadanego przez niego obiektu może być korygowany w przypadku,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_Ref130810948 \r \h </w:instrText>
      </w:r>
      <w:r w:rsidR="002C48C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aktualizowany w okresie, na jaki został opracowany. Zdania pierwszego nie stosuje się w okresie obowiązywania ograniczeń w dostarczaniu i poborze energii elektrycznej wprowadzanych na podstawie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_Ref130809412 \r \h </w:instrText>
      </w:r>
      <w:r w:rsidR="003D6232"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6626BF3D" w14:textId="77777777"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Dla istniejącego obiektu, zmiana mocy umownej lub przyłączenie nowego przyłącza, nie wymaga aktualizacji planu wprowadzania ograniczeń dla odbiorcy.</w:t>
      </w:r>
    </w:p>
    <w:p w14:paraId="77836A5D" w14:textId="77777777" w:rsidR="00E25AB9" w:rsidRPr="00EB2E7B" w:rsidRDefault="00E25AB9" w:rsidP="009A432E">
      <w:pPr>
        <w:pStyle w:val="Nagwek4"/>
        <w:rPr>
          <w:rFonts w:asciiTheme="minorHAnsi" w:hAnsiTheme="minorHAnsi" w:cstheme="minorHAnsi"/>
          <w:sz w:val="20"/>
          <w:szCs w:val="20"/>
        </w:rPr>
      </w:pPr>
      <w:bookmarkStart w:id="215" w:name="_Ref130810980"/>
      <w:r w:rsidRPr="00EB2E7B">
        <w:rPr>
          <w:rFonts w:asciiTheme="minorHAnsi" w:hAnsiTheme="minorHAnsi" w:cstheme="minorHAnsi"/>
          <w:sz w:val="20"/>
          <w:szCs w:val="20"/>
        </w:rPr>
        <w:t>Ochronie przed wprowadzanymi ograniczeniami w dostarczaniu i poborze energii elektrycznej podlega odbiorca w zakresie posiadanego przez siebie obiektu przez cały okres, dla którego określona w umowach dystrybucyjnych lub kompleksowych łączna wielkość mocy umownej wynosi poniżej 300 kW, oraz w zakresie obiektu:</w:t>
      </w:r>
      <w:bookmarkEnd w:id="215"/>
    </w:p>
    <w:p w14:paraId="07945E83" w14:textId="77777777" w:rsidR="00E25AB9" w:rsidRPr="00EB2E7B" w:rsidRDefault="00E25AB9" w:rsidP="00424813">
      <w:pPr>
        <w:pStyle w:val="aprzed"/>
        <w:numPr>
          <w:ilvl w:val="0"/>
          <w:numId w:val="273"/>
        </w:numPr>
        <w:ind w:left="1701" w:hanging="566"/>
        <w:rPr>
          <w:rFonts w:asciiTheme="minorHAnsi" w:hAnsiTheme="minorHAnsi" w:cstheme="minorHAnsi"/>
          <w:sz w:val="20"/>
          <w:szCs w:val="20"/>
        </w:rPr>
      </w:pPr>
      <w:r w:rsidRPr="00EB2E7B">
        <w:rPr>
          <w:rFonts w:asciiTheme="minorHAnsi" w:hAnsiTheme="minorHAnsi" w:cstheme="minorHAnsi"/>
          <w:sz w:val="20"/>
          <w:szCs w:val="20"/>
        </w:rPr>
        <w:t>będącego szpitalem i innym obiektem ratownictwa medycznego;</w:t>
      </w:r>
    </w:p>
    <w:p w14:paraId="61FA6A48" w14:textId="77777777" w:rsidR="00E25AB9" w:rsidRPr="00EB2E7B" w:rsidRDefault="00E25AB9" w:rsidP="00424813">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wymienionego w przepisach wydanych na podstawie art. 6 ust. 2 pkt 4 ustawy z dnia 21 listopada 1967 r. o powszechnym obowiązku obrony Rzeczypospolitej Polskiej (Dz.U. z 2021 r. poz. 372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w:t>
      </w:r>
    </w:p>
    <w:p w14:paraId="5ECC29D1" w14:textId="77777777" w:rsidR="00E25AB9" w:rsidRPr="00EB2E7B" w:rsidRDefault="00E25AB9" w:rsidP="00424813">
      <w:pPr>
        <w:pStyle w:val="aprzed"/>
        <w:numPr>
          <w:ilvl w:val="0"/>
          <w:numId w:val="11"/>
        </w:numPr>
        <w:ind w:left="1701" w:hanging="566"/>
        <w:rPr>
          <w:rFonts w:asciiTheme="minorHAnsi" w:hAnsiTheme="minorHAnsi" w:cstheme="minorHAnsi"/>
          <w:sz w:val="20"/>
          <w:szCs w:val="20"/>
        </w:rPr>
      </w:pPr>
      <w:r w:rsidRPr="00EB2E7B">
        <w:rPr>
          <w:rFonts w:asciiTheme="minorHAnsi" w:hAnsiTheme="minorHAnsi" w:cstheme="minorHAnsi"/>
          <w:sz w:val="20"/>
          <w:szCs w:val="20"/>
        </w:rPr>
        <w:t>wykorzystywanego bezpośrednio do:</w:t>
      </w:r>
    </w:p>
    <w:p w14:paraId="596D12B6" w14:textId="77777777" w:rsidR="00E25AB9" w:rsidRPr="00EB2E7B" w:rsidRDefault="00E25AB9" w:rsidP="00424813">
      <w:pPr>
        <w:pStyle w:val="Styl1"/>
        <w:ind w:left="2268" w:hanging="425"/>
        <w:rPr>
          <w:rFonts w:asciiTheme="minorHAnsi" w:hAnsiTheme="minorHAnsi" w:cstheme="minorHAnsi"/>
          <w:sz w:val="20"/>
          <w:szCs w:val="20"/>
        </w:rPr>
      </w:pPr>
      <w:r w:rsidRPr="00EB2E7B">
        <w:rPr>
          <w:rFonts w:asciiTheme="minorHAnsi" w:hAnsiTheme="minorHAnsi" w:cstheme="minorHAnsi"/>
          <w:sz w:val="20"/>
          <w:szCs w:val="20"/>
        </w:rPr>
        <w:t>nadawania programów radiowych i telewizyjnych o zasięgu ogólnokrajowym,</w:t>
      </w:r>
    </w:p>
    <w:p w14:paraId="4873BD83" w14:textId="77777777" w:rsidR="00E25AB9" w:rsidRPr="00EB2E7B" w:rsidRDefault="00E25AB9" w:rsidP="00424813">
      <w:pPr>
        <w:pStyle w:val="Styl1"/>
        <w:ind w:left="2268" w:hanging="425"/>
        <w:rPr>
          <w:rFonts w:asciiTheme="minorHAnsi" w:hAnsiTheme="minorHAnsi" w:cstheme="minorHAnsi"/>
          <w:sz w:val="20"/>
          <w:szCs w:val="20"/>
        </w:rPr>
      </w:pPr>
      <w:r w:rsidRPr="00EB2E7B">
        <w:rPr>
          <w:rFonts w:asciiTheme="minorHAnsi" w:hAnsiTheme="minorHAnsi" w:cstheme="minorHAnsi"/>
          <w:sz w:val="20"/>
          <w:szCs w:val="20"/>
        </w:rPr>
        <w:t>zapewnienia przewozu lotniczego, transportu kolejowego i publicznego transportu zbiorowego,</w:t>
      </w:r>
    </w:p>
    <w:p w14:paraId="1B3A2BED" w14:textId="77777777" w:rsidR="00E25AB9" w:rsidRPr="00EB2E7B" w:rsidRDefault="00E25AB9" w:rsidP="00424813">
      <w:pPr>
        <w:pStyle w:val="Styl1"/>
        <w:ind w:left="2268" w:hanging="425"/>
        <w:rPr>
          <w:rFonts w:asciiTheme="minorHAnsi" w:hAnsiTheme="minorHAnsi" w:cstheme="minorHAnsi"/>
          <w:sz w:val="20"/>
          <w:szCs w:val="20"/>
        </w:rPr>
      </w:pPr>
      <w:r w:rsidRPr="00EB2E7B">
        <w:rPr>
          <w:rFonts w:asciiTheme="minorHAnsi" w:hAnsiTheme="minorHAnsi" w:cstheme="minorHAnsi"/>
          <w:sz w:val="20"/>
          <w:szCs w:val="20"/>
        </w:rPr>
        <w:t>wydobywania paliw kopalnych ze złóż, ich przeróbki oraz dostarczania do odbiorców, w tym wydobywania, przesyłania lub dystrybucji paliw gazowych,</w:t>
      </w:r>
    </w:p>
    <w:p w14:paraId="21B3D4B4" w14:textId="77777777" w:rsidR="00E25AB9" w:rsidRPr="00EB2E7B" w:rsidRDefault="00E25AB9" w:rsidP="00424813">
      <w:pPr>
        <w:pStyle w:val="Styl1"/>
        <w:ind w:left="2268" w:hanging="425"/>
        <w:rPr>
          <w:rFonts w:asciiTheme="minorHAnsi" w:hAnsiTheme="minorHAnsi" w:cstheme="minorHAnsi"/>
          <w:sz w:val="20"/>
          <w:szCs w:val="20"/>
        </w:rPr>
      </w:pPr>
      <w:r w:rsidRPr="00EB2E7B">
        <w:rPr>
          <w:rFonts w:asciiTheme="minorHAnsi" w:hAnsiTheme="minorHAnsi" w:cstheme="minorHAnsi"/>
          <w:sz w:val="20"/>
          <w:szCs w:val="20"/>
        </w:rPr>
        <w:t>realizacji zadań wpływających w sposób istotny na spełnienie wymagań w zakresie ochrony środowiska, w tym odprowadzania i oczyszczania ścieków w zakresie zbiorowego odprowadzania ścieków,</w:t>
      </w:r>
    </w:p>
    <w:p w14:paraId="0AF3BA50" w14:textId="77777777" w:rsidR="00E25AB9" w:rsidRPr="00EB2E7B" w:rsidRDefault="00E25AB9" w:rsidP="00424813">
      <w:pPr>
        <w:pStyle w:val="Styl1"/>
        <w:ind w:left="2268" w:hanging="425"/>
        <w:rPr>
          <w:rFonts w:asciiTheme="minorHAnsi" w:hAnsiTheme="minorHAnsi" w:cstheme="minorHAnsi"/>
          <w:sz w:val="20"/>
          <w:szCs w:val="20"/>
        </w:rPr>
      </w:pPr>
      <w:r w:rsidRPr="00EB2E7B">
        <w:rPr>
          <w:rFonts w:asciiTheme="minorHAnsi" w:hAnsiTheme="minorHAnsi" w:cstheme="minorHAnsi"/>
          <w:sz w:val="20"/>
          <w:szCs w:val="20"/>
        </w:rPr>
        <w:t>wytwarzania, przesyłania lub dystrybucji energii elektrycznej lub ciepła,</w:t>
      </w:r>
    </w:p>
    <w:p w14:paraId="433F3606" w14:textId="1C288AEC" w:rsidR="00E25AB9" w:rsidRPr="00EB2E7B" w:rsidRDefault="00E25AB9" w:rsidP="00424813">
      <w:pPr>
        <w:pStyle w:val="Styl1"/>
        <w:ind w:left="2268" w:hanging="425"/>
        <w:rPr>
          <w:rFonts w:asciiTheme="minorHAnsi" w:hAnsiTheme="minorHAnsi" w:cstheme="minorHAnsi"/>
          <w:sz w:val="20"/>
          <w:szCs w:val="20"/>
        </w:rPr>
      </w:pPr>
      <w:r w:rsidRPr="00EB2E7B">
        <w:rPr>
          <w:rFonts w:asciiTheme="minorHAnsi" w:hAnsiTheme="minorHAnsi" w:cstheme="minorHAnsi"/>
          <w:sz w:val="20"/>
          <w:szCs w:val="20"/>
        </w:rPr>
        <w:t>wykonywania przez przedsiębiorców zadań na rzecz obronności państwa w zakresie mobilizacji gospodarki, o których mowa w art. 2 pkt 1 ustawy z dnia 23 sierpnia 200</w:t>
      </w:r>
      <w:r w:rsidR="008120D4" w:rsidRPr="00EB2E7B">
        <w:rPr>
          <w:rFonts w:asciiTheme="minorHAnsi" w:hAnsiTheme="minorHAnsi" w:cstheme="minorHAnsi"/>
          <w:sz w:val="20"/>
          <w:szCs w:val="20"/>
        </w:rPr>
        <w:t>1</w:t>
      </w:r>
      <w:r w:rsidRPr="00EB2E7B">
        <w:rPr>
          <w:rFonts w:asciiTheme="minorHAnsi" w:hAnsiTheme="minorHAnsi" w:cstheme="minorHAnsi"/>
          <w:sz w:val="20"/>
          <w:szCs w:val="20"/>
        </w:rPr>
        <w:t xml:space="preserve"> r. o organizowaniu zadań na rzecz obronności państwa realizowanych przez przedsiębiorców (Dz.U. z 2020 r. poz. 1669), w okresie uruchomienia programu mobilizacji gospodarki w zakresie realizacji tych zadań</w:t>
      </w:r>
    </w:p>
    <w:p w14:paraId="6B086F66" w14:textId="77777777" w:rsidR="00E25AB9" w:rsidRPr="00EB2E7B" w:rsidRDefault="00E25AB9" w:rsidP="00424813">
      <w:pPr>
        <w:pStyle w:val="aprzed"/>
        <w:numPr>
          <w:ilvl w:val="0"/>
          <w:numId w:val="0"/>
        </w:numPr>
        <w:ind w:left="1701"/>
        <w:rPr>
          <w:rFonts w:asciiTheme="minorHAnsi" w:hAnsiTheme="minorHAnsi" w:cstheme="minorHAnsi"/>
          <w:sz w:val="20"/>
          <w:szCs w:val="20"/>
        </w:rPr>
      </w:pPr>
      <w:r w:rsidRPr="00EB2E7B">
        <w:rPr>
          <w:rFonts w:asciiTheme="minorHAnsi" w:hAnsiTheme="minorHAnsi" w:cstheme="minorHAnsi"/>
          <w:sz w:val="20"/>
          <w:szCs w:val="20"/>
        </w:rPr>
        <w:t>- albo wyodrębnionej części obiektu wykorzystywanego do tych celów;</w:t>
      </w:r>
    </w:p>
    <w:p w14:paraId="3DA6997C" w14:textId="77777777" w:rsidR="00E25AB9" w:rsidRPr="00EB2E7B" w:rsidRDefault="00E25AB9" w:rsidP="00424813">
      <w:pPr>
        <w:pStyle w:val="aprzed"/>
        <w:numPr>
          <w:ilvl w:val="0"/>
          <w:numId w:val="53"/>
        </w:numPr>
        <w:ind w:left="1701" w:hanging="566"/>
        <w:rPr>
          <w:rFonts w:asciiTheme="minorHAnsi" w:hAnsiTheme="minorHAnsi" w:cstheme="minorHAnsi"/>
          <w:sz w:val="20"/>
          <w:szCs w:val="20"/>
        </w:rPr>
      </w:pPr>
      <w:bookmarkStart w:id="216" w:name="_Hlk127296301"/>
      <w:r w:rsidRPr="00EB2E7B">
        <w:rPr>
          <w:rFonts w:asciiTheme="minorHAnsi" w:hAnsiTheme="minorHAnsi" w:cstheme="minorHAnsi"/>
          <w:sz w:val="20"/>
          <w:szCs w:val="20"/>
        </w:rPr>
        <w:t>stanowiącego infrastrukturę krytyczną ujętą w wykazie, o którym mowa w art. 5b ust. 7 pkt 1 ustawy z dnia 26 kwietnia 2007 r. o zarządzaniu kryzysowym (Dz.U. z 2022 r. poz. 261) zlokalizowaną na terenie Rzeczypospolitej Polskiej</w:t>
      </w:r>
      <w:bookmarkEnd w:id="216"/>
      <w:r w:rsidRPr="00EB2E7B">
        <w:rPr>
          <w:rFonts w:asciiTheme="minorHAnsi" w:hAnsiTheme="minorHAnsi" w:cstheme="minorHAnsi"/>
          <w:sz w:val="20"/>
          <w:szCs w:val="20"/>
        </w:rPr>
        <w:t>.</w:t>
      </w:r>
    </w:p>
    <w:p w14:paraId="3B5B0695" w14:textId="5A664E2F" w:rsidR="00E25AB9" w:rsidRPr="00EB2E7B" w:rsidRDefault="00E25AB9" w:rsidP="009A432E">
      <w:pPr>
        <w:pStyle w:val="Nagwek4"/>
        <w:rPr>
          <w:rFonts w:asciiTheme="minorHAnsi" w:hAnsiTheme="minorHAnsi" w:cstheme="minorHAnsi"/>
          <w:sz w:val="20"/>
          <w:szCs w:val="20"/>
        </w:rPr>
      </w:pPr>
      <w:bookmarkStart w:id="217" w:name="_Hlk127297631"/>
      <w:bookmarkStart w:id="218" w:name="_Ref75515973"/>
      <w:r w:rsidRPr="00EB2E7B">
        <w:rPr>
          <w:rFonts w:asciiTheme="minorHAnsi" w:hAnsiTheme="minorHAnsi" w:cstheme="minorHAnsi"/>
          <w:sz w:val="20"/>
          <w:szCs w:val="20"/>
        </w:rPr>
        <w:lastRenderedPageBreak/>
        <w:t>Odbiorca będący jednocześnie ACPRO, nie podlega ograniczeniom w dostarczaniu i poborze energii elektrycznej w zakresie energii elektrycznej zużywanej na potrzeby wytwarzania, przesyłania lub dystrybucji energii elektrycznej</w:t>
      </w:r>
      <w:bookmarkEnd w:id="217"/>
      <w:r w:rsidRPr="00EB2E7B">
        <w:rPr>
          <w:rFonts w:asciiTheme="minorHAnsi" w:hAnsiTheme="minorHAnsi" w:cstheme="minorHAnsi"/>
          <w:sz w:val="20"/>
          <w:szCs w:val="20"/>
        </w:rPr>
        <w:t xml:space="preserve">. </w:t>
      </w:r>
      <w:bookmarkEnd w:id="218"/>
    </w:p>
    <w:p w14:paraId="2E18687B" w14:textId="7F0A17BD" w:rsidR="00E25AB9" w:rsidRPr="00EB2E7B" w:rsidRDefault="00E25AB9" w:rsidP="009A432E">
      <w:pPr>
        <w:pStyle w:val="Nagwek4"/>
        <w:rPr>
          <w:rFonts w:asciiTheme="minorHAnsi" w:hAnsiTheme="minorHAnsi" w:cstheme="minorHAnsi"/>
          <w:sz w:val="20"/>
          <w:szCs w:val="20"/>
        </w:rPr>
      </w:pPr>
      <w:bookmarkStart w:id="219" w:name="_Hlk127297655"/>
      <w:r w:rsidRPr="00EB2E7B">
        <w:rPr>
          <w:rFonts w:asciiTheme="minorHAnsi" w:hAnsiTheme="minorHAnsi" w:cstheme="minorHAnsi"/>
          <w:sz w:val="20"/>
          <w:szCs w:val="20"/>
        </w:rPr>
        <w:t xml:space="preserve">Obiekty albo wyodrębnione części tych obiektów,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_Ref130810980 \r \h </w:instrText>
      </w:r>
      <w:r w:rsidR="00D73CE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IV.3.2.10</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będące w posiadaniu odbiorcy podlegają ochronie, jeżeli zostały wyszczególnione, na wniosek i zgodnie z oświadczeniem tego odbiorcy, w umowach dystrybucyjnych albo kompleksowych – wzór wniosku zawierającego oświadczenie opracowuje ACPRO</w:t>
      </w:r>
      <w:r w:rsidR="00367BC3" w:rsidRPr="00EB2E7B">
        <w:rPr>
          <w:rFonts w:asciiTheme="minorHAnsi" w:hAnsiTheme="minorHAnsi" w:cstheme="minorHAnsi"/>
          <w:sz w:val="20"/>
          <w:szCs w:val="20"/>
        </w:rPr>
        <w:t xml:space="preserve"> oraz </w:t>
      </w:r>
      <w:r w:rsidRPr="00EB2E7B">
        <w:rPr>
          <w:rFonts w:asciiTheme="minorHAnsi" w:hAnsiTheme="minorHAnsi" w:cstheme="minorHAnsi"/>
          <w:sz w:val="20"/>
          <w:szCs w:val="20"/>
        </w:rPr>
        <w:t>umieszcza na swojej stronie internetowej. W przypadku umów kompleksowych, jeżeli wniosek o którym mowa w zdaniu pierwszym otrzymał sprzedawca, wówczas sprzedawca przekazuje go niezwłocznie do ACPRO, w formie elektronicznej na adres poczty elektronicznej wskazany w umowie GUD, w terminie nie dłuższym niż 3 dni robocze od otrzymania wniosku</w:t>
      </w:r>
      <w:bookmarkEnd w:id="219"/>
      <w:r w:rsidRPr="00EB2E7B">
        <w:rPr>
          <w:rFonts w:asciiTheme="minorHAnsi" w:hAnsiTheme="minorHAnsi" w:cstheme="minorHAnsi"/>
          <w:sz w:val="20"/>
          <w:szCs w:val="20"/>
        </w:rPr>
        <w:t>.</w:t>
      </w:r>
    </w:p>
    <w:p w14:paraId="796D152A" w14:textId="0812FCE7" w:rsidR="00E25AB9" w:rsidRPr="00EB2E7B" w:rsidRDefault="00E25AB9" w:rsidP="009A432E">
      <w:pPr>
        <w:pStyle w:val="Nagwek4"/>
        <w:rPr>
          <w:rFonts w:asciiTheme="minorHAnsi" w:hAnsiTheme="minorHAnsi" w:cstheme="minorHAnsi"/>
          <w:sz w:val="20"/>
          <w:szCs w:val="20"/>
        </w:rPr>
      </w:pPr>
      <w:bookmarkStart w:id="220" w:name="_Hlk127297703"/>
      <w:bookmarkStart w:id="221" w:name="_Ref130810948"/>
      <w:r w:rsidRPr="00EB2E7B">
        <w:rPr>
          <w:rFonts w:asciiTheme="minorHAnsi" w:hAnsiTheme="minorHAnsi" w:cstheme="minorHAnsi"/>
          <w:sz w:val="20"/>
          <w:szCs w:val="20"/>
        </w:rPr>
        <w:t xml:space="preserve">Odbiorca niezwłocznie informuje ACPRO, a w przypadku umów kompleksowych, również sprzedawcę, o ustaniu okoliczności uzasadniających podleganie ochronie,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_Ref130810980 \r \h </w:instrText>
      </w:r>
      <w:r w:rsidR="009E1C20"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IV.3.2.10</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zakresie posiadanego przez odbiorcę obiektu lub jego wyodrębnionej części</w:t>
      </w:r>
      <w:bookmarkEnd w:id="220"/>
      <w:r w:rsidRPr="00EB2E7B">
        <w:rPr>
          <w:rFonts w:asciiTheme="minorHAnsi" w:hAnsiTheme="minorHAnsi" w:cstheme="minorHAnsi"/>
          <w:sz w:val="20"/>
          <w:szCs w:val="20"/>
        </w:rPr>
        <w:t>.</w:t>
      </w:r>
      <w:bookmarkEnd w:id="221"/>
    </w:p>
    <w:p w14:paraId="68D1EE55" w14:textId="4CFDD895" w:rsidR="00E25AB9" w:rsidRPr="00EB2E7B" w:rsidRDefault="00E25AB9" w:rsidP="009A432E">
      <w:pPr>
        <w:pStyle w:val="Nagwek4"/>
        <w:rPr>
          <w:rFonts w:asciiTheme="minorHAnsi" w:hAnsiTheme="minorHAnsi" w:cstheme="minorHAnsi"/>
          <w:sz w:val="20"/>
          <w:szCs w:val="20"/>
        </w:rPr>
      </w:pPr>
      <w:bookmarkStart w:id="222" w:name="_Hlk127297737"/>
      <w:r w:rsidRPr="00EB2E7B">
        <w:rPr>
          <w:rFonts w:asciiTheme="minorHAnsi" w:hAnsiTheme="minorHAnsi" w:cstheme="minorHAnsi"/>
          <w:sz w:val="20"/>
          <w:szCs w:val="20"/>
        </w:rPr>
        <w:t xml:space="preserve">W przypadku gdy wielkość mocy, która zapewnia prawidłowe funkcjonowanie wyodrębnionej części obiektu podlegającej ochronie, nie została uwzględniona w wielkościach mocy minimalnej poboru i mocy maksymalnej poboru określonych dla tego obiektu i wyznaczonych w sposób określony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_Ref130811049 \r \h </w:instrText>
      </w:r>
      <w:r w:rsidR="00B20A3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odbiorca może wystąpić z uzasadnionym wnioskiem do ACPRO o korektę wielkości mocy określonych dla tego obiektu, jako całości, w stopniach zasilania,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_Ref130811065 \r \h </w:instrText>
      </w:r>
      <w:r w:rsidR="00E97B6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_Ref130811077 \r \h </w:instrText>
      </w:r>
      <w:r w:rsidR="00461B9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_Ref130811084 \r \h </w:instrText>
      </w:r>
      <w:r w:rsidR="00461B9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z zachowaniem zasady równomiernego podziału zakresu mocy,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_Ref130811065 \r \h </w:instrText>
      </w:r>
      <w:r w:rsidR="00E97B6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bookmarkEnd w:id="222"/>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_Ref130811106 \r \h </w:instrText>
      </w:r>
      <w:r w:rsidR="00461B9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58B1194E" w14:textId="77777777" w:rsidR="00E25AB9" w:rsidRPr="00EB2E7B" w:rsidRDefault="00E25AB9" w:rsidP="009A432E">
      <w:pPr>
        <w:pStyle w:val="Nagwek4"/>
        <w:rPr>
          <w:rFonts w:asciiTheme="minorHAnsi" w:hAnsiTheme="minorHAnsi" w:cstheme="minorHAnsi"/>
          <w:sz w:val="20"/>
          <w:szCs w:val="20"/>
        </w:rPr>
      </w:pPr>
      <w:bookmarkStart w:id="223" w:name="_Hlk127297764"/>
      <w:r w:rsidRPr="00EB2E7B">
        <w:rPr>
          <w:rFonts w:asciiTheme="minorHAnsi" w:hAnsiTheme="minorHAnsi" w:cstheme="minorHAnsi"/>
          <w:sz w:val="20"/>
          <w:szCs w:val="20"/>
        </w:rPr>
        <w:t>Podstawą opracowania przez ACPRO corocznie planów wprowadzania ograniczeń w trybie normalnym są plany wprowadzania ograniczeń dla odbiorców w zakresie posiadanych przez nich obiektów opracowywane przez ACPRO</w:t>
      </w:r>
      <w:bookmarkEnd w:id="223"/>
      <w:r w:rsidRPr="00EB2E7B">
        <w:rPr>
          <w:rFonts w:asciiTheme="minorHAnsi" w:hAnsiTheme="minorHAnsi" w:cstheme="minorHAnsi"/>
          <w:sz w:val="20"/>
          <w:szCs w:val="20"/>
        </w:rPr>
        <w:t>.</w:t>
      </w:r>
    </w:p>
    <w:p w14:paraId="1D24AACB" w14:textId="77777777" w:rsidR="00E25AB9" w:rsidRPr="00EB2E7B" w:rsidRDefault="00E25AB9" w:rsidP="009A432E">
      <w:pPr>
        <w:pStyle w:val="Nagwek4"/>
        <w:rPr>
          <w:rFonts w:asciiTheme="minorHAnsi" w:hAnsiTheme="minorHAnsi" w:cstheme="minorHAnsi"/>
          <w:sz w:val="20"/>
          <w:szCs w:val="20"/>
        </w:rPr>
      </w:pPr>
      <w:bookmarkStart w:id="224" w:name="_Hlk127297835"/>
      <w:bookmarkStart w:id="225" w:name="_Ref130811121"/>
      <w:r w:rsidRPr="00EB2E7B">
        <w:rPr>
          <w:rFonts w:asciiTheme="minorHAnsi" w:hAnsiTheme="minorHAnsi" w:cstheme="minorHAnsi"/>
          <w:sz w:val="20"/>
          <w:szCs w:val="20"/>
        </w:rPr>
        <w:t>Plan wprowadzania ograniczeń w zakresie obiektu opracowuje się, w formie dokumentowej, na podstawie wielkości mocy obowiązujących odbiorcę w danym obiekcie, według stanu na dzień 1 stycznia danego roku, i przekazuje się te wielkości odbiorcy, w formie dokumentowej, w terminie do dnia 15 kwietnia danego roku</w:t>
      </w:r>
      <w:bookmarkEnd w:id="224"/>
      <w:r w:rsidRPr="00EB2E7B">
        <w:rPr>
          <w:rFonts w:asciiTheme="minorHAnsi" w:hAnsiTheme="minorHAnsi" w:cstheme="minorHAnsi"/>
          <w:sz w:val="20"/>
          <w:szCs w:val="20"/>
        </w:rPr>
        <w:t>.</w:t>
      </w:r>
      <w:bookmarkEnd w:id="225"/>
    </w:p>
    <w:p w14:paraId="22B8DEFA" w14:textId="32543971" w:rsidR="00E25AB9" w:rsidRPr="00EB2E7B" w:rsidRDefault="00E25AB9" w:rsidP="009A432E">
      <w:pPr>
        <w:pStyle w:val="Nagwek4"/>
        <w:rPr>
          <w:rFonts w:asciiTheme="minorHAnsi" w:hAnsiTheme="minorHAnsi" w:cstheme="minorHAnsi"/>
          <w:sz w:val="20"/>
          <w:szCs w:val="20"/>
        </w:rPr>
      </w:pPr>
      <w:bookmarkStart w:id="226" w:name="_Hlk127297879"/>
      <w:r w:rsidRPr="00EB2E7B">
        <w:rPr>
          <w:rFonts w:asciiTheme="minorHAnsi" w:hAnsiTheme="minorHAnsi" w:cstheme="minorHAnsi"/>
          <w:sz w:val="20"/>
          <w:szCs w:val="20"/>
        </w:rPr>
        <w:t xml:space="preserve">Plan wprowadzania ograniczeń,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_Ref130811121 \r \h </w:instrText>
      </w:r>
      <w:r w:rsidR="00357C4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IV.3.2.16</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opracowuje się na okres od dnia 1 czerwca danego roku do dnia 31 maja roku następnego</w:t>
      </w:r>
      <w:bookmarkEnd w:id="226"/>
      <w:r w:rsidRPr="00EB2E7B">
        <w:rPr>
          <w:rFonts w:asciiTheme="minorHAnsi" w:hAnsiTheme="minorHAnsi" w:cstheme="minorHAnsi"/>
          <w:sz w:val="20"/>
          <w:szCs w:val="20"/>
        </w:rPr>
        <w:t>.</w:t>
      </w:r>
    </w:p>
    <w:p w14:paraId="294EDD43" w14:textId="382CF505" w:rsidR="00E25AB9" w:rsidRPr="00EB2E7B" w:rsidRDefault="00E25AB9" w:rsidP="009A432E">
      <w:pPr>
        <w:pStyle w:val="Nagwek4"/>
        <w:rPr>
          <w:rFonts w:asciiTheme="minorHAnsi" w:hAnsiTheme="minorHAnsi" w:cstheme="minorHAnsi"/>
          <w:sz w:val="20"/>
          <w:szCs w:val="20"/>
        </w:rPr>
      </w:pPr>
      <w:bookmarkStart w:id="227" w:name="_Hlk127297899"/>
      <w:bookmarkStart w:id="228" w:name="_Ref130810940"/>
      <w:r w:rsidRPr="00EB2E7B">
        <w:rPr>
          <w:rFonts w:asciiTheme="minorHAnsi" w:hAnsiTheme="minorHAnsi" w:cstheme="minorHAnsi"/>
          <w:sz w:val="20"/>
          <w:szCs w:val="20"/>
        </w:rPr>
        <w:t>OSDn, przekazuje</w:t>
      </w:r>
      <w:r w:rsidR="005E4F9C" w:rsidRPr="00EB2E7B">
        <w:rPr>
          <w:rFonts w:asciiTheme="minorHAnsi" w:hAnsiTheme="minorHAnsi" w:cstheme="minorHAnsi"/>
          <w:sz w:val="20"/>
          <w:szCs w:val="20"/>
        </w:rPr>
        <w:t xml:space="preserve"> za pośrednictwem </w:t>
      </w:r>
      <w:r w:rsidR="00246E7F" w:rsidRPr="00EB2E7B">
        <w:rPr>
          <w:rFonts w:asciiTheme="minorHAnsi" w:hAnsiTheme="minorHAnsi" w:cstheme="minorHAnsi"/>
          <w:sz w:val="20"/>
          <w:szCs w:val="20"/>
        </w:rPr>
        <w:t xml:space="preserve">ACPRO, </w:t>
      </w:r>
      <w:r w:rsidR="001F6911" w:rsidRPr="00EB2E7B">
        <w:rPr>
          <w:rFonts w:asciiTheme="minorHAnsi" w:hAnsiTheme="minorHAnsi" w:cstheme="minorHAnsi"/>
          <w:sz w:val="20"/>
          <w:szCs w:val="20"/>
        </w:rPr>
        <w:t xml:space="preserve">który jest </w:t>
      </w:r>
      <w:r w:rsidR="005E4F9C" w:rsidRPr="00EB2E7B">
        <w:rPr>
          <w:rFonts w:asciiTheme="minorHAnsi" w:hAnsiTheme="minorHAnsi" w:cstheme="minorHAnsi"/>
          <w:sz w:val="20"/>
          <w:szCs w:val="20"/>
        </w:rPr>
        <w:t>OSDn</w:t>
      </w:r>
      <w:r w:rsidR="00AB5749" w:rsidRPr="00EB2E7B">
        <w:rPr>
          <w:rFonts w:asciiTheme="minorHAnsi" w:hAnsiTheme="minorHAnsi" w:cstheme="minorHAnsi"/>
          <w:sz w:val="20"/>
          <w:szCs w:val="20"/>
        </w:rPr>
        <w:t xml:space="preserve"> posiadając</w:t>
      </w:r>
      <w:r w:rsidR="001F6911" w:rsidRPr="00EB2E7B">
        <w:rPr>
          <w:rFonts w:asciiTheme="minorHAnsi" w:hAnsiTheme="minorHAnsi" w:cstheme="minorHAnsi"/>
          <w:sz w:val="20"/>
          <w:szCs w:val="20"/>
        </w:rPr>
        <w:t>ym</w:t>
      </w:r>
      <w:r w:rsidR="00AB5749" w:rsidRPr="00EB2E7B">
        <w:rPr>
          <w:rFonts w:asciiTheme="minorHAnsi" w:hAnsiTheme="minorHAnsi" w:cstheme="minorHAnsi"/>
          <w:sz w:val="20"/>
          <w:szCs w:val="20"/>
        </w:rPr>
        <w:t xml:space="preserve"> połączenie dla danego obszaru sieci z </w:t>
      </w:r>
      <w:proofErr w:type="spellStart"/>
      <w:r w:rsidR="00AB5749" w:rsidRPr="00EB2E7B">
        <w:rPr>
          <w:rFonts w:asciiTheme="minorHAnsi" w:hAnsiTheme="minorHAnsi" w:cstheme="minorHAnsi"/>
          <w:sz w:val="20"/>
          <w:szCs w:val="20"/>
        </w:rPr>
        <w:t>OSDp</w:t>
      </w:r>
      <w:proofErr w:type="spellEnd"/>
      <w:r w:rsidR="007E49F3" w:rsidRPr="00EB2E7B">
        <w:rPr>
          <w:rFonts w:asciiTheme="minorHAnsi" w:hAnsiTheme="minorHAnsi" w:cstheme="minorHAnsi"/>
          <w:sz w:val="20"/>
          <w:szCs w:val="20"/>
        </w:rPr>
        <w:t>,</w:t>
      </w:r>
      <w:r w:rsidRPr="00EB2E7B">
        <w:rPr>
          <w:rFonts w:asciiTheme="minorHAnsi" w:hAnsiTheme="minorHAnsi" w:cstheme="minorHAnsi"/>
          <w:sz w:val="20"/>
          <w:szCs w:val="20"/>
        </w:rPr>
        <w:t xml:space="preserve"> w terminie do dnia 15 marca danego roku swój plan wprowadzania ograniczeń do </w:t>
      </w:r>
      <w:proofErr w:type="spellStart"/>
      <w:r w:rsidRPr="00EB2E7B">
        <w:rPr>
          <w:rFonts w:asciiTheme="minorHAnsi" w:hAnsiTheme="minorHAnsi" w:cstheme="minorHAnsi"/>
          <w:sz w:val="20"/>
          <w:szCs w:val="20"/>
        </w:rPr>
        <w:t>OSD</w:t>
      </w:r>
      <w:r w:rsidR="00B935F2"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 celu uwzględnienia tego planu w planie wprowadzania ograniczeń </w:t>
      </w:r>
      <w:proofErr w:type="spellStart"/>
      <w:r w:rsidRPr="00EB2E7B">
        <w:rPr>
          <w:rFonts w:asciiTheme="minorHAnsi" w:hAnsiTheme="minorHAnsi" w:cstheme="minorHAnsi"/>
          <w:sz w:val="20"/>
          <w:szCs w:val="20"/>
        </w:rPr>
        <w:t>OSD</w:t>
      </w:r>
      <w:bookmarkEnd w:id="227"/>
      <w:r w:rsidR="00B935F2"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w:t>
      </w:r>
      <w:bookmarkEnd w:id="228"/>
    </w:p>
    <w:p w14:paraId="518B0EE8" w14:textId="36D63D91" w:rsidR="00E25AB9" w:rsidRPr="00EB2E7B" w:rsidRDefault="00E25AB9" w:rsidP="009A432E">
      <w:pPr>
        <w:pStyle w:val="Nagwek4"/>
        <w:rPr>
          <w:rFonts w:asciiTheme="minorHAnsi" w:hAnsiTheme="minorHAnsi" w:cstheme="minorHAnsi"/>
          <w:sz w:val="20"/>
          <w:szCs w:val="20"/>
        </w:rPr>
      </w:pPr>
      <w:bookmarkStart w:id="229" w:name="_Hlk127297920"/>
      <w:proofErr w:type="spellStart"/>
      <w:r w:rsidRPr="00EB2E7B">
        <w:rPr>
          <w:rFonts w:asciiTheme="minorHAnsi" w:hAnsiTheme="minorHAnsi" w:cstheme="minorHAnsi"/>
          <w:sz w:val="20"/>
          <w:szCs w:val="20"/>
        </w:rPr>
        <w:t>OSD</w:t>
      </w:r>
      <w:r w:rsidR="00FE6751"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przekazuje OSP w terminie do dnia </w:t>
      </w:r>
      <w:r w:rsidR="00A11E56" w:rsidRPr="00EB2E7B">
        <w:rPr>
          <w:rFonts w:asciiTheme="minorHAnsi" w:hAnsiTheme="minorHAnsi" w:cstheme="minorHAnsi"/>
          <w:sz w:val="20"/>
          <w:szCs w:val="20"/>
        </w:rPr>
        <w:t>31</w:t>
      </w:r>
      <w:r w:rsidRPr="00EB2E7B">
        <w:rPr>
          <w:rFonts w:asciiTheme="minorHAnsi" w:hAnsiTheme="minorHAnsi" w:cstheme="minorHAnsi"/>
          <w:sz w:val="20"/>
          <w:szCs w:val="20"/>
        </w:rPr>
        <w:t xml:space="preserve"> marca danego roku swój plan wprowadzania ograniczeń w celu jego uwzględnienia w planie </w:t>
      </w:r>
      <w:r w:rsidR="004900DC" w:rsidRPr="00EB2E7B">
        <w:rPr>
          <w:rFonts w:asciiTheme="minorHAnsi" w:hAnsiTheme="minorHAnsi" w:cstheme="minorHAnsi"/>
          <w:sz w:val="20"/>
          <w:szCs w:val="20"/>
        </w:rPr>
        <w:t xml:space="preserve">wprowadzania </w:t>
      </w:r>
      <w:r w:rsidRPr="00EB2E7B">
        <w:rPr>
          <w:rFonts w:asciiTheme="minorHAnsi" w:hAnsiTheme="minorHAnsi" w:cstheme="minorHAnsi"/>
          <w:sz w:val="20"/>
          <w:szCs w:val="20"/>
        </w:rPr>
        <w:t>ograniczeń OSP</w:t>
      </w:r>
      <w:bookmarkEnd w:id="229"/>
      <w:r w:rsidRPr="00EB2E7B">
        <w:rPr>
          <w:rFonts w:asciiTheme="minorHAnsi" w:hAnsiTheme="minorHAnsi" w:cstheme="minorHAnsi"/>
          <w:sz w:val="20"/>
          <w:szCs w:val="20"/>
        </w:rPr>
        <w:t>.</w:t>
      </w:r>
    </w:p>
    <w:p w14:paraId="5EC7C3A1" w14:textId="6B8021BA" w:rsidR="00E25AB9" w:rsidRPr="00EB2E7B" w:rsidRDefault="00E25AB9" w:rsidP="009A432E">
      <w:pPr>
        <w:pStyle w:val="Nagwek4"/>
        <w:rPr>
          <w:rFonts w:asciiTheme="minorHAnsi" w:hAnsiTheme="minorHAnsi" w:cstheme="minorHAnsi"/>
          <w:sz w:val="20"/>
          <w:szCs w:val="20"/>
        </w:rPr>
      </w:pPr>
      <w:bookmarkStart w:id="230" w:name="_Hlk127297943"/>
      <w:r w:rsidRPr="00EB2E7B">
        <w:rPr>
          <w:rFonts w:asciiTheme="minorHAnsi" w:hAnsiTheme="minorHAnsi" w:cstheme="minorHAnsi"/>
          <w:sz w:val="20"/>
          <w:szCs w:val="20"/>
        </w:rPr>
        <w:t xml:space="preserve">Aktualizacja planów wprowadzania ograniczeń dla obiektów odbiorców nie powoduje konieczności aktualizacji planu wprowadzania ograniczeń OSDn, ACPRO i </w:t>
      </w:r>
      <w:proofErr w:type="spellStart"/>
      <w:r w:rsidRPr="00EB2E7B">
        <w:rPr>
          <w:rFonts w:asciiTheme="minorHAnsi" w:hAnsiTheme="minorHAnsi" w:cstheme="minorHAnsi"/>
          <w:sz w:val="20"/>
          <w:szCs w:val="20"/>
        </w:rPr>
        <w:t>OSDp</w:t>
      </w:r>
      <w:bookmarkEnd w:id="230"/>
      <w:proofErr w:type="spellEnd"/>
      <w:r w:rsidRPr="00EB2E7B">
        <w:rPr>
          <w:rFonts w:asciiTheme="minorHAnsi" w:hAnsiTheme="minorHAnsi" w:cstheme="minorHAnsi"/>
          <w:sz w:val="20"/>
          <w:szCs w:val="20"/>
        </w:rPr>
        <w:t>.</w:t>
      </w:r>
    </w:p>
    <w:p w14:paraId="30A8E02A" w14:textId="77777777" w:rsidR="00E25AB9" w:rsidRPr="00EB2E7B" w:rsidRDefault="00E25AB9" w:rsidP="009A432E">
      <w:pPr>
        <w:pStyle w:val="Nagwek4"/>
        <w:rPr>
          <w:rFonts w:asciiTheme="minorHAnsi" w:hAnsiTheme="minorHAnsi" w:cstheme="minorHAnsi"/>
          <w:sz w:val="20"/>
          <w:szCs w:val="20"/>
        </w:rPr>
      </w:pPr>
      <w:bookmarkStart w:id="231" w:name="_Hlk127297957"/>
      <w:bookmarkStart w:id="232" w:name="_Ref130811186"/>
      <w:r w:rsidRPr="00EB2E7B">
        <w:rPr>
          <w:rFonts w:asciiTheme="minorHAnsi" w:hAnsiTheme="minorHAnsi" w:cstheme="minorHAnsi"/>
          <w:sz w:val="20"/>
          <w:szCs w:val="20"/>
        </w:rPr>
        <w:t>Plan wprowadzania ograniczeń opracowywany przez OSP podlega uzgodnieniu z Prezesem URE w terminie do dnia 31 maja danego roku. OSP przedstawia Prezesowi URE plan wprowadzania ograniczeń do uzgodnienia nie później niż do dnia 30 kwietnia danego roku</w:t>
      </w:r>
      <w:bookmarkEnd w:id="231"/>
      <w:r w:rsidRPr="00EB2E7B">
        <w:rPr>
          <w:rFonts w:asciiTheme="minorHAnsi" w:hAnsiTheme="minorHAnsi" w:cstheme="minorHAnsi"/>
          <w:sz w:val="20"/>
          <w:szCs w:val="20"/>
        </w:rPr>
        <w:t>.</w:t>
      </w:r>
      <w:bookmarkEnd w:id="232"/>
    </w:p>
    <w:p w14:paraId="59AC7B94" w14:textId="77777777" w:rsidR="00E25AB9" w:rsidRPr="00EB2E7B" w:rsidRDefault="00E25AB9" w:rsidP="009A432E">
      <w:pPr>
        <w:pStyle w:val="Nagwek4"/>
        <w:rPr>
          <w:rFonts w:asciiTheme="minorHAnsi" w:hAnsiTheme="minorHAnsi" w:cstheme="minorHAnsi"/>
          <w:sz w:val="20"/>
          <w:szCs w:val="20"/>
        </w:rPr>
      </w:pPr>
      <w:bookmarkStart w:id="233" w:name="_Hlk127297976"/>
      <w:bookmarkStart w:id="234" w:name="_Ref130811065"/>
      <w:r w:rsidRPr="00EB2E7B">
        <w:rPr>
          <w:rFonts w:asciiTheme="minorHAnsi" w:hAnsiTheme="minorHAnsi" w:cstheme="minorHAnsi"/>
          <w:sz w:val="20"/>
          <w:szCs w:val="20"/>
        </w:rPr>
        <w:lastRenderedPageBreak/>
        <w:t>Wielkości planowanych ograniczeń w dostarczaniu i poborze energii elektrycznej, określa się w stopniach zasilania od 11 do 20, przy czym</w:t>
      </w:r>
      <w:bookmarkEnd w:id="233"/>
      <w:r w:rsidRPr="00EB2E7B">
        <w:rPr>
          <w:rFonts w:asciiTheme="minorHAnsi" w:hAnsiTheme="minorHAnsi" w:cstheme="minorHAnsi"/>
          <w:sz w:val="20"/>
          <w:szCs w:val="20"/>
        </w:rPr>
        <w:t>:</w:t>
      </w:r>
      <w:bookmarkEnd w:id="234"/>
    </w:p>
    <w:p w14:paraId="490DD22E" w14:textId="77777777" w:rsidR="00E25AB9" w:rsidRPr="00EB2E7B" w:rsidRDefault="00E25AB9" w:rsidP="00092C05">
      <w:pPr>
        <w:pStyle w:val="aprzed"/>
        <w:numPr>
          <w:ilvl w:val="0"/>
          <w:numId w:val="274"/>
        </w:numPr>
        <w:ind w:left="1701" w:hanging="566"/>
        <w:rPr>
          <w:rFonts w:asciiTheme="minorHAnsi" w:hAnsiTheme="minorHAnsi" w:cstheme="minorHAnsi"/>
          <w:sz w:val="20"/>
          <w:szCs w:val="20"/>
        </w:rPr>
      </w:pPr>
      <w:bookmarkStart w:id="235" w:name="_Hlk127298006"/>
      <w:r w:rsidRPr="00EB2E7B">
        <w:rPr>
          <w:rFonts w:asciiTheme="minorHAnsi" w:hAnsiTheme="minorHAnsi" w:cstheme="minorHAnsi"/>
          <w:sz w:val="20"/>
          <w:szCs w:val="20"/>
        </w:rPr>
        <w:t>11 stopień zasilania określa, że odbiorca może pobierać moc w obiekcie w wielkościach i na zasadach określonych w umowach dystrybucyjnych albo kompleksowych</w:t>
      </w:r>
      <w:bookmarkEnd w:id="235"/>
      <w:r w:rsidRPr="00EB2E7B">
        <w:rPr>
          <w:rFonts w:asciiTheme="minorHAnsi" w:hAnsiTheme="minorHAnsi" w:cstheme="minorHAnsi"/>
          <w:sz w:val="20"/>
          <w:szCs w:val="20"/>
        </w:rPr>
        <w:t>,</w:t>
      </w:r>
    </w:p>
    <w:p w14:paraId="3244FA64" w14:textId="3449E3AF" w:rsidR="00E25AB9" w:rsidRPr="00EB2E7B" w:rsidRDefault="00E25AB9" w:rsidP="00092C05">
      <w:pPr>
        <w:pStyle w:val="aprzed"/>
        <w:numPr>
          <w:ilvl w:val="0"/>
          <w:numId w:val="11"/>
        </w:numPr>
        <w:ind w:left="1701" w:hanging="566"/>
        <w:rPr>
          <w:rFonts w:asciiTheme="minorHAnsi" w:hAnsiTheme="minorHAnsi" w:cstheme="minorHAnsi"/>
          <w:sz w:val="20"/>
          <w:szCs w:val="20"/>
        </w:rPr>
      </w:pPr>
      <w:bookmarkStart w:id="236" w:name="_Hlk127298026"/>
      <w:bookmarkStart w:id="237" w:name="_Ref130811077"/>
      <w:r w:rsidRPr="00EB2E7B">
        <w:rPr>
          <w:rFonts w:asciiTheme="minorHAnsi" w:hAnsiTheme="minorHAnsi" w:cstheme="minorHAnsi"/>
          <w:sz w:val="20"/>
          <w:szCs w:val="20"/>
        </w:rPr>
        <w:t xml:space="preserve">12 stopień zasilania określa, że odbiorca może pobierać w obiekcie łączną moc do wysokości mocy maksymalnej poboru, określonej dla tego obiektu, zgodnie z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_Ref130811049 \r \h </w:instrText>
      </w:r>
      <w:r w:rsidR="00E97B6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bookmarkEnd w:id="236"/>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_Ref130811151 \r \h </w:instrText>
      </w:r>
      <w:r w:rsidR="00B40CEA"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237"/>
    </w:p>
    <w:p w14:paraId="1B469357" w14:textId="48199510" w:rsidR="00E25AB9" w:rsidRPr="00EB2E7B" w:rsidRDefault="00E25AB9" w:rsidP="00092C05">
      <w:pPr>
        <w:pStyle w:val="aprzed"/>
        <w:numPr>
          <w:ilvl w:val="0"/>
          <w:numId w:val="11"/>
        </w:numPr>
        <w:ind w:left="1701" w:hanging="566"/>
        <w:rPr>
          <w:rFonts w:asciiTheme="minorHAnsi" w:hAnsiTheme="minorHAnsi" w:cstheme="minorHAnsi"/>
          <w:sz w:val="20"/>
          <w:szCs w:val="20"/>
        </w:rPr>
      </w:pPr>
      <w:bookmarkStart w:id="238" w:name="_Ref130811084"/>
      <w:r w:rsidRPr="00EB2E7B">
        <w:rPr>
          <w:rFonts w:asciiTheme="minorHAnsi" w:hAnsiTheme="minorHAnsi" w:cstheme="minorHAnsi"/>
          <w:sz w:val="20"/>
          <w:szCs w:val="20"/>
        </w:rPr>
        <w:t xml:space="preserve">20 stopień zasilania określa, że odbiorca może pobierać w obiekcie łączną moc do wysokości mocy minimalnej poboru, określonej dla tego obiektu zgodnie z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_Ref130811049 \r \h </w:instrText>
      </w:r>
      <w:r w:rsidR="00E97B6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_Ref130811165 \r \h </w:instrText>
      </w:r>
      <w:r w:rsidR="0074137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238"/>
    </w:p>
    <w:p w14:paraId="7D8F2F3E" w14:textId="77777777" w:rsidR="00E25AB9" w:rsidRPr="00EB2E7B" w:rsidRDefault="00E25AB9" w:rsidP="00092C05">
      <w:pPr>
        <w:pStyle w:val="aprzed"/>
        <w:numPr>
          <w:ilvl w:val="0"/>
          <w:numId w:val="11"/>
        </w:numPr>
        <w:ind w:left="1701" w:hanging="566"/>
        <w:rPr>
          <w:rFonts w:asciiTheme="minorHAnsi" w:hAnsiTheme="minorHAnsi" w:cstheme="minorHAnsi"/>
          <w:sz w:val="20"/>
          <w:szCs w:val="20"/>
        </w:rPr>
      </w:pPr>
      <w:bookmarkStart w:id="239" w:name="_Hlk127298059"/>
      <w:bookmarkStart w:id="240" w:name="_Ref130811106"/>
      <w:r w:rsidRPr="00EB2E7B">
        <w:rPr>
          <w:rFonts w:asciiTheme="minorHAnsi" w:hAnsiTheme="minorHAnsi" w:cstheme="minorHAnsi"/>
          <w:sz w:val="20"/>
          <w:szCs w:val="20"/>
        </w:rPr>
        <w:t>wielkości łączne maksymalnych mocy określone dla obiektu, które odbiorca może pobierać, w stopniach zasilania od 12 do 20, wynikają z równomiernego podziału zakresu mocy - od wielkości mocy maksymalnej poboru, określonej dla 12 stopnia zasilania, do wielkości mocy minimalnej poboru, określonej dla 20 stopnia zasilania</w:t>
      </w:r>
      <w:bookmarkEnd w:id="239"/>
      <w:r w:rsidRPr="00EB2E7B">
        <w:rPr>
          <w:rFonts w:asciiTheme="minorHAnsi" w:hAnsiTheme="minorHAnsi" w:cstheme="minorHAnsi"/>
          <w:sz w:val="20"/>
          <w:szCs w:val="20"/>
        </w:rPr>
        <w:t>.</w:t>
      </w:r>
      <w:bookmarkEnd w:id="240"/>
    </w:p>
    <w:p w14:paraId="79145807" w14:textId="77777777" w:rsidR="00E25AB9" w:rsidRPr="00EB2E7B" w:rsidRDefault="00E25AB9" w:rsidP="009A432E">
      <w:pPr>
        <w:pStyle w:val="Nagwek4"/>
        <w:rPr>
          <w:rFonts w:asciiTheme="minorHAnsi" w:hAnsiTheme="minorHAnsi" w:cstheme="minorHAnsi"/>
          <w:sz w:val="20"/>
          <w:szCs w:val="20"/>
        </w:rPr>
      </w:pPr>
      <w:bookmarkStart w:id="241" w:name="_Hlk127298087"/>
      <w:r w:rsidRPr="00EB2E7B">
        <w:rPr>
          <w:rFonts w:asciiTheme="minorHAnsi" w:hAnsiTheme="minorHAnsi" w:cstheme="minorHAnsi"/>
          <w:sz w:val="20"/>
          <w:szCs w:val="20"/>
        </w:rPr>
        <w:t>W poszczególnych stopniach zasilania odbiorca może pobierać w obiekcie łączną moc o wielkości nie wyższej niż wielkość mocy, która jest określona dla danego stopnia zasilania dla tego obiektu</w:t>
      </w:r>
      <w:bookmarkEnd w:id="241"/>
      <w:r w:rsidRPr="00EB2E7B">
        <w:rPr>
          <w:rFonts w:asciiTheme="minorHAnsi" w:hAnsiTheme="minorHAnsi" w:cstheme="minorHAnsi"/>
          <w:sz w:val="20"/>
          <w:szCs w:val="20"/>
        </w:rPr>
        <w:t>.</w:t>
      </w:r>
    </w:p>
    <w:p w14:paraId="1C820426" w14:textId="4E641EC4" w:rsidR="00E25AB9" w:rsidRPr="00EB2E7B" w:rsidRDefault="00E25AB9" w:rsidP="009A432E">
      <w:pPr>
        <w:pStyle w:val="Nagwek4"/>
        <w:rPr>
          <w:rFonts w:asciiTheme="minorHAnsi" w:hAnsiTheme="minorHAnsi" w:cstheme="minorHAnsi"/>
          <w:sz w:val="20"/>
          <w:szCs w:val="20"/>
        </w:rPr>
      </w:pPr>
      <w:bookmarkStart w:id="242" w:name="_Hlk127298110"/>
      <w:r w:rsidRPr="00EB2E7B">
        <w:rPr>
          <w:rFonts w:asciiTheme="minorHAnsi" w:hAnsiTheme="minorHAnsi" w:cstheme="minorHAnsi"/>
          <w:sz w:val="20"/>
          <w:szCs w:val="20"/>
        </w:rPr>
        <w:t xml:space="preserve">Wielkości łączne mocy określone dla obiektu, obowiązujące odbiorcę w stopniach zasilania od 12 do 20, zawarte w planie wprowadzania ograniczeń dla odbiorcy w zakresie posiadanego przez niego obiektu, są przekazywane odbiorcy przez ACPRO w sposób określony w pkt </w:t>
      </w:r>
      <w:bookmarkEnd w:id="242"/>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_Ref130811175 \r \h </w:instrText>
      </w:r>
      <w:r w:rsidR="006914A1"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IV.3.2.27</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42E5E62B" w14:textId="759D1088" w:rsidR="00E25AB9" w:rsidRPr="00EB2E7B" w:rsidRDefault="00E25AB9" w:rsidP="009A432E">
      <w:pPr>
        <w:pStyle w:val="Nagwek4"/>
        <w:rPr>
          <w:rFonts w:asciiTheme="minorHAnsi" w:hAnsiTheme="minorHAnsi" w:cstheme="minorHAnsi"/>
          <w:sz w:val="20"/>
          <w:szCs w:val="20"/>
        </w:rPr>
      </w:pPr>
      <w:bookmarkStart w:id="243" w:name="_Hlk127298131"/>
      <w:bookmarkStart w:id="244" w:name="_Ref130811049"/>
      <w:r w:rsidRPr="00EB2E7B">
        <w:rPr>
          <w:rFonts w:asciiTheme="minorHAnsi" w:hAnsiTheme="minorHAnsi" w:cstheme="minorHAnsi"/>
          <w:sz w:val="20"/>
          <w:szCs w:val="20"/>
        </w:rPr>
        <w:t xml:space="preserve">Moc minimalną poboru oraz moc maksymalną poboru określa ACPRO na podstawie wskazań układów pomiarowo-rozliczeniowych z funkcją odczytu danych w systemie danych dobowo-godzinowych obejmujących pełny okres pomiarowy od dnia 1 stycznia roku n - 1 do dnia 31 grudnia roku n - 1, gdzie „n” jest rokiem uzgodnienia,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_Ref130811186 \r \h </w:instrText>
      </w:r>
      <w:r w:rsidR="00C958F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przez Prezesa URE planu wprowadzania ograniczeń, odpowiednio</w:t>
      </w:r>
      <w:bookmarkEnd w:id="243"/>
      <w:r w:rsidRPr="00EB2E7B">
        <w:rPr>
          <w:rFonts w:asciiTheme="minorHAnsi" w:hAnsiTheme="minorHAnsi" w:cstheme="minorHAnsi"/>
          <w:sz w:val="20"/>
          <w:szCs w:val="20"/>
        </w:rPr>
        <w:t>:</w:t>
      </w:r>
      <w:bookmarkEnd w:id="244"/>
    </w:p>
    <w:p w14:paraId="08BBDA96" w14:textId="77777777" w:rsidR="00E25AB9" w:rsidRPr="00EB2E7B" w:rsidRDefault="00E25AB9" w:rsidP="00092C05">
      <w:pPr>
        <w:pStyle w:val="aprzed"/>
        <w:numPr>
          <w:ilvl w:val="0"/>
          <w:numId w:val="275"/>
        </w:numPr>
        <w:ind w:left="1701" w:hanging="566"/>
        <w:rPr>
          <w:rFonts w:asciiTheme="minorHAnsi" w:hAnsiTheme="minorHAnsi" w:cstheme="minorHAnsi"/>
          <w:sz w:val="20"/>
          <w:szCs w:val="20"/>
        </w:rPr>
      </w:pPr>
      <w:bookmarkStart w:id="245" w:name="_Hlk127298165"/>
      <w:bookmarkStart w:id="246" w:name="_Ref130811165"/>
      <w:r w:rsidRPr="00EB2E7B">
        <w:rPr>
          <w:rFonts w:asciiTheme="minorHAnsi" w:hAnsiTheme="minorHAnsi" w:cstheme="minorHAnsi"/>
          <w:sz w:val="20"/>
          <w:szCs w:val="20"/>
        </w:rPr>
        <w:t>w przypadku mocy minimalnej poboru przez</w:t>
      </w:r>
      <w:bookmarkEnd w:id="245"/>
      <w:r w:rsidRPr="00EB2E7B">
        <w:rPr>
          <w:rFonts w:asciiTheme="minorHAnsi" w:hAnsiTheme="minorHAnsi" w:cstheme="minorHAnsi"/>
          <w:sz w:val="20"/>
          <w:szCs w:val="20"/>
        </w:rPr>
        <w:t>:</w:t>
      </w:r>
      <w:bookmarkEnd w:id="246"/>
    </w:p>
    <w:p w14:paraId="29BD739A" w14:textId="77777777" w:rsidR="00E25AB9" w:rsidRPr="00EB2E7B" w:rsidRDefault="00E25AB9" w:rsidP="009D5FC1">
      <w:pPr>
        <w:pStyle w:val="Styl1"/>
        <w:numPr>
          <w:ilvl w:val="0"/>
          <w:numId w:val="269"/>
        </w:numPr>
        <w:ind w:left="2268" w:hanging="425"/>
        <w:rPr>
          <w:rFonts w:asciiTheme="minorHAnsi" w:hAnsiTheme="minorHAnsi" w:cstheme="minorHAnsi"/>
          <w:sz w:val="20"/>
          <w:szCs w:val="20"/>
        </w:rPr>
      </w:pPr>
      <w:bookmarkStart w:id="247" w:name="_Hlk127298190"/>
      <w:bookmarkStart w:id="248" w:name="_Ref190084689"/>
      <w:r w:rsidRPr="00EB2E7B">
        <w:rPr>
          <w:rFonts w:asciiTheme="minorHAnsi" w:hAnsiTheme="minorHAnsi" w:cstheme="minorHAnsi"/>
          <w:sz w:val="20"/>
          <w:szCs w:val="20"/>
        </w:rPr>
        <w:t xml:space="preserve">wyznaczenie dla każdego miesiąca kalendarzowego odrębnie jednej wartości poboru mocy </w:t>
      </w:r>
      <w:proofErr w:type="spellStart"/>
      <w:r w:rsidRPr="00EB2E7B">
        <w:rPr>
          <w:rFonts w:asciiTheme="minorHAnsi" w:hAnsiTheme="minorHAnsi" w:cstheme="minorHAnsi"/>
          <w:sz w:val="20"/>
          <w:szCs w:val="20"/>
        </w:rPr>
        <w:t>średniogodzinnej</w:t>
      </w:r>
      <w:proofErr w:type="spellEnd"/>
      <w:r w:rsidRPr="00EB2E7B">
        <w:rPr>
          <w:rFonts w:asciiTheme="minorHAnsi" w:hAnsiTheme="minorHAnsi" w:cstheme="minorHAnsi"/>
          <w:sz w:val="20"/>
          <w:szCs w:val="20"/>
        </w:rPr>
        <w:t>, która w danym miesiącu miała wartość najniższą</w:t>
      </w:r>
      <w:bookmarkEnd w:id="247"/>
      <w:r w:rsidRPr="00EB2E7B">
        <w:rPr>
          <w:rFonts w:asciiTheme="minorHAnsi" w:hAnsiTheme="minorHAnsi" w:cstheme="minorHAnsi"/>
          <w:sz w:val="20"/>
          <w:szCs w:val="20"/>
        </w:rPr>
        <w:t>,</w:t>
      </w:r>
      <w:bookmarkEnd w:id="248"/>
    </w:p>
    <w:p w14:paraId="64089CE1" w14:textId="18E7204A" w:rsidR="00E25AB9" w:rsidRPr="00EB2E7B" w:rsidRDefault="00E25AB9" w:rsidP="009D5FC1">
      <w:pPr>
        <w:pStyle w:val="Styl1"/>
        <w:numPr>
          <w:ilvl w:val="0"/>
          <w:numId w:val="269"/>
        </w:numPr>
        <w:ind w:left="2268" w:hanging="425"/>
        <w:rPr>
          <w:rFonts w:asciiTheme="minorHAnsi" w:hAnsiTheme="minorHAnsi" w:cstheme="minorHAnsi"/>
          <w:sz w:val="20"/>
          <w:szCs w:val="20"/>
        </w:rPr>
      </w:pPr>
      <w:bookmarkStart w:id="249" w:name="_Hlk127298598"/>
      <w:r w:rsidRPr="00EB2E7B">
        <w:rPr>
          <w:rFonts w:asciiTheme="minorHAnsi" w:hAnsiTheme="minorHAnsi" w:cstheme="minorHAnsi"/>
          <w:sz w:val="20"/>
          <w:szCs w:val="20"/>
        </w:rPr>
        <w:t xml:space="preserve">odrzucenie trzech wartości najniższych spośród wartości, o których mowa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BF1C89" w:rsidRPr="00EB2E7B">
        <w:rPr>
          <w:rFonts w:asciiTheme="minorHAnsi" w:hAnsiTheme="minorHAnsi" w:cstheme="minorHAnsi"/>
          <w:sz w:val="20"/>
          <w:szCs w:val="20"/>
        </w:rPr>
        <w:fldChar w:fldCharType="begin"/>
      </w:r>
      <w:r w:rsidR="00BF1C89" w:rsidRPr="00EB2E7B">
        <w:rPr>
          <w:rFonts w:asciiTheme="minorHAnsi" w:hAnsiTheme="minorHAnsi" w:cstheme="minorHAnsi"/>
          <w:sz w:val="20"/>
          <w:szCs w:val="20"/>
        </w:rPr>
        <w:instrText xml:space="preserve"> REF _Ref190084689 \w \h  \* MERGEFORMAT </w:instrText>
      </w:r>
      <w:r w:rsidR="00BF1C89" w:rsidRPr="00EB2E7B">
        <w:rPr>
          <w:rFonts w:asciiTheme="minorHAnsi" w:hAnsiTheme="minorHAnsi" w:cstheme="minorHAnsi"/>
          <w:sz w:val="20"/>
          <w:szCs w:val="20"/>
        </w:rPr>
      </w:r>
      <w:r w:rsidR="00BF1C8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w:t>
      </w:r>
      <w:r w:rsidR="00BF1C8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i wyznaczenie średniej arytmetycznej z pozostałych dziewięciu wartości</w:t>
      </w:r>
      <w:bookmarkEnd w:id="249"/>
      <w:r w:rsidRPr="00EB2E7B">
        <w:rPr>
          <w:rFonts w:asciiTheme="minorHAnsi" w:hAnsiTheme="minorHAnsi" w:cstheme="minorHAnsi"/>
          <w:sz w:val="20"/>
          <w:szCs w:val="20"/>
        </w:rPr>
        <w:t>;</w:t>
      </w:r>
    </w:p>
    <w:p w14:paraId="39775DF2" w14:textId="77777777" w:rsidR="00E25AB9" w:rsidRPr="00EB2E7B" w:rsidRDefault="00E25AB9" w:rsidP="00EE7359">
      <w:pPr>
        <w:pStyle w:val="aprzed"/>
        <w:numPr>
          <w:ilvl w:val="0"/>
          <w:numId w:val="53"/>
        </w:numPr>
        <w:ind w:left="1701" w:hanging="566"/>
        <w:rPr>
          <w:rFonts w:asciiTheme="minorHAnsi" w:hAnsiTheme="minorHAnsi" w:cstheme="minorHAnsi"/>
          <w:sz w:val="20"/>
          <w:szCs w:val="20"/>
        </w:rPr>
      </w:pPr>
      <w:bookmarkStart w:id="250" w:name="_Hlk127298612"/>
      <w:bookmarkStart w:id="251" w:name="_Ref130811151"/>
      <w:r w:rsidRPr="00EB2E7B">
        <w:rPr>
          <w:rFonts w:asciiTheme="minorHAnsi" w:hAnsiTheme="minorHAnsi" w:cstheme="minorHAnsi"/>
          <w:sz w:val="20"/>
          <w:szCs w:val="20"/>
        </w:rPr>
        <w:t>w przypadku mocy maksymalnej poboru przez</w:t>
      </w:r>
      <w:bookmarkEnd w:id="250"/>
      <w:r w:rsidRPr="00EB2E7B">
        <w:rPr>
          <w:rFonts w:asciiTheme="minorHAnsi" w:hAnsiTheme="minorHAnsi" w:cstheme="minorHAnsi"/>
          <w:sz w:val="20"/>
          <w:szCs w:val="20"/>
        </w:rPr>
        <w:t>:</w:t>
      </w:r>
      <w:bookmarkEnd w:id="251"/>
    </w:p>
    <w:p w14:paraId="335BF092" w14:textId="77777777" w:rsidR="00E25AB9" w:rsidRPr="00EB2E7B" w:rsidRDefault="00E25AB9" w:rsidP="009D5FC1">
      <w:pPr>
        <w:pStyle w:val="Styl1"/>
        <w:numPr>
          <w:ilvl w:val="0"/>
          <w:numId w:val="270"/>
        </w:numPr>
        <w:ind w:left="2268" w:hanging="425"/>
        <w:rPr>
          <w:rFonts w:asciiTheme="minorHAnsi" w:hAnsiTheme="minorHAnsi" w:cstheme="minorHAnsi"/>
          <w:sz w:val="20"/>
          <w:szCs w:val="20"/>
        </w:rPr>
      </w:pPr>
      <w:bookmarkStart w:id="252" w:name="_Hlk127298632"/>
      <w:bookmarkStart w:id="253" w:name="_Ref190084738"/>
      <w:r w:rsidRPr="00EB2E7B">
        <w:rPr>
          <w:rFonts w:asciiTheme="minorHAnsi" w:hAnsiTheme="minorHAnsi" w:cstheme="minorHAnsi"/>
          <w:sz w:val="20"/>
          <w:szCs w:val="20"/>
        </w:rPr>
        <w:t xml:space="preserve">wyznaczenie dla każdego miesiąca kalendarzowego odrębnie jednej wartości poboru mocy </w:t>
      </w:r>
      <w:proofErr w:type="spellStart"/>
      <w:r w:rsidRPr="00EB2E7B">
        <w:rPr>
          <w:rFonts w:asciiTheme="minorHAnsi" w:hAnsiTheme="minorHAnsi" w:cstheme="minorHAnsi"/>
          <w:sz w:val="20"/>
          <w:szCs w:val="20"/>
        </w:rPr>
        <w:t>średniogodzinnej</w:t>
      </w:r>
      <w:proofErr w:type="spellEnd"/>
      <w:r w:rsidRPr="00EB2E7B">
        <w:rPr>
          <w:rFonts w:asciiTheme="minorHAnsi" w:hAnsiTheme="minorHAnsi" w:cstheme="minorHAnsi"/>
          <w:sz w:val="20"/>
          <w:szCs w:val="20"/>
        </w:rPr>
        <w:t>, która w danym miesiącu miała wartość najwyższą</w:t>
      </w:r>
      <w:bookmarkEnd w:id="252"/>
      <w:r w:rsidRPr="00EB2E7B">
        <w:rPr>
          <w:rFonts w:asciiTheme="minorHAnsi" w:hAnsiTheme="minorHAnsi" w:cstheme="minorHAnsi"/>
          <w:sz w:val="20"/>
          <w:szCs w:val="20"/>
        </w:rPr>
        <w:t>,</w:t>
      </w:r>
      <w:bookmarkEnd w:id="253"/>
    </w:p>
    <w:p w14:paraId="6928DAD7" w14:textId="0B4617ED" w:rsidR="00E25AB9" w:rsidRPr="00EB2E7B" w:rsidRDefault="00E25AB9" w:rsidP="009D5FC1">
      <w:pPr>
        <w:pStyle w:val="Styl1"/>
        <w:numPr>
          <w:ilvl w:val="0"/>
          <w:numId w:val="270"/>
        </w:numPr>
        <w:ind w:left="2268" w:hanging="425"/>
        <w:rPr>
          <w:rFonts w:asciiTheme="minorHAnsi" w:hAnsiTheme="minorHAnsi" w:cstheme="minorHAnsi"/>
          <w:sz w:val="20"/>
          <w:szCs w:val="20"/>
        </w:rPr>
      </w:pPr>
      <w:bookmarkStart w:id="254" w:name="_Hlk127298654"/>
      <w:r w:rsidRPr="00EB2E7B">
        <w:rPr>
          <w:rFonts w:asciiTheme="minorHAnsi" w:hAnsiTheme="minorHAnsi" w:cstheme="minorHAnsi"/>
          <w:sz w:val="20"/>
          <w:szCs w:val="20"/>
        </w:rPr>
        <w:t xml:space="preserve">odrzucenie trzech wartości najwyższych spośród wartości, o których mowa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BF1C89" w:rsidRPr="00EB2E7B">
        <w:rPr>
          <w:rFonts w:asciiTheme="minorHAnsi" w:hAnsiTheme="minorHAnsi" w:cstheme="minorHAnsi"/>
          <w:sz w:val="20"/>
          <w:szCs w:val="20"/>
        </w:rPr>
        <w:fldChar w:fldCharType="begin"/>
      </w:r>
      <w:r w:rsidR="00BF1C89" w:rsidRPr="00EB2E7B">
        <w:rPr>
          <w:rFonts w:asciiTheme="minorHAnsi" w:hAnsiTheme="minorHAnsi" w:cstheme="minorHAnsi"/>
          <w:sz w:val="20"/>
          <w:szCs w:val="20"/>
        </w:rPr>
        <w:instrText xml:space="preserve"> REF _Ref190084738 \w \h  \* MERGEFORMAT </w:instrText>
      </w:r>
      <w:r w:rsidR="00BF1C89" w:rsidRPr="00EB2E7B">
        <w:rPr>
          <w:rFonts w:asciiTheme="minorHAnsi" w:hAnsiTheme="minorHAnsi" w:cstheme="minorHAnsi"/>
          <w:sz w:val="20"/>
          <w:szCs w:val="20"/>
        </w:rPr>
      </w:r>
      <w:r w:rsidR="00BF1C8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w:t>
      </w:r>
      <w:r w:rsidR="00BF1C8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i wyznaczenie średniej arytmetycznej z pozostałych dziewięciu wartości</w:t>
      </w:r>
      <w:bookmarkEnd w:id="254"/>
      <w:r w:rsidRPr="00EB2E7B">
        <w:rPr>
          <w:rFonts w:asciiTheme="minorHAnsi" w:hAnsiTheme="minorHAnsi" w:cstheme="minorHAnsi"/>
          <w:sz w:val="20"/>
          <w:szCs w:val="20"/>
        </w:rPr>
        <w:t>.</w:t>
      </w:r>
    </w:p>
    <w:p w14:paraId="5F606716" w14:textId="6413773F" w:rsidR="00E25AB9" w:rsidRPr="00EB2E7B" w:rsidRDefault="00E25AB9" w:rsidP="0099115A">
      <w:pPr>
        <w:ind w:left="1134" w:firstLine="0"/>
        <w:rPr>
          <w:rFonts w:asciiTheme="minorHAnsi" w:hAnsiTheme="minorHAnsi" w:cstheme="minorHAnsi"/>
          <w:sz w:val="20"/>
          <w:szCs w:val="20"/>
        </w:rPr>
      </w:pPr>
      <w:bookmarkStart w:id="255" w:name="_Hlk127298669"/>
      <w:r w:rsidRPr="00EB2E7B">
        <w:rPr>
          <w:rFonts w:asciiTheme="minorHAnsi" w:hAnsiTheme="minorHAnsi" w:cstheme="minorHAnsi"/>
          <w:sz w:val="20"/>
          <w:szCs w:val="20"/>
        </w:rPr>
        <w:t xml:space="preserve">W przypadku braku możliwości pozyskania przez ACPRO wskazań układu pomiarowo-rozliczeniowego, o których mowa powyżej, ACPRO wyznacza je zgodnie z zapisami pkt </w:t>
      </w:r>
      <w:r w:rsidR="003215C2" w:rsidRPr="00EB2E7B">
        <w:rPr>
          <w:rFonts w:asciiTheme="minorHAnsi" w:hAnsiTheme="minorHAnsi" w:cstheme="minorHAnsi"/>
          <w:sz w:val="20"/>
          <w:szCs w:val="20"/>
        </w:rPr>
        <w:fldChar w:fldCharType="begin"/>
      </w:r>
      <w:r w:rsidR="003215C2" w:rsidRPr="00EB2E7B">
        <w:rPr>
          <w:rFonts w:asciiTheme="minorHAnsi" w:hAnsiTheme="minorHAnsi" w:cstheme="minorHAnsi"/>
          <w:sz w:val="20"/>
          <w:szCs w:val="20"/>
        </w:rPr>
        <w:instrText xml:space="preserve"> REF _Ref189085097 \r \h </w:instrText>
      </w:r>
      <w:r w:rsidR="00B10498" w:rsidRPr="00EB2E7B">
        <w:rPr>
          <w:rFonts w:asciiTheme="minorHAnsi" w:hAnsiTheme="minorHAnsi" w:cstheme="minorHAnsi"/>
          <w:sz w:val="20"/>
          <w:szCs w:val="20"/>
        </w:rPr>
        <w:instrText xml:space="preserve"> \* MERGEFORMAT </w:instrText>
      </w:r>
      <w:r w:rsidR="003215C2" w:rsidRPr="00EB2E7B">
        <w:rPr>
          <w:rFonts w:asciiTheme="minorHAnsi" w:hAnsiTheme="minorHAnsi" w:cstheme="minorHAnsi"/>
          <w:sz w:val="20"/>
          <w:szCs w:val="20"/>
        </w:rPr>
      </w:r>
      <w:r w:rsidR="003215C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w:t>
      </w:r>
      <w:r w:rsidR="003215C2" w:rsidRPr="00EB2E7B">
        <w:rPr>
          <w:rFonts w:asciiTheme="minorHAnsi" w:hAnsiTheme="minorHAnsi" w:cstheme="minorHAnsi"/>
          <w:sz w:val="20"/>
          <w:szCs w:val="20"/>
        </w:rPr>
        <w:fldChar w:fldCharType="end"/>
      </w:r>
      <w:r w:rsidR="009715D8" w:rsidRPr="00EB2E7B">
        <w:rPr>
          <w:rFonts w:asciiTheme="minorHAnsi" w:hAnsiTheme="minorHAnsi" w:cstheme="minorHAnsi"/>
          <w:sz w:val="20"/>
          <w:szCs w:val="20"/>
        </w:rPr>
        <w:t>.</w:t>
      </w:r>
      <w:r w:rsidR="003215C2"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IRiESD</w:t>
      </w:r>
      <w:bookmarkEnd w:id="255"/>
      <w:proofErr w:type="spellEnd"/>
      <w:r w:rsidRPr="00EB2E7B">
        <w:rPr>
          <w:rFonts w:asciiTheme="minorHAnsi" w:hAnsiTheme="minorHAnsi" w:cstheme="minorHAnsi"/>
          <w:sz w:val="20"/>
          <w:szCs w:val="20"/>
        </w:rPr>
        <w:t>.</w:t>
      </w:r>
    </w:p>
    <w:p w14:paraId="105F8FEF" w14:textId="77777777" w:rsidR="00E25AB9" w:rsidRPr="00EB2E7B" w:rsidRDefault="00E25AB9" w:rsidP="009A432E">
      <w:pPr>
        <w:pStyle w:val="Nagwek4"/>
        <w:rPr>
          <w:rFonts w:asciiTheme="minorHAnsi" w:hAnsiTheme="minorHAnsi" w:cstheme="minorHAnsi"/>
          <w:sz w:val="20"/>
          <w:szCs w:val="20"/>
        </w:rPr>
      </w:pPr>
      <w:bookmarkStart w:id="256" w:name="_Hlk127298694"/>
      <w:r w:rsidRPr="00EB2E7B">
        <w:rPr>
          <w:rFonts w:asciiTheme="minorHAnsi" w:hAnsiTheme="minorHAnsi" w:cstheme="minorHAnsi"/>
          <w:sz w:val="20"/>
          <w:szCs w:val="20"/>
        </w:rPr>
        <w:t>W przypadku, gdy wyznaczona dla obiektu wielkość mocy maksymalnej poboru jest większa niż łączna wielkość mocy umownej, określona dla tego obiektu w umowach dystrybucyjnych albo kompleksowych, za wielkość mocy maksymalnej poboru przyjmuje się łączną wielkość mocy umownej</w:t>
      </w:r>
      <w:bookmarkEnd w:id="256"/>
      <w:r w:rsidRPr="00EB2E7B">
        <w:rPr>
          <w:rFonts w:asciiTheme="minorHAnsi" w:hAnsiTheme="minorHAnsi" w:cstheme="minorHAnsi"/>
          <w:sz w:val="20"/>
          <w:szCs w:val="20"/>
        </w:rPr>
        <w:t>.</w:t>
      </w:r>
    </w:p>
    <w:p w14:paraId="3D218E9A" w14:textId="171D8593" w:rsidR="00E25AB9" w:rsidRPr="00EB2E7B" w:rsidRDefault="00E25AB9" w:rsidP="009A432E">
      <w:pPr>
        <w:pStyle w:val="Nagwek4"/>
        <w:rPr>
          <w:rFonts w:asciiTheme="minorHAnsi" w:hAnsiTheme="minorHAnsi" w:cstheme="minorHAnsi"/>
          <w:sz w:val="20"/>
          <w:szCs w:val="20"/>
        </w:rPr>
      </w:pPr>
      <w:bookmarkStart w:id="257" w:name="_Hlk127298723"/>
      <w:bookmarkStart w:id="258" w:name="_Ref130811175"/>
      <w:r w:rsidRPr="00EB2E7B">
        <w:rPr>
          <w:rFonts w:asciiTheme="minorHAnsi" w:hAnsiTheme="minorHAnsi" w:cstheme="minorHAnsi"/>
          <w:sz w:val="20"/>
          <w:szCs w:val="20"/>
        </w:rPr>
        <w:t xml:space="preserve">ACPRO przesyła odbiorcy plan wprowadzania ograniczeń dla odbiorcy w zakresie posiadanego przez niego obiektu lub aktualizację tego planu, zawierający wielkości łączne mocy określone dla obiektu </w:t>
      </w:r>
      <w:r w:rsidRPr="00EB2E7B">
        <w:rPr>
          <w:rFonts w:asciiTheme="minorHAnsi" w:hAnsiTheme="minorHAnsi" w:cstheme="minorHAnsi"/>
          <w:sz w:val="20"/>
          <w:szCs w:val="20"/>
        </w:rPr>
        <w:lastRenderedPageBreak/>
        <w:t xml:space="preserve">w stopniach zasilania od 12 do 20, na adres poczty elektronicznej wskazany w umowach dystrybucyjnych albo kompleksowych w terminie,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_Ref130811121 \r \h </w:instrText>
      </w:r>
      <w:r w:rsidR="00C26F8B"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IV.3.2.16</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zakresie umów kompleksowych, ACPRO przekazuje ten plan lub jego aktualizację również sprzedawcy, na adres poczty elektronicznej wskazany w umowie</w:t>
      </w:r>
      <w:bookmarkEnd w:id="257"/>
      <w:r w:rsidR="00F505E7" w:rsidRPr="00EB2E7B">
        <w:rPr>
          <w:rFonts w:asciiTheme="minorHAnsi" w:hAnsiTheme="minorHAnsi" w:cstheme="minorHAnsi"/>
          <w:sz w:val="20"/>
          <w:szCs w:val="20"/>
        </w:rPr>
        <w:t xml:space="preserve"> GUD</w:t>
      </w:r>
      <w:r w:rsidRPr="00EB2E7B">
        <w:rPr>
          <w:rFonts w:asciiTheme="minorHAnsi" w:hAnsiTheme="minorHAnsi" w:cstheme="minorHAnsi"/>
          <w:sz w:val="20"/>
          <w:szCs w:val="20"/>
        </w:rPr>
        <w:t>.</w:t>
      </w:r>
      <w:bookmarkEnd w:id="258"/>
    </w:p>
    <w:p w14:paraId="4B688E6C" w14:textId="77777777" w:rsidR="00E25AB9" w:rsidRPr="00EB2E7B" w:rsidRDefault="00E25AB9" w:rsidP="0099115A">
      <w:pPr>
        <w:ind w:left="1134" w:firstLine="0"/>
        <w:rPr>
          <w:rFonts w:asciiTheme="minorHAnsi" w:hAnsiTheme="minorHAnsi" w:cstheme="minorHAnsi"/>
          <w:sz w:val="20"/>
          <w:szCs w:val="20"/>
        </w:rPr>
      </w:pPr>
      <w:bookmarkStart w:id="259" w:name="_Hlk127298741"/>
      <w:r w:rsidRPr="00EB2E7B">
        <w:rPr>
          <w:rFonts w:asciiTheme="minorHAnsi" w:hAnsiTheme="minorHAnsi" w:cstheme="minorHAnsi"/>
          <w:sz w:val="20"/>
          <w:szCs w:val="20"/>
        </w:rPr>
        <w:t>Jeżeli umowa dystrybucyjna albo kompleksowa nie zawiera adresu poczty elektronicznej, do czasu przekazania ACPRO przez odbiorcę adresu poczty elektronicznej, o którym mowa powyżej, ACPRO przesyła odbiorcy plan wprowadzania ograniczeń dla odbiorcy w zakresie posiadanego przez niego obiektu na adres korespondencyjny wskazany w umowie dystrybucyjnej albo kompleksowej. W przypadku umowy kompleksowej adres korespondencyjny odbiorcy, sprzedawca udostępnia ACPRO. Doręczenie na ten adres korespondencyjny jest skuteczne</w:t>
      </w:r>
      <w:bookmarkEnd w:id="259"/>
      <w:r w:rsidRPr="00EB2E7B">
        <w:rPr>
          <w:rFonts w:asciiTheme="minorHAnsi" w:hAnsiTheme="minorHAnsi" w:cstheme="minorHAnsi"/>
          <w:sz w:val="20"/>
          <w:szCs w:val="20"/>
        </w:rPr>
        <w:t>.</w:t>
      </w:r>
    </w:p>
    <w:p w14:paraId="052CB555" w14:textId="45E20AF8" w:rsidR="00E25AB9" w:rsidRPr="00EB2E7B" w:rsidRDefault="00E25AB9" w:rsidP="0099115A">
      <w:pPr>
        <w:ind w:left="1134" w:firstLine="0"/>
        <w:rPr>
          <w:rFonts w:asciiTheme="minorHAnsi" w:hAnsiTheme="minorHAnsi" w:cstheme="minorHAnsi"/>
          <w:sz w:val="20"/>
          <w:szCs w:val="20"/>
        </w:rPr>
      </w:pPr>
      <w:bookmarkStart w:id="260" w:name="_Hlk127298758"/>
      <w:r w:rsidRPr="00EB2E7B">
        <w:rPr>
          <w:rFonts w:asciiTheme="minorHAnsi" w:hAnsiTheme="minorHAnsi" w:cstheme="minorHAnsi"/>
          <w:sz w:val="20"/>
          <w:szCs w:val="20"/>
        </w:rPr>
        <w:t xml:space="preserve">Odbiorcy są zobowiązani do niezwłocznego pisemnego informowania odpowiednio ACPRO, z którym zawarli umowę o świadczenie usługi dystrybucji albo sprzedawców, z którymi posiadają zawarte umowy kompleksowe, o każdej zmianie adresu poczty elektronicznej, o którym mowa powyżej, wskazanego w umowach. Sprzedawcy, którzy posiadają zawarte umowy kompleksowe zobowiązani są do niezwłocznego informowania ACPRO o zmianie </w:t>
      </w:r>
      <w:r w:rsidR="006D53B9" w:rsidRPr="00EB2E7B">
        <w:rPr>
          <w:rFonts w:asciiTheme="minorHAnsi" w:hAnsiTheme="minorHAnsi" w:cstheme="minorHAnsi"/>
          <w:sz w:val="20"/>
          <w:szCs w:val="20"/>
        </w:rPr>
        <w:t xml:space="preserve">ww. </w:t>
      </w:r>
      <w:r w:rsidRPr="00EB2E7B">
        <w:rPr>
          <w:rFonts w:asciiTheme="minorHAnsi" w:hAnsiTheme="minorHAnsi" w:cstheme="minorHAnsi"/>
          <w:sz w:val="20"/>
          <w:szCs w:val="20"/>
        </w:rPr>
        <w:t>adresu poczty elektronicznej</w:t>
      </w:r>
      <w:bookmarkEnd w:id="260"/>
      <w:r w:rsidRPr="00EB2E7B">
        <w:rPr>
          <w:rFonts w:asciiTheme="minorHAnsi" w:hAnsiTheme="minorHAnsi" w:cstheme="minorHAnsi"/>
          <w:sz w:val="20"/>
          <w:szCs w:val="20"/>
        </w:rPr>
        <w:t>.</w:t>
      </w:r>
    </w:p>
    <w:p w14:paraId="1F35272B" w14:textId="00AB10D8" w:rsidR="00E25AB9" w:rsidRPr="00EB2E7B" w:rsidRDefault="00E25AB9" w:rsidP="009A432E">
      <w:pPr>
        <w:pStyle w:val="Nagwek4"/>
        <w:rPr>
          <w:rFonts w:asciiTheme="minorHAnsi" w:hAnsiTheme="minorHAnsi" w:cstheme="minorHAnsi"/>
          <w:sz w:val="20"/>
          <w:szCs w:val="20"/>
        </w:rPr>
      </w:pPr>
      <w:bookmarkStart w:id="261" w:name="_Hlk127298792"/>
      <w:r w:rsidRPr="00EB2E7B">
        <w:rPr>
          <w:rFonts w:asciiTheme="minorHAnsi" w:hAnsiTheme="minorHAnsi" w:cstheme="minorHAnsi"/>
          <w:sz w:val="20"/>
          <w:szCs w:val="20"/>
        </w:rPr>
        <w:t xml:space="preserve">Dla przyłączanego do sieci obiektu, dla którego nie jest możliwe ustalenie w sposób określony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_Ref130811049 \r \h </w:instrText>
      </w:r>
      <w:r w:rsidR="009B0BA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261"/>
    </w:p>
    <w:p w14:paraId="552C5351" w14:textId="77777777" w:rsidR="00E25AB9" w:rsidRPr="00EB2E7B" w:rsidRDefault="00E25AB9" w:rsidP="0069498E">
      <w:pPr>
        <w:pStyle w:val="aprzed"/>
        <w:numPr>
          <w:ilvl w:val="0"/>
          <w:numId w:val="276"/>
        </w:numPr>
        <w:ind w:left="1701" w:hanging="566"/>
        <w:rPr>
          <w:rFonts w:asciiTheme="minorHAnsi" w:hAnsiTheme="minorHAnsi" w:cstheme="minorHAnsi"/>
          <w:sz w:val="20"/>
          <w:szCs w:val="20"/>
        </w:rPr>
      </w:pPr>
      <w:bookmarkStart w:id="262" w:name="_Hlk127298810"/>
      <w:r w:rsidRPr="00EB2E7B">
        <w:rPr>
          <w:rFonts w:asciiTheme="minorHAnsi" w:hAnsiTheme="minorHAnsi" w:cstheme="minorHAnsi"/>
          <w:sz w:val="20"/>
          <w:szCs w:val="20"/>
        </w:rPr>
        <w:t>mocy minimalnej poboru - wielkość tej mocy ustala się na podstawie wielkości minimalnej mocy wymaganej dla zapewnienia bezpieczeństwa osób i mienia, o której mowa w przepisach wydanych na podstawie art. 9 ust. 3 i 4 Ustawy</w:t>
      </w:r>
      <w:bookmarkEnd w:id="262"/>
      <w:r w:rsidRPr="00EB2E7B">
        <w:rPr>
          <w:rFonts w:asciiTheme="minorHAnsi" w:hAnsiTheme="minorHAnsi" w:cstheme="minorHAnsi"/>
          <w:sz w:val="20"/>
          <w:szCs w:val="20"/>
        </w:rPr>
        <w:t>;</w:t>
      </w:r>
    </w:p>
    <w:p w14:paraId="20853B32" w14:textId="77777777" w:rsidR="00E25AB9" w:rsidRPr="00EB2E7B" w:rsidRDefault="00E25AB9" w:rsidP="0069498E">
      <w:pPr>
        <w:pStyle w:val="aprzed"/>
        <w:numPr>
          <w:ilvl w:val="0"/>
          <w:numId w:val="11"/>
        </w:numPr>
        <w:ind w:left="1701" w:hanging="566"/>
        <w:rPr>
          <w:rFonts w:asciiTheme="minorHAnsi" w:hAnsiTheme="minorHAnsi" w:cstheme="minorHAnsi"/>
          <w:sz w:val="20"/>
          <w:szCs w:val="20"/>
        </w:rPr>
      </w:pPr>
      <w:bookmarkStart w:id="263" w:name="_Hlk127298834"/>
      <w:r w:rsidRPr="00EB2E7B">
        <w:rPr>
          <w:rFonts w:asciiTheme="minorHAnsi" w:hAnsiTheme="minorHAnsi" w:cstheme="minorHAnsi"/>
          <w:sz w:val="20"/>
          <w:szCs w:val="20"/>
        </w:rPr>
        <w:t>mocy maksymalnej poboru - wielkość tej mocy ustala się w łącznej wysokości mocy umownej określonej w umowach dystrybucyjnych albo kompleksowych</w:t>
      </w:r>
      <w:bookmarkEnd w:id="263"/>
      <w:r w:rsidRPr="00EB2E7B">
        <w:rPr>
          <w:rFonts w:asciiTheme="minorHAnsi" w:hAnsiTheme="minorHAnsi" w:cstheme="minorHAnsi"/>
          <w:sz w:val="20"/>
          <w:szCs w:val="20"/>
        </w:rPr>
        <w:t>.</w:t>
      </w:r>
    </w:p>
    <w:p w14:paraId="323CAECD" w14:textId="77777777" w:rsidR="00E25AB9" w:rsidRPr="00EB2E7B" w:rsidRDefault="00E25AB9" w:rsidP="0099115A">
      <w:pPr>
        <w:ind w:left="1134" w:firstLine="0"/>
        <w:rPr>
          <w:rFonts w:asciiTheme="minorHAnsi" w:hAnsiTheme="minorHAnsi" w:cstheme="minorHAnsi"/>
          <w:sz w:val="20"/>
          <w:szCs w:val="20"/>
        </w:rPr>
      </w:pPr>
      <w:bookmarkStart w:id="264" w:name="_Hlk127298848"/>
      <w:r w:rsidRPr="00EB2E7B">
        <w:rPr>
          <w:rFonts w:asciiTheme="minorHAnsi" w:hAnsiTheme="minorHAnsi" w:cstheme="minorHAnsi"/>
          <w:sz w:val="20"/>
          <w:szCs w:val="20"/>
        </w:rPr>
        <w:t>Dla obiektów określonych powyżej, plan wprowadzania ograniczeń jest aktualizowany przy zmianie mocy umownej lub minimalnej mocy wymaganej dla zapewnienia bezpieczeństwa osób i mienia</w:t>
      </w:r>
      <w:bookmarkEnd w:id="264"/>
      <w:r w:rsidRPr="00EB2E7B">
        <w:rPr>
          <w:rFonts w:asciiTheme="minorHAnsi" w:hAnsiTheme="minorHAnsi" w:cstheme="minorHAnsi"/>
          <w:sz w:val="20"/>
          <w:szCs w:val="20"/>
        </w:rPr>
        <w:t>.</w:t>
      </w:r>
    </w:p>
    <w:p w14:paraId="5D0ACCCE" w14:textId="4831FCD3" w:rsidR="00E25AB9" w:rsidRPr="00EB2E7B" w:rsidRDefault="00E25AB9" w:rsidP="009A432E">
      <w:pPr>
        <w:pStyle w:val="Nagwek4"/>
        <w:rPr>
          <w:rFonts w:asciiTheme="minorHAnsi" w:hAnsiTheme="minorHAnsi" w:cstheme="minorHAnsi"/>
          <w:sz w:val="20"/>
          <w:szCs w:val="20"/>
        </w:rPr>
      </w:pPr>
      <w:bookmarkStart w:id="265" w:name="_Hlk127298874"/>
      <w:r w:rsidRPr="00EB2E7B">
        <w:rPr>
          <w:rFonts w:asciiTheme="minorHAnsi" w:hAnsiTheme="minorHAnsi" w:cstheme="minorHAnsi"/>
          <w:sz w:val="20"/>
          <w:szCs w:val="20"/>
        </w:rPr>
        <w:t xml:space="preserve">Sposób określania dla obiektu mocy minimalnej poboru oraz mocy maksymalnej poboru,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_Hlk127298792 \r \h </w:instrText>
      </w:r>
      <w:r w:rsidR="00197702"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IV.3.2.28</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stosuje się do czasu ustalenia wielkości tych mocy w sposób,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_Ref130811049 \r \h </w:instrText>
      </w:r>
      <w:r w:rsidR="00197702"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nie dłużej jednak niż przez okres 24 miesięcy od dnia zawarcia po raz pierwszy umowy dystrybucyjnej albo kompleksowej, na podstawie której świadczone są odbiorcy usługi dystrybucji energii elektrycznej do tego obiektu</w:t>
      </w:r>
      <w:bookmarkEnd w:id="265"/>
      <w:r w:rsidRPr="00EB2E7B">
        <w:rPr>
          <w:rFonts w:asciiTheme="minorHAnsi" w:hAnsiTheme="minorHAnsi" w:cstheme="minorHAnsi"/>
          <w:sz w:val="20"/>
          <w:szCs w:val="20"/>
        </w:rPr>
        <w:t>.</w:t>
      </w:r>
    </w:p>
    <w:p w14:paraId="025FEEFB" w14:textId="2D065718" w:rsidR="00E25AB9" w:rsidRPr="00EB2E7B" w:rsidRDefault="00E25AB9" w:rsidP="009A432E">
      <w:pPr>
        <w:pStyle w:val="Nagwek4"/>
        <w:rPr>
          <w:rFonts w:asciiTheme="minorHAnsi" w:hAnsiTheme="minorHAnsi" w:cstheme="minorHAnsi"/>
          <w:sz w:val="20"/>
          <w:szCs w:val="20"/>
        </w:rPr>
      </w:pPr>
      <w:bookmarkStart w:id="266" w:name="_Hlk127298898"/>
      <w:bookmarkStart w:id="267" w:name="_Ref130811649"/>
      <w:r w:rsidRPr="00EB2E7B">
        <w:rPr>
          <w:rFonts w:asciiTheme="minorHAnsi" w:hAnsiTheme="minorHAnsi" w:cstheme="minorHAnsi"/>
          <w:sz w:val="20"/>
          <w:szCs w:val="20"/>
        </w:rPr>
        <w:t xml:space="preserve">W trybie normalnym ograniczenia w poborze energii elektrycznej są realizowane przez odbiorców, stosownie do komunikatów i powiadomień OSP o obowiązujących stopniach zasilania. Obowiązujące stopnie zasilania,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_Ref130811065 \r \h </w:instrText>
      </w:r>
      <w:r w:rsidR="00F14F2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IV.3.2.22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określa OSP</w:t>
      </w:r>
      <w:bookmarkEnd w:id="266"/>
      <w:r w:rsidRPr="00EB2E7B">
        <w:rPr>
          <w:rFonts w:asciiTheme="minorHAnsi" w:hAnsiTheme="minorHAnsi" w:cstheme="minorHAnsi"/>
          <w:sz w:val="20"/>
          <w:szCs w:val="20"/>
        </w:rPr>
        <w:t>.</w:t>
      </w:r>
      <w:bookmarkEnd w:id="267"/>
    </w:p>
    <w:p w14:paraId="355FB521" w14:textId="40B60D98" w:rsidR="00E25AB9" w:rsidRPr="00EB2E7B" w:rsidRDefault="00E25AB9" w:rsidP="0099115A">
      <w:pPr>
        <w:ind w:left="1134" w:firstLine="0"/>
        <w:rPr>
          <w:rFonts w:asciiTheme="minorHAnsi" w:hAnsiTheme="minorHAnsi" w:cstheme="minorHAnsi"/>
          <w:sz w:val="20"/>
          <w:szCs w:val="20"/>
        </w:rPr>
      </w:pPr>
      <w:bookmarkStart w:id="268" w:name="_Hlk127298933"/>
      <w:r w:rsidRPr="00EB2E7B">
        <w:rPr>
          <w:rFonts w:asciiTheme="minorHAnsi" w:hAnsiTheme="minorHAnsi" w:cstheme="minorHAnsi"/>
          <w:sz w:val="20"/>
          <w:szCs w:val="20"/>
        </w:rPr>
        <w:t>Komunikaty OSP o stopniach zasilania wprowadzanych w najbliższych 12 godzinach i przewidywanych na następne 12 godzin są ogłaszane w radiowych komunikatach energetycznych nadawanych przez Program 1 Polskiego Radia o godzinie 7.55 i o godzinie 19.55 oraz zamieszczane na stronie internetowej ACPRO. Odbiorcy są obowiązani stosować się do stopni zasilania określonych w tych komunikatach w czasie określonym w tych komunikatach</w:t>
      </w:r>
      <w:bookmarkEnd w:id="268"/>
      <w:r w:rsidRPr="00EB2E7B">
        <w:rPr>
          <w:rFonts w:asciiTheme="minorHAnsi" w:hAnsiTheme="minorHAnsi" w:cstheme="minorHAnsi"/>
          <w:sz w:val="20"/>
          <w:szCs w:val="20"/>
        </w:rPr>
        <w:t>.</w:t>
      </w:r>
    </w:p>
    <w:p w14:paraId="33B47155" w14:textId="77777777" w:rsidR="00E25AB9" w:rsidRPr="00EB2E7B" w:rsidRDefault="00E25AB9" w:rsidP="009A432E">
      <w:pPr>
        <w:pStyle w:val="Nagwek4"/>
        <w:rPr>
          <w:rFonts w:asciiTheme="minorHAnsi" w:hAnsiTheme="minorHAnsi" w:cstheme="minorHAnsi"/>
          <w:sz w:val="20"/>
          <w:szCs w:val="20"/>
        </w:rPr>
      </w:pPr>
      <w:bookmarkStart w:id="269" w:name="_Hlk127298957"/>
      <w:r w:rsidRPr="00EB2E7B">
        <w:rPr>
          <w:rFonts w:asciiTheme="minorHAnsi" w:hAnsiTheme="minorHAnsi" w:cstheme="minorHAnsi"/>
          <w:sz w:val="20"/>
          <w:szCs w:val="20"/>
        </w:rPr>
        <w:t>OSP może wprowadzić inne stopnie zasilania niż stopnie zasilania ogłoszone w komunikatach radiowych, jeżeli nastąpiła zmiana warunków pracy systemu elektroenergetycznego lub występuje konieczność minimalizacji negatywnych następstw wprowadzonych ograniczeń w dostarczaniu lub poborze energii elektrycznej</w:t>
      </w:r>
      <w:bookmarkEnd w:id="269"/>
      <w:r w:rsidRPr="00EB2E7B">
        <w:rPr>
          <w:rFonts w:asciiTheme="minorHAnsi" w:hAnsiTheme="minorHAnsi" w:cstheme="minorHAnsi"/>
          <w:sz w:val="20"/>
          <w:szCs w:val="20"/>
        </w:rPr>
        <w:t>.</w:t>
      </w:r>
    </w:p>
    <w:p w14:paraId="2C6C9928" w14:textId="233454D1" w:rsidR="00E25AB9" w:rsidRPr="00EB2E7B" w:rsidRDefault="00E25AB9" w:rsidP="009A432E">
      <w:pPr>
        <w:pStyle w:val="Nagwek4"/>
        <w:rPr>
          <w:rFonts w:asciiTheme="minorHAnsi" w:hAnsiTheme="minorHAnsi" w:cstheme="minorHAnsi"/>
          <w:sz w:val="20"/>
          <w:szCs w:val="20"/>
        </w:rPr>
      </w:pPr>
      <w:bookmarkStart w:id="270" w:name="_Hlk127299000"/>
      <w:bookmarkStart w:id="271" w:name="_Ref130811661"/>
      <w:r w:rsidRPr="00EB2E7B">
        <w:rPr>
          <w:rFonts w:asciiTheme="minorHAnsi" w:hAnsiTheme="minorHAnsi" w:cstheme="minorHAnsi"/>
          <w:sz w:val="20"/>
          <w:szCs w:val="20"/>
        </w:rPr>
        <w:lastRenderedPageBreak/>
        <w:t xml:space="preserve">O wprowadzeniu ograniczeń w dostarczaniu i poborze energii elektrycznej oraz o wprowadzeniu, w trakcie trwania ograniczeń w dostarczaniu i poborze energii elektrycznej, innych stopni zasilania niż stopnie zasilania ogłoszone w komunikatach radiowych, OSP powiadamia służby dyspozytorskie oraz ruchowe </w:t>
      </w:r>
      <w:proofErr w:type="spellStart"/>
      <w:r w:rsidRPr="00EB2E7B">
        <w:rPr>
          <w:rFonts w:asciiTheme="minorHAnsi" w:hAnsiTheme="minorHAnsi" w:cstheme="minorHAnsi"/>
          <w:sz w:val="20"/>
          <w:szCs w:val="20"/>
        </w:rPr>
        <w:t>OSD</w:t>
      </w:r>
      <w:r w:rsidR="00A8284C" w:rsidRPr="00EB2E7B">
        <w:rPr>
          <w:rFonts w:asciiTheme="minorHAnsi" w:hAnsiTheme="minorHAnsi" w:cstheme="minorHAnsi"/>
          <w:sz w:val="20"/>
          <w:szCs w:val="20"/>
        </w:rPr>
        <w:t>p</w:t>
      </w:r>
      <w:bookmarkEnd w:id="270"/>
      <w:proofErr w:type="spellEnd"/>
      <w:r w:rsidRPr="00EB2E7B">
        <w:rPr>
          <w:rFonts w:asciiTheme="minorHAnsi" w:hAnsiTheme="minorHAnsi" w:cstheme="minorHAnsi"/>
          <w:sz w:val="20"/>
          <w:szCs w:val="20"/>
        </w:rPr>
        <w:t>.</w:t>
      </w:r>
      <w:bookmarkEnd w:id="271"/>
    </w:p>
    <w:p w14:paraId="5D3C4DC0" w14:textId="17CA2C8E" w:rsidR="00E25AB9" w:rsidRPr="00EB2E7B" w:rsidRDefault="00E25AB9" w:rsidP="009A432E">
      <w:pPr>
        <w:pStyle w:val="Nagwek4"/>
        <w:rPr>
          <w:rFonts w:asciiTheme="minorHAnsi" w:hAnsiTheme="minorHAnsi" w:cstheme="minorHAnsi"/>
          <w:sz w:val="20"/>
          <w:szCs w:val="20"/>
        </w:rPr>
      </w:pPr>
      <w:bookmarkStart w:id="272" w:name="_Hlk127299022"/>
      <w:r w:rsidRPr="00EB2E7B">
        <w:rPr>
          <w:rFonts w:asciiTheme="minorHAnsi" w:hAnsiTheme="minorHAnsi" w:cstheme="minorHAnsi"/>
          <w:sz w:val="20"/>
          <w:szCs w:val="20"/>
        </w:rPr>
        <w:t>ACPRO indywidualnie powiadamia odbiorców przyłączonych do sieci dystrybucyjnej o wprowadzeniu ograniczeń w dostarczaniu i poborze energii elektrycznej oraz o</w:t>
      </w:r>
      <w:r w:rsidR="00500A30" w:rsidRPr="00EB2E7B">
        <w:rPr>
          <w:rFonts w:asciiTheme="minorHAnsi" w:hAnsiTheme="minorHAnsi" w:cstheme="minorHAnsi"/>
          <w:sz w:val="20"/>
          <w:szCs w:val="20"/>
        </w:rPr>
        <w:t> </w:t>
      </w:r>
      <w:r w:rsidRPr="00EB2E7B">
        <w:rPr>
          <w:rFonts w:asciiTheme="minorHAnsi" w:hAnsiTheme="minorHAnsi" w:cstheme="minorHAnsi"/>
          <w:sz w:val="20"/>
          <w:szCs w:val="20"/>
        </w:rPr>
        <w:t>wprowadzeniu, w trakcie trwania ograniczeń w dostarczaniu i poborze energii elektrycznej, innych stopni zasilania niż stopnie zasilania ogłoszone w</w:t>
      </w:r>
      <w:r w:rsidR="007E1E8E" w:rsidRPr="00EB2E7B">
        <w:rPr>
          <w:rFonts w:asciiTheme="minorHAnsi" w:hAnsiTheme="minorHAnsi" w:cstheme="minorHAnsi"/>
          <w:sz w:val="20"/>
          <w:szCs w:val="20"/>
        </w:rPr>
        <w:t> </w:t>
      </w:r>
      <w:r w:rsidRPr="00EB2E7B">
        <w:rPr>
          <w:rFonts w:asciiTheme="minorHAnsi" w:hAnsiTheme="minorHAnsi" w:cstheme="minorHAnsi"/>
          <w:sz w:val="20"/>
          <w:szCs w:val="20"/>
        </w:rPr>
        <w:t>komunikatach radiowych, przesyłając wiadomość tekstową na adres poczty elektronicznej lub na numer telefonu komórkowego wskazany przez odbiorcę w umowach dystrybucyjnych albo kompleksowych. Powiadomienia te są stosowane przez odbiorcę w pierwszej kolejności w stosunku do powiadomień ogłaszanych w komunikatach radiowych</w:t>
      </w:r>
      <w:bookmarkEnd w:id="272"/>
      <w:r w:rsidRPr="00EB2E7B">
        <w:rPr>
          <w:rFonts w:asciiTheme="minorHAnsi" w:hAnsiTheme="minorHAnsi" w:cstheme="minorHAnsi"/>
          <w:sz w:val="20"/>
          <w:szCs w:val="20"/>
        </w:rPr>
        <w:t>.</w:t>
      </w:r>
    </w:p>
    <w:p w14:paraId="6D7F9DC2" w14:textId="77777777" w:rsidR="00E25AB9" w:rsidRPr="00EB2E7B" w:rsidRDefault="00E25AB9" w:rsidP="0099115A">
      <w:pPr>
        <w:ind w:left="1134" w:firstLine="0"/>
        <w:rPr>
          <w:rFonts w:asciiTheme="minorHAnsi" w:hAnsiTheme="minorHAnsi" w:cstheme="minorHAnsi"/>
          <w:sz w:val="20"/>
          <w:szCs w:val="20"/>
        </w:rPr>
      </w:pPr>
      <w:bookmarkStart w:id="273" w:name="_Hlk127299059"/>
      <w:r w:rsidRPr="00EB2E7B">
        <w:rPr>
          <w:rFonts w:asciiTheme="minorHAnsi" w:hAnsiTheme="minorHAnsi" w:cstheme="minorHAnsi"/>
          <w:sz w:val="20"/>
          <w:szCs w:val="20"/>
        </w:rPr>
        <w:t>Jeżeli umowa dystrybucyjna albo kompleksowa nie zawiera adresu poczty elektronicznej lub numeru telefonu komórkowego, do czasu przekazania ACPRO przez odbiorcę adresu poczty elektronicznej lub numeru telefonu komórkowego, o którym mowa powyżej, ACPRO nie powiadamia odbiorcy o wprowadzeniu ograniczeń w dostarczaniu i poborze energii elektrycznej oraz wprowadzeniu innych stopni zasilania niż stopnie zasilania ogłoszone w komunikatach radiowych</w:t>
      </w:r>
      <w:bookmarkEnd w:id="273"/>
      <w:r w:rsidRPr="00EB2E7B">
        <w:rPr>
          <w:rFonts w:asciiTheme="minorHAnsi" w:hAnsiTheme="minorHAnsi" w:cstheme="minorHAnsi"/>
          <w:sz w:val="20"/>
          <w:szCs w:val="20"/>
        </w:rPr>
        <w:t>.</w:t>
      </w:r>
    </w:p>
    <w:p w14:paraId="53D4019A" w14:textId="77777777" w:rsidR="00E25AB9" w:rsidRPr="00EB2E7B" w:rsidRDefault="00E25AB9" w:rsidP="0099115A">
      <w:pPr>
        <w:ind w:left="1134" w:firstLine="0"/>
        <w:rPr>
          <w:rFonts w:asciiTheme="minorHAnsi" w:hAnsiTheme="minorHAnsi" w:cstheme="minorHAnsi"/>
          <w:sz w:val="20"/>
          <w:szCs w:val="20"/>
        </w:rPr>
      </w:pPr>
      <w:bookmarkStart w:id="274" w:name="_Hlk127299085"/>
      <w:r w:rsidRPr="00EB2E7B">
        <w:rPr>
          <w:rFonts w:asciiTheme="minorHAnsi" w:hAnsiTheme="minorHAnsi" w:cstheme="minorHAnsi"/>
          <w:sz w:val="20"/>
          <w:szCs w:val="20"/>
        </w:rPr>
        <w:t>Odbiorcy są zobowiązani do niezwłocznego pisemnego informowania odpowiednio ACPRO, z którym zawarli umowę o świadczenie usługi dystrybucji albo sprzedawców, z którymi posiadają zawarte umowy kompleksowe, o każdej zmianie danych dotyczących adresu poczty elektronicznej lub numeru telefonu komórkowego, o których mowa powyżej wskazanych w umowach. Sprzedawcy, którzy posiadają zawarte umowy kompleksowe zobowiązani są do niezwłocznego informowania ACPRO o zmianie tych danych</w:t>
      </w:r>
      <w:bookmarkEnd w:id="274"/>
      <w:r w:rsidRPr="00EB2E7B">
        <w:rPr>
          <w:rFonts w:asciiTheme="minorHAnsi" w:hAnsiTheme="minorHAnsi" w:cstheme="minorHAnsi"/>
          <w:sz w:val="20"/>
          <w:szCs w:val="20"/>
        </w:rPr>
        <w:t>.</w:t>
      </w:r>
    </w:p>
    <w:p w14:paraId="074E60F8" w14:textId="421BF351" w:rsidR="00E25AB9" w:rsidRPr="00EB2E7B" w:rsidRDefault="00E25AB9" w:rsidP="009A432E">
      <w:pPr>
        <w:pStyle w:val="Nagwek4"/>
        <w:rPr>
          <w:rFonts w:asciiTheme="minorHAnsi" w:hAnsiTheme="minorHAnsi" w:cstheme="minorHAnsi"/>
          <w:sz w:val="20"/>
          <w:szCs w:val="20"/>
        </w:rPr>
      </w:pPr>
      <w:bookmarkStart w:id="275" w:name="_Hlk127299109"/>
      <w:r w:rsidRPr="00EB2E7B">
        <w:rPr>
          <w:rFonts w:asciiTheme="minorHAnsi" w:hAnsiTheme="minorHAnsi" w:cstheme="minorHAnsi"/>
          <w:sz w:val="20"/>
          <w:szCs w:val="20"/>
        </w:rPr>
        <w:t>Powiadomienia o zmianie wprowadzonych stopni zasilania innych niż stopnie zasilania ogłoszone w komunikatach radiowych, ACPRO zamieszcza również na swojej stronie internetowej. Powiadomienia te są stosowane przez odbiorcę w pierwszej kolejności w stosunku do powiadomień ogłaszanych w komunikatach radiowych</w:t>
      </w:r>
      <w:bookmarkEnd w:id="275"/>
      <w:r w:rsidRPr="00EB2E7B">
        <w:rPr>
          <w:rFonts w:asciiTheme="minorHAnsi" w:hAnsiTheme="minorHAnsi" w:cstheme="minorHAnsi"/>
          <w:sz w:val="20"/>
          <w:szCs w:val="20"/>
        </w:rPr>
        <w:t>.</w:t>
      </w:r>
    </w:p>
    <w:p w14:paraId="5D87D7CB" w14:textId="6FAD6D15" w:rsidR="00FF2361"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Odbiorcy posiadający obiekty, dla których opracowano plan wprowadzania ograniczeń w dostarczaniu i poborze energii elektrycznej stosują się do przekazanych przez </w:t>
      </w:r>
      <w:r w:rsidR="00BE6A87" w:rsidRPr="00EB2E7B">
        <w:rPr>
          <w:rFonts w:asciiTheme="minorHAnsi" w:hAnsiTheme="minorHAnsi" w:cstheme="minorHAnsi"/>
          <w:sz w:val="20"/>
          <w:szCs w:val="20"/>
        </w:rPr>
        <w:t xml:space="preserve">służby dyspozytorskie i ruchowe </w:t>
      </w:r>
      <w:r w:rsidRPr="00EB2E7B">
        <w:rPr>
          <w:rFonts w:asciiTheme="minorHAnsi" w:hAnsiTheme="minorHAnsi" w:cstheme="minorHAnsi"/>
          <w:sz w:val="20"/>
          <w:szCs w:val="20"/>
        </w:rPr>
        <w:t>ACPRO powiadomień dotyczących wprowadzanych ograniczeń.</w:t>
      </w:r>
    </w:p>
    <w:p w14:paraId="19E51954" w14:textId="77777777" w:rsidR="00E25AB9" w:rsidRPr="00EB2E7B" w:rsidRDefault="00E25AB9" w:rsidP="0069498E">
      <w:pPr>
        <w:pStyle w:val="Nagwek3gruby"/>
        <w:ind w:left="1134" w:hanging="1134"/>
        <w:rPr>
          <w:rFonts w:asciiTheme="minorHAnsi" w:hAnsiTheme="minorHAnsi" w:cstheme="minorHAnsi"/>
          <w:sz w:val="20"/>
          <w:szCs w:val="20"/>
        </w:rPr>
      </w:pPr>
      <w:bookmarkStart w:id="276" w:name="_Ref75515462"/>
      <w:r w:rsidRPr="00EB2E7B">
        <w:rPr>
          <w:rFonts w:asciiTheme="minorHAnsi" w:hAnsiTheme="minorHAnsi" w:cstheme="minorHAnsi"/>
          <w:sz w:val="20"/>
          <w:szCs w:val="20"/>
        </w:rPr>
        <w:t>Tryb normalny na polecenie OSP.</w:t>
      </w:r>
      <w:bookmarkEnd w:id="276"/>
      <w:r w:rsidRPr="00EB2E7B">
        <w:rPr>
          <w:rFonts w:asciiTheme="minorHAnsi" w:hAnsiTheme="minorHAnsi" w:cstheme="minorHAnsi"/>
          <w:sz w:val="20"/>
          <w:szCs w:val="20"/>
        </w:rPr>
        <w:t xml:space="preserve"> </w:t>
      </w:r>
    </w:p>
    <w:p w14:paraId="0509758C" w14:textId="5228D987"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 przypadku zagrożenia bezpieczeństwa dostaw energii elektrycznej OSP może wprowadzić ograniczenia w dostarczaniu i poborze energii elektrycznej na terytorium Rzeczypospolitej Polskiej lub jego części do czasu wejścia w życie przepisów,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_Ref130809412 \r \h </w:instrText>
      </w:r>
      <w:r w:rsidR="00DF2E30"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lecz nie dłużej niż na okres 72 godzin. </w:t>
      </w:r>
    </w:p>
    <w:p w14:paraId="56EF4104" w14:textId="6EF405F9"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Plany wprowadzania ograniczeń w dostarczaniu i poborze energii elektrycznej oraz procedury związane z wprowadzaniem ograniczeń opracowane dla trybu normalnego i opisane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_Ref75515441 \r \h </w:instrText>
      </w:r>
      <w:r w:rsidR="00F63CF1"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mają zastosowanie w trybie normalnym na polecenie OSP. </w:t>
      </w:r>
    </w:p>
    <w:p w14:paraId="339E2965" w14:textId="301AB0D3"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 przypadku wprowadzenia ograniczeń w dostarczaniu i poborze energii elektrycznej w trybie normalnym na polecenie OSP, OSP przekazuje stosowne komunikaty o ograniczeniach, w sposób analogiczny jak dla informacji  określonych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_Ref130811649 \r \h </w:instrText>
      </w:r>
      <w:r w:rsidR="008007E2"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IV.3.2.30</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oraz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_Ref130811661 \r \h </w:instrText>
      </w:r>
      <w:r w:rsidR="008007E2"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IV.3.2.32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Wydanie  stosownych komunikatów za pośrednictwem środków masowego przekazu zgodnie z zasadami określonymi w </w:t>
      </w:r>
      <w:r w:rsidRPr="00EB2E7B">
        <w:rPr>
          <w:rFonts w:asciiTheme="minorHAnsi" w:hAnsiTheme="minorHAnsi" w:cstheme="minorHAnsi"/>
          <w:sz w:val="20"/>
          <w:szCs w:val="20"/>
        </w:rPr>
        <w:lastRenderedPageBreak/>
        <w:t xml:space="preserve">rozporządzeniu, o którym mowa w § 11 ust. 6 ustawy Prawo energetyczne, następuje w możliwie najkrótszym terminie. </w:t>
      </w:r>
    </w:p>
    <w:p w14:paraId="55A6D398" w14:textId="77777777" w:rsidR="00E25AB9" w:rsidRPr="00EB2E7B" w:rsidRDefault="00E25AB9" w:rsidP="0069498E">
      <w:pPr>
        <w:pStyle w:val="Nagwek3gruby"/>
        <w:ind w:left="1134" w:hanging="1134"/>
        <w:rPr>
          <w:rFonts w:asciiTheme="minorHAnsi" w:hAnsiTheme="minorHAnsi" w:cstheme="minorHAnsi"/>
          <w:sz w:val="20"/>
          <w:szCs w:val="20"/>
        </w:rPr>
      </w:pPr>
      <w:bookmarkStart w:id="277" w:name="_Ref75515478"/>
      <w:r w:rsidRPr="00EB2E7B">
        <w:rPr>
          <w:rFonts w:asciiTheme="minorHAnsi" w:hAnsiTheme="minorHAnsi" w:cstheme="minorHAnsi"/>
          <w:sz w:val="20"/>
          <w:szCs w:val="20"/>
        </w:rPr>
        <w:t>Tryb awaryjny.</w:t>
      </w:r>
      <w:bookmarkEnd w:id="277"/>
      <w:r w:rsidRPr="00EB2E7B">
        <w:rPr>
          <w:rFonts w:asciiTheme="minorHAnsi" w:hAnsiTheme="minorHAnsi" w:cstheme="minorHAnsi"/>
          <w:sz w:val="20"/>
          <w:szCs w:val="20"/>
        </w:rPr>
        <w:t xml:space="preserve"> </w:t>
      </w:r>
    </w:p>
    <w:p w14:paraId="7C104821" w14:textId="77777777" w:rsidR="00E25AB9" w:rsidRPr="00EB2E7B" w:rsidRDefault="00E25AB9" w:rsidP="009A432E">
      <w:pPr>
        <w:pStyle w:val="Nagwek4gruby"/>
        <w:rPr>
          <w:rFonts w:asciiTheme="minorHAnsi" w:hAnsiTheme="minorHAnsi" w:cstheme="minorHAnsi"/>
          <w:sz w:val="20"/>
          <w:szCs w:val="20"/>
        </w:rPr>
      </w:pPr>
      <w:r w:rsidRPr="00EB2E7B">
        <w:rPr>
          <w:rFonts w:asciiTheme="minorHAnsi" w:hAnsiTheme="minorHAnsi" w:cstheme="minorHAnsi"/>
          <w:sz w:val="20"/>
          <w:szCs w:val="20"/>
        </w:rPr>
        <w:t>Tryb awaryjny sieciowy</w:t>
      </w:r>
    </w:p>
    <w:p w14:paraId="17AC18FF" w14:textId="77777777" w:rsidR="00E25AB9" w:rsidRPr="00EB2E7B" w:rsidRDefault="00E25AB9" w:rsidP="0069498E">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OSP może wprowadzić przerwy w dostarczaniu i poborze energii elektrycznej, realizowane w postaci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odbiorców w trybie awaryjnym sieciowym, jeżeli zaistnieje co najmniej jeden z poniższych przypadków:</w:t>
      </w:r>
    </w:p>
    <w:p w14:paraId="40479D9E" w14:textId="77777777" w:rsidR="00E25AB9" w:rsidRPr="00EB2E7B" w:rsidRDefault="00E25AB9" w:rsidP="00EE7359">
      <w:pPr>
        <w:pStyle w:val="1przed"/>
        <w:numPr>
          <w:ilvl w:val="0"/>
          <w:numId w:val="403"/>
        </w:numPr>
        <w:ind w:left="1701" w:hanging="567"/>
        <w:rPr>
          <w:rFonts w:asciiTheme="minorHAnsi" w:hAnsiTheme="minorHAnsi" w:cstheme="minorHAnsi"/>
          <w:sz w:val="20"/>
          <w:szCs w:val="20"/>
        </w:rPr>
      </w:pPr>
      <w:r w:rsidRPr="00EB2E7B">
        <w:rPr>
          <w:rFonts w:asciiTheme="minorHAnsi" w:hAnsiTheme="minorHAnsi" w:cstheme="minorHAnsi"/>
          <w:sz w:val="20"/>
          <w:szCs w:val="20"/>
        </w:rPr>
        <w:t>gdy jest to konieczne do zapobieżenia rozprzestrzenianiu się lub pogarszaniu stanu zagrożenia,</w:t>
      </w:r>
    </w:p>
    <w:p w14:paraId="16768BF8" w14:textId="77777777" w:rsidR="00E25AB9" w:rsidRPr="00EB2E7B" w:rsidRDefault="00E25AB9" w:rsidP="00EE7359">
      <w:pPr>
        <w:pStyle w:val="1przed"/>
        <w:numPr>
          <w:ilvl w:val="0"/>
          <w:numId w:val="4"/>
        </w:numPr>
        <w:ind w:left="1701" w:hanging="567"/>
        <w:rPr>
          <w:rFonts w:asciiTheme="minorHAnsi" w:hAnsiTheme="minorHAnsi" w:cstheme="minorHAnsi"/>
          <w:sz w:val="20"/>
          <w:szCs w:val="20"/>
        </w:rPr>
      </w:pPr>
      <w:r w:rsidRPr="00EB2E7B">
        <w:rPr>
          <w:rFonts w:asciiTheme="minorHAnsi" w:hAnsiTheme="minorHAnsi" w:cstheme="minorHAnsi"/>
          <w:sz w:val="20"/>
          <w:szCs w:val="20"/>
        </w:rPr>
        <w:t>wystąpił stan odbudowy lub stan zaniku zasilania,</w:t>
      </w:r>
    </w:p>
    <w:p w14:paraId="5CE46D34" w14:textId="77777777" w:rsidR="00E25AB9" w:rsidRPr="00EB2E7B" w:rsidRDefault="00E25AB9" w:rsidP="00EE7359">
      <w:pPr>
        <w:pStyle w:val="1przed"/>
        <w:numPr>
          <w:ilvl w:val="0"/>
          <w:numId w:val="4"/>
        </w:numPr>
        <w:ind w:left="1701" w:hanging="567"/>
        <w:rPr>
          <w:rFonts w:asciiTheme="minorHAnsi" w:hAnsiTheme="minorHAnsi" w:cstheme="minorHAnsi"/>
          <w:sz w:val="20"/>
          <w:szCs w:val="20"/>
        </w:rPr>
      </w:pPr>
      <w:bookmarkStart w:id="278" w:name="_Ref190088344"/>
      <w:r w:rsidRPr="00EB2E7B">
        <w:rPr>
          <w:rFonts w:asciiTheme="minorHAnsi" w:hAnsiTheme="minorHAnsi" w:cstheme="minorHAnsi"/>
          <w:sz w:val="20"/>
          <w:szCs w:val="20"/>
        </w:rPr>
        <w:t>wystąpiło zagrożenie bezpieczeństwa dostaw energii elektrycznej uniemożliwiające zapewnienie bezpieczeństwa pracy sieci,</w:t>
      </w:r>
      <w:bookmarkEnd w:id="278"/>
    </w:p>
    <w:p w14:paraId="423E4200" w14:textId="77777777" w:rsidR="00E25AB9" w:rsidRPr="00EB2E7B" w:rsidRDefault="00E25AB9" w:rsidP="00EE7359">
      <w:pPr>
        <w:pStyle w:val="1przed"/>
        <w:numPr>
          <w:ilvl w:val="0"/>
          <w:numId w:val="4"/>
        </w:numPr>
        <w:ind w:left="1701" w:hanging="567"/>
        <w:rPr>
          <w:rFonts w:asciiTheme="minorHAnsi" w:hAnsiTheme="minorHAnsi" w:cstheme="minorHAnsi"/>
          <w:sz w:val="20"/>
          <w:szCs w:val="20"/>
        </w:rPr>
      </w:pPr>
      <w:bookmarkStart w:id="279" w:name="_Ref190088347"/>
      <w:r w:rsidRPr="00EB2E7B">
        <w:rPr>
          <w:rFonts w:asciiTheme="minorHAnsi" w:hAnsiTheme="minorHAnsi" w:cstheme="minorHAnsi"/>
          <w:sz w:val="20"/>
          <w:szCs w:val="20"/>
        </w:rPr>
        <w:t>wystąpiło zagrożenie bezpiecznej pracy urządzeń, instalacji lub sieci lub zagrożenia bezpieczeństwa osób, mienia lub środowiska.</w:t>
      </w:r>
      <w:bookmarkEnd w:id="279"/>
    </w:p>
    <w:p w14:paraId="6976D93B" w14:textId="32FA7BBD"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Tryb awaryjny sieciowy w przypadkach, o których mowa w pkt </w:t>
      </w:r>
      <w:r w:rsidR="00BA646B" w:rsidRPr="00EB2E7B">
        <w:rPr>
          <w:rFonts w:asciiTheme="minorHAnsi" w:hAnsiTheme="minorHAnsi" w:cstheme="minorHAnsi"/>
          <w:sz w:val="20"/>
          <w:szCs w:val="20"/>
        </w:rPr>
        <w:fldChar w:fldCharType="begin"/>
      </w:r>
      <w:r w:rsidR="00BA646B" w:rsidRPr="00EB2E7B">
        <w:rPr>
          <w:rFonts w:asciiTheme="minorHAnsi" w:hAnsiTheme="minorHAnsi" w:cstheme="minorHAnsi"/>
          <w:sz w:val="20"/>
          <w:szCs w:val="20"/>
        </w:rPr>
        <w:instrText xml:space="preserve"> REF _Ref190088344 \w \h  \* MERGEFORMAT </w:instrText>
      </w:r>
      <w:r w:rsidR="00BA646B" w:rsidRPr="00EB2E7B">
        <w:rPr>
          <w:rFonts w:asciiTheme="minorHAnsi" w:hAnsiTheme="minorHAnsi" w:cstheme="minorHAnsi"/>
          <w:sz w:val="20"/>
          <w:szCs w:val="20"/>
        </w:rPr>
      </w:r>
      <w:r w:rsidR="00BA646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00BA646B"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BA646B" w:rsidRPr="00EB2E7B">
        <w:rPr>
          <w:rFonts w:asciiTheme="minorHAnsi" w:hAnsiTheme="minorHAnsi" w:cstheme="minorHAnsi"/>
          <w:sz w:val="20"/>
          <w:szCs w:val="20"/>
        </w:rPr>
        <w:fldChar w:fldCharType="begin"/>
      </w:r>
      <w:r w:rsidR="00BA646B" w:rsidRPr="00EB2E7B">
        <w:rPr>
          <w:rFonts w:asciiTheme="minorHAnsi" w:hAnsiTheme="minorHAnsi" w:cstheme="minorHAnsi"/>
          <w:sz w:val="20"/>
          <w:szCs w:val="20"/>
        </w:rPr>
        <w:instrText xml:space="preserve"> REF _Ref190088347 \w \h  \* MERGEFORMAT </w:instrText>
      </w:r>
      <w:r w:rsidR="00BA646B" w:rsidRPr="00EB2E7B">
        <w:rPr>
          <w:rFonts w:asciiTheme="minorHAnsi" w:hAnsiTheme="minorHAnsi" w:cstheme="minorHAnsi"/>
          <w:sz w:val="20"/>
          <w:szCs w:val="20"/>
        </w:rPr>
      </w:r>
      <w:r w:rsidR="00BA646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4)</w:t>
      </w:r>
      <w:r w:rsidR="00BA646B" w:rsidRPr="00EB2E7B">
        <w:rPr>
          <w:rFonts w:asciiTheme="minorHAnsi" w:hAnsiTheme="minorHAnsi" w:cstheme="minorHAnsi"/>
          <w:sz w:val="20"/>
          <w:szCs w:val="20"/>
        </w:rPr>
        <w:fldChar w:fldCharType="end"/>
      </w:r>
      <w:r w:rsidRPr="00EB2E7B">
        <w:rPr>
          <w:rFonts w:asciiTheme="minorHAnsi" w:hAnsiTheme="minorHAnsi" w:cstheme="minorHAnsi"/>
          <w:sz w:val="20"/>
          <w:szCs w:val="20"/>
        </w:rPr>
        <w:t>, może być wprowadzony nie dłużej niż na okres 72 godzin.</w:t>
      </w:r>
    </w:p>
    <w:p w14:paraId="7FF98E67" w14:textId="77777777" w:rsidR="00B76C53" w:rsidRPr="00EB2E7B" w:rsidRDefault="00E25AB9" w:rsidP="00DD6705">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Wyłączenia awaryjne odbiorców w trybie awaryjnym sieciowym (dalej „wyłączenia awaryjne sieciowe”) są realizowane na polecenie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W szczególnych przypadkach, w szczególności w związku z zagrożeniem bezpieczeństwa osób, ACPRO</w:t>
      </w:r>
      <w:r w:rsidR="007446FB" w:rsidRPr="00EB2E7B">
        <w:rPr>
          <w:rFonts w:asciiTheme="minorHAnsi" w:hAnsiTheme="minorHAnsi" w:cstheme="minorHAnsi"/>
          <w:sz w:val="20"/>
          <w:szCs w:val="20"/>
        </w:rPr>
        <w:t>, OSDn</w:t>
      </w:r>
      <w:r w:rsidRPr="00EB2E7B">
        <w:rPr>
          <w:rFonts w:asciiTheme="minorHAnsi" w:hAnsiTheme="minorHAnsi" w:cstheme="minorHAnsi"/>
          <w:sz w:val="20"/>
          <w:szCs w:val="20"/>
        </w:rPr>
        <w:t xml:space="preserve"> może dokonać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sieciowych bez wydania polecenia przez OSP. W takim przypadku</w:t>
      </w:r>
      <w:r w:rsidR="00B76C53" w:rsidRPr="00EB2E7B">
        <w:rPr>
          <w:rFonts w:asciiTheme="minorHAnsi" w:hAnsiTheme="minorHAnsi" w:cstheme="minorHAnsi"/>
          <w:sz w:val="20"/>
          <w:szCs w:val="20"/>
        </w:rPr>
        <w:t>:</w:t>
      </w:r>
    </w:p>
    <w:p w14:paraId="55419F30" w14:textId="3705E4C6" w:rsidR="00B76C53" w:rsidRPr="00EB2E7B" w:rsidRDefault="00E25AB9" w:rsidP="00B76C53">
      <w:pPr>
        <w:pStyle w:val="Akapitzlist"/>
        <w:numPr>
          <w:ilvl w:val="0"/>
          <w:numId w:val="516"/>
        </w:numPr>
        <w:ind w:left="1701" w:hanging="567"/>
        <w:rPr>
          <w:rFonts w:asciiTheme="minorHAnsi" w:hAnsiTheme="minorHAnsi" w:cstheme="minorHAnsi"/>
          <w:sz w:val="20"/>
          <w:szCs w:val="20"/>
        </w:rPr>
      </w:pPr>
      <w:bookmarkStart w:id="280" w:name="_Ref190088448"/>
      <w:r w:rsidRPr="00EB2E7B">
        <w:rPr>
          <w:rFonts w:asciiTheme="minorHAnsi" w:hAnsiTheme="minorHAnsi" w:cstheme="minorHAnsi"/>
          <w:sz w:val="20"/>
          <w:szCs w:val="20"/>
        </w:rPr>
        <w:t xml:space="preserve">ACPRO jest zobowiązany niezwłocznie powiadomić o tym służby dyspozytorskie OSP – ODM za pośrednictwem </w:t>
      </w:r>
      <w:proofErr w:type="spellStart"/>
      <w:r w:rsidRPr="00EB2E7B">
        <w:rPr>
          <w:rFonts w:asciiTheme="minorHAnsi" w:hAnsiTheme="minorHAnsi" w:cstheme="minorHAnsi"/>
          <w:sz w:val="20"/>
          <w:szCs w:val="20"/>
        </w:rPr>
        <w:t>OSDp</w:t>
      </w:r>
      <w:proofErr w:type="spellEnd"/>
      <w:r w:rsidR="00B76C53" w:rsidRPr="00EB2E7B">
        <w:rPr>
          <w:rFonts w:asciiTheme="minorHAnsi" w:hAnsiTheme="minorHAnsi" w:cstheme="minorHAnsi"/>
          <w:sz w:val="20"/>
          <w:szCs w:val="20"/>
        </w:rPr>
        <w:t>,</w:t>
      </w:r>
      <w:bookmarkEnd w:id="280"/>
    </w:p>
    <w:p w14:paraId="0F78A778" w14:textId="4E728B08" w:rsidR="00E25AB9" w:rsidRPr="00EB2E7B" w:rsidRDefault="00347C06" w:rsidP="00AD4513">
      <w:pPr>
        <w:pStyle w:val="Akapitzlist"/>
        <w:numPr>
          <w:ilvl w:val="0"/>
          <w:numId w:val="51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OSDn jest zobowiązany niezwłocznie powiadomić o tym służby dyspozytorskie ACPRO, zaś następnie </w:t>
      </w:r>
      <w:r w:rsidR="00234A7E"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jest zobowiązany </w:t>
      </w:r>
      <w:r w:rsidR="00234A7E" w:rsidRPr="00EB2E7B">
        <w:rPr>
          <w:rFonts w:asciiTheme="minorHAnsi" w:hAnsiTheme="minorHAnsi" w:cstheme="minorHAnsi"/>
          <w:sz w:val="20"/>
          <w:szCs w:val="20"/>
        </w:rPr>
        <w:t xml:space="preserve">zadziałać jak </w:t>
      </w:r>
      <w:proofErr w:type="spellStart"/>
      <w:r w:rsidR="00234A7E" w:rsidRPr="00EB2E7B">
        <w:rPr>
          <w:rFonts w:asciiTheme="minorHAnsi" w:hAnsiTheme="minorHAnsi" w:cstheme="minorHAnsi"/>
          <w:sz w:val="20"/>
          <w:szCs w:val="20"/>
        </w:rPr>
        <w:t>ppkt</w:t>
      </w:r>
      <w:proofErr w:type="spellEnd"/>
      <w:r w:rsidR="00234A7E" w:rsidRPr="00EB2E7B">
        <w:rPr>
          <w:rFonts w:asciiTheme="minorHAnsi" w:hAnsiTheme="minorHAnsi" w:cstheme="minorHAnsi"/>
          <w:sz w:val="20"/>
          <w:szCs w:val="20"/>
        </w:rPr>
        <w:t xml:space="preserve"> </w:t>
      </w:r>
      <w:r w:rsidR="00C57812" w:rsidRPr="00EB2E7B">
        <w:rPr>
          <w:rFonts w:asciiTheme="minorHAnsi" w:hAnsiTheme="minorHAnsi" w:cstheme="minorHAnsi"/>
          <w:sz w:val="20"/>
          <w:szCs w:val="20"/>
        </w:rPr>
        <w:fldChar w:fldCharType="begin"/>
      </w:r>
      <w:r w:rsidR="00C57812" w:rsidRPr="00EB2E7B">
        <w:rPr>
          <w:rFonts w:asciiTheme="minorHAnsi" w:hAnsiTheme="minorHAnsi" w:cstheme="minorHAnsi"/>
          <w:sz w:val="20"/>
          <w:szCs w:val="20"/>
        </w:rPr>
        <w:instrText xml:space="preserve"> REF _Ref190088448 \w \h  \* MERGEFORMAT </w:instrText>
      </w:r>
      <w:r w:rsidR="00C57812" w:rsidRPr="00EB2E7B">
        <w:rPr>
          <w:rFonts w:asciiTheme="minorHAnsi" w:hAnsiTheme="minorHAnsi" w:cstheme="minorHAnsi"/>
          <w:sz w:val="20"/>
          <w:szCs w:val="20"/>
        </w:rPr>
      </w:r>
      <w:r w:rsidR="00C5781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C57812"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2BD63D0" w14:textId="71A9D702" w:rsidR="00E25AB9" w:rsidRPr="00EB2E7B" w:rsidRDefault="00E25AB9" w:rsidP="00DD6705">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Wyłączenia awaryjne sieciowe są realizowane w stopniach A1 – A5. Stopnie</w:t>
      </w:r>
      <w:r w:rsidR="00DC1C4F" w:rsidRPr="00EB2E7B">
        <w:rPr>
          <w:rFonts w:asciiTheme="minorHAnsi" w:hAnsiTheme="minorHAnsi" w:cstheme="minorHAnsi"/>
          <w:sz w:val="20"/>
          <w:szCs w:val="20"/>
        </w:rPr>
        <w:t xml:space="preserve"> od</w:t>
      </w:r>
      <w:r w:rsidRPr="00EB2E7B">
        <w:rPr>
          <w:rFonts w:asciiTheme="minorHAnsi" w:hAnsiTheme="minorHAnsi" w:cstheme="minorHAnsi"/>
          <w:sz w:val="20"/>
          <w:szCs w:val="20"/>
        </w:rPr>
        <w:t xml:space="preserve"> A1 do A5 powinny zapewniać równomierny spadek poboru mocy czynnej, każdy w przedziale 9 – 11% prognozowanego zapotrzebowania na moc. Wyłączenia awaryjne sieciowe wprowadzone łącznie w stopniach od A1 do A5 powinny zapewnić zmniejszenie poboru mocy czynnej o 50% prognozowanego zapotrzebowania na moc.</w:t>
      </w:r>
    </w:p>
    <w:p w14:paraId="56AAE566" w14:textId="77777777" w:rsidR="00E25AB9" w:rsidRPr="00EB2E7B" w:rsidRDefault="00E25AB9" w:rsidP="00DD6705">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Wyłączenia awaryjne sieciowe są realizowane:</w:t>
      </w:r>
    </w:p>
    <w:p w14:paraId="752F54CA" w14:textId="52F5DA62" w:rsidR="00E25AB9" w:rsidRPr="00EB2E7B" w:rsidRDefault="00E25AB9" w:rsidP="00EE7359">
      <w:pPr>
        <w:pStyle w:val="1przed"/>
        <w:numPr>
          <w:ilvl w:val="0"/>
          <w:numId w:val="404"/>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poprzez wyłączenia linii o napięciu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transformatorów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/SN lub linii i stacji SN,</w:t>
      </w:r>
    </w:p>
    <w:p w14:paraId="05157384" w14:textId="77777777" w:rsidR="00E25AB9" w:rsidRPr="00EB2E7B" w:rsidRDefault="00E25AB9" w:rsidP="00EE7359">
      <w:pPr>
        <w:pStyle w:val="1przed"/>
        <w:numPr>
          <w:ilvl w:val="0"/>
          <w:numId w:val="4"/>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poprzez zmniejszenie ilości pobieranej energii elektrycznej przez OSDn przyłączonych do sieci o napięciu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22FD4940" w14:textId="77777777" w:rsidR="00E25AB9" w:rsidRPr="00EB2E7B" w:rsidRDefault="00E25AB9" w:rsidP="00EE7359">
      <w:pPr>
        <w:pStyle w:val="1przed"/>
        <w:numPr>
          <w:ilvl w:val="0"/>
          <w:numId w:val="4"/>
        </w:numPr>
        <w:ind w:left="1701" w:hanging="567"/>
        <w:rPr>
          <w:rFonts w:asciiTheme="minorHAnsi" w:hAnsiTheme="minorHAnsi" w:cstheme="minorHAnsi"/>
          <w:sz w:val="20"/>
          <w:szCs w:val="20"/>
        </w:rPr>
      </w:pPr>
      <w:r w:rsidRPr="00EB2E7B">
        <w:rPr>
          <w:rFonts w:asciiTheme="minorHAnsi" w:hAnsiTheme="minorHAnsi" w:cstheme="minorHAnsi"/>
          <w:sz w:val="20"/>
          <w:szCs w:val="20"/>
        </w:rPr>
        <w:t>a po wyczerpaniu wszystkich powyższych działań, poprzez zmniejszenie ilości pobieranej energii elektrycznej przez odbiorców końcowych przyłączonych do sieci przesyłowej,</w:t>
      </w:r>
    </w:p>
    <w:p w14:paraId="69EFDBDD" w14:textId="77777777"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na obszarze wskazanym przez służby dyspozytorskie wydające polecenie o wprowadzeniu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sieciowych.</w:t>
      </w:r>
    </w:p>
    <w:p w14:paraId="31D28F4B" w14:textId="0B75A773" w:rsidR="00E25AB9" w:rsidRPr="00EB2E7B" w:rsidRDefault="00E25AB9" w:rsidP="00BF52BE">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Wyłączenia awaryjne sieciowe powinny być zrealizowane niezwłocznie, w czasie nie dłuższym niż:</w:t>
      </w:r>
    </w:p>
    <w:p w14:paraId="75CFFA33" w14:textId="77777777" w:rsidR="00E25AB9" w:rsidRPr="00EB2E7B" w:rsidRDefault="00E25AB9" w:rsidP="00EF06A5">
      <w:pPr>
        <w:pStyle w:val="1przed"/>
        <w:numPr>
          <w:ilvl w:val="0"/>
          <w:numId w:val="405"/>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15 minut – w przypadku wprowadzenia stopnia A1,</w:t>
      </w:r>
    </w:p>
    <w:p w14:paraId="46BE5B15" w14:textId="77777777" w:rsidR="00E25AB9" w:rsidRPr="00EB2E7B" w:rsidRDefault="00E25AB9" w:rsidP="00EF06A5">
      <w:pPr>
        <w:pStyle w:val="1przed"/>
        <w:numPr>
          <w:ilvl w:val="0"/>
          <w:numId w:val="4"/>
        </w:numPr>
        <w:ind w:left="1701" w:hanging="567"/>
        <w:rPr>
          <w:rFonts w:asciiTheme="minorHAnsi" w:hAnsiTheme="minorHAnsi" w:cstheme="minorHAnsi"/>
          <w:sz w:val="20"/>
          <w:szCs w:val="20"/>
        </w:rPr>
      </w:pPr>
      <w:r w:rsidRPr="00EB2E7B">
        <w:rPr>
          <w:rFonts w:asciiTheme="minorHAnsi" w:hAnsiTheme="minorHAnsi" w:cstheme="minorHAnsi"/>
          <w:sz w:val="20"/>
          <w:szCs w:val="20"/>
        </w:rPr>
        <w:t>15 minut – w przypadku wprowadzenia jednocześnie stopni A1 i A2,</w:t>
      </w:r>
    </w:p>
    <w:p w14:paraId="0FB9057B" w14:textId="77777777" w:rsidR="00E25AB9" w:rsidRPr="00EB2E7B" w:rsidRDefault="00E25AB9" w:rsidP="00EF06A5">
      <w:pPr>
        <w:pStyle w:val="1przed"/>
        <w:numPr>
          <w:ilvl w:val="0"/>
          <w:numId w:val="4"/>
        </w:numPr>
        <w:ind w:left="1701" w:hanging="567"/>
        <w:rPr>
          <w:rFonts w:asciiTheme="minorHAnsi" w:hAnsiTheme="minorHAnsi" w:cstheme="minorHAnsi"/>
          <w:sz w:val="20"/>
          <w:szCs w:val="20"/>
        </w:rPr>
      </w:pPr>
      <w:r w:rsidRPr="00EB2E7B">
        <w:rPr>
          <w:rFonts w:asciiTheme="minorHAnsi" w:hAnsiTheme="minorHAnsi" w:cstheme="minorHAnsi"/>
          <w:sz w:val="20"/>
          <w:szCs w:val="20"/>
        </w:rPr>
        <w:t>30 minut – w przypadku wprowadzenia jednocześnie stopni od A1 do A3,</w:t>
      </w:r>
    </w:p>
    <w:p w14:paraId="4813F2C9" w14:textId="77777777" w:rsidR="00E25AB9" w:rsidRPr="00EB2E7B" w:rsidRDefault="00E25AB9" w:rsidP="00EF06A5">
      <w:pPr>
        <w:pStyle w:val="1przed"/>
        <w:numPr>
          <w:ilvl w:val="0"/>
          <w:numId w:val="4"/>
        </w:numPr>
        <w:ind w:left="1701" w:hanging="567"/>
        <w:rPr>
          <w:rFonts w:asciiTheme="minorHAnsi" w:hAnsiTheme="minorHAnsi" w:cstheme="minorHAnsi"/>
          <w:sz w:val="20"/>
          <w:szCs w:val="20"/>
        </w:rPr>
      </w:pPr>
      <w:r w:rsidRPr="00EB2E7B">
        <w:rPr>
          <w:rFonts w:asciiTheme="minorHAnsi" w:hAnsiTheme="minorHAnsi" w:cstheme="minorHAnsi"/>
          <w:sz w:val="20"/>
          <w:szCs w:val="20"/>
        </w:rPr>
        <w:t>45 minut – w przypadku wprowadzenia jednocześnie stopni od A1 do A4,</w:t>
      </w:r>
    </w:p>
    <w:p w14:paraId="4055DE37" w14:textId="77777777" w:rsidR="00E25AB9" w:rsidRPr="00EB2E7B" w:rsidRDefault="00E25AB9" w:rsidP="00EF06A5">
      <w:pPr>
        <w:pStyle w:val="1przed"/>
        <w:numPr>
          <w:ilvl w:val="0"/>
          <w:numId w:val="4"/>
        </w:numPr>
        <w:ind w:left="1701" w:hanging="567"/>
        <w:rPr>
          <w:rFonts w:asciiTheme="minorHAnsi" w:hAnsiTheme="minorHAnsi" w:cstheme="minorHAnsi"/>
          <w:sz w:val="20"/>
          <w:szCs w:val="20"/>
        </w:rPr>
      </w:pPr>
      <w:r w:rsidRPr="00EB2E7B">
        <w:rPr>
          <w:rFonts w:asciiTheme="minorHAnsi" w:hAnsiTheme="minorHAnsi" w:cstheme="minorHAnsi"/>
          <w:sz w:val="20"/>
          <w:szCs w:val="20"/>
        </w:rPr>
        <w:t>60 minut – w przypadku wprowadzenia jednocześnie stopni od A1 do A5;</w:t>
      </w:r>
    </w:p>
    <w:p w14:paraId="393AAB9D" w14:textId="7B28E303" w:rsidR="00E25AB9" w:rsidRPr="00EB2E7B" w:rsidRDefault="00EF06A5"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o</w:t>
      </w:r>
      <w:r w:rsidR="00E25AB9" w:rsidRPr="00EB2E7B">
        <w:rPr>
          <w:rFonts w:asciiTheme="minorHAnsi" w:hAnsiTheme="minorHAnsi" w:cstheme="minorHAnsi"/>
          <w:sz w:val="20"/>
          <w:szCs w:val="20"/>
        </w:rPr>
        <w:t>d wydania polecenia dyspozytorskiego.</w:t>
      </w:r>
    </w:p>
    <w:p w14:paraId="1AD67264" w14:textId="77777777" w:rsidR="00E25AB9" w:rsidRPr="00EB2E7B" w:rsidRDefault="00E25AB9" w:rsidP="00EF06A5">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OSP w porozumieniu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ustala corocznie dla każdego miesiąca, dla prognozowanego zapotrzebowania na moc w dobowych szczytach tego zapotrzebowania, dla typowych warunków pogodowych, wartości obniżenia poboru mocy czynnej w poszczególnych stopniach A.</w:t>
      </w:r>
    </w:p>
    <w:p w14:paraId="1184174C" w14:textId="31ECEB04" w:rsidR="009D0FE4" w:rsidRPr="00EB2E7B" w:rsidRDefault="009D0FE4" w:rsidP="009D0FE4">
      <w:pPr>
        <w:pStyle w:val="Nagwek5"/>
        <w:ind w:left="1134" w:hanging="1134"/>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porozumieniu z</w:t>
      </w:r>
      <w:r w:rsidR="004E2E21" w:rsidRPr="00EB2E7B">
        <w:rPr>
          <w:rFonts w:asciiTheme="minorHAnsi" w:hAnsiTheme="minorHAnsi" w:cstheme="minorHAnsi"/>
          <w:sz w:val="20"/>
          <w:szCs w:val="20"/>
        </w:rPr>
        <w:t xml:space="preserve"> właściwymi</w:t>
      </w:r>
      <w:r w:rsidRPr="00EB2E7B">
        <w:rPr>
          <w:rFonts w:asciiTheme="minorHAnsi" w:hAnsiTheme="minorHAnsi" w:cstheme="minorHAnsi"/>
          <w:sz w:val="20"/>
          <w:szCs w:val="20"/>
        </w:rPr>
        <w:t xml:space="preserve"> OSD</w:t>
      </w:r>
      <w:r w:rsidR="00C71B43" w:rsidRPr="00EB2E7B">
        <w:rPr>
          <w:rFonts w:asciiTheme="minorHAnsi" w:hAnsiTheme="minorHAnsi" w:cstheme="minorHAnsi"/>
          <w:sz w:val="20"/>
          <w:szCs w:val="20"/>
        </w:rPr>
        <w:t>n</w:t>
      </w:r>
      <w:r w:rsidR="0045330C" w:rsidRPr="00EB2E7B">
        <w:rPr>
          <w:rFonts w:asciiTheme="minorHAnsi" w:hAnsiTheme="minorHAnsi" w:cstheme="minorHAnsi"/>
          <w:sz w:val="20"/>
          <w:szCs w:val="20"/>
        </w:rPr>
        <w:t xml:space="preserve"> </w:t>
      </w:r>
      <w:r w:rsidR="00C14247" w:rsidRPr="00EB2E7B">
        <w:rPr>
          <w:rFonts w:asciiTheme="minorHAnsi" w:hAnsiTheme="minorHAnsi" w:cstheme="minorHAnsi"/>
          <w:sz w:val="20"/>
          <w:szCs w:val="20"/>
        </w:rPr>
        <w:t>ustala corocznie dla każdego miesiąca, dla prognozowanego zapotrzebowania na moc w dobowych szczytach tego zapotrzebowania, dla typowych warunków pogodowych, wartości obniżenia poboru mocy czynnej w poszczególnych stopniach A.</w:t>
      </w:r>
    </w:p>
    <w:p w14:paraId="2FEF1D54" w14:textId="5A0F2179" w:rsidR="00E25AB9" w:rsidRPr="00EB2E7B" w:rsidRDefault="00E25AB9" w:rsidP="00EF06A5">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Plany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sieciowych określające przewidywany efekt wprowadzenia stopni od A1 do A5, opracowują:</w:t>
      </w:r>
    </w:p>
    <w:p w14:paraId="0344DF6F" w14:textId="70568782" w:rsidR="00E25AB9" w:rsidRPr="00EB2E7B" w:rsidRDefault="00E25AB9" w:rsidP="0099115A">
      <w:pPr>
        <w:pStyle w:val="Akapitzlist"/>
        <w:numPr>
          <w:ilvl w:val="3"/>
          <w:numId w:val="1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OSP</w:t>
      </w:r>
      <w:r w:rsidR="00EF06A5"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 dla całego KSE, z uwzględnieniem planów, o których mowa w pkt </w:t>
      </w:r>
      <w:r w:rsidR="001D4D62" w:rsidRPr="00EB2E7B">
        <w:rPr>
          <w:rFonts w:asciiTheme="minorHAnsi" w:hAnsiTheme="minorHAnsi" w:cstheme="minorHAnsi"/>
          <w:sz w:val="20"/>
          <w:szCs w:val="20"/>
        </w:rPr>
        <w:fldChar w:fldCharType="begin"/>
      </w:r>
      <w:r w:rsidR="001D4D62" w:rsidRPr="00EB2E7B">
        <w:rPr>
          <w:rFonts w:asciiTheme="minorHAnsi" w:hAnsiTheme="minorHAnsi" w:cstheme="minorHAnsi"/>
          <w:sz w:val="20"/>
          <w:szCs w:val="20"/>
        </w:rPr>
        <w:instrText xml:space="preserve"> REF _Ref190088517 \w \h </w:instrText>
      </w:r>
      <w:r w:rsidR="003A5346" w:rsidRPr="00EB2E7B">
        <w:rPr>
          <w:rFonts w:asciiTheme="minorHAnsi" w:hAnsiTheme="minorHAnsi" w:cstheme="minorHAnsi"/>
          <w:sz w:val="20"/>
          <w:szCs w:val="20"/>
        </w:rPr>
        <w:instrText xml:space="preserve"> \* MERGEFORMAT </w:instrText>
      </w:r>
      <w:r w:rsidR="001D4D62" w:rsidRPr="00EB2E7B">
        <w:rPr>
          <w:rFonts w:asciiTheme="minorHAnsi" w:hAnsiTheme="minorHAnsi" w:cstheme="minorHAnsi"/>
          <w:sz w:val="20"/>
          <w:szCs w:val="20"/>
        </w:rPr>
      </w:r>
      <w:r w:rsidR="001D4D6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b)2)</w:t>
      </w:r>
      <w:r w:rsidR="001D4D6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3A5346" w:rsidRPr="00EB2E7B">
        <w:rPr>
          <w:rFonts w:asciiTheme="minorHAnsi" w:hAnsiTheme="minorHAnsi" w:cstheme="minorHAnsi"/>
          <w:sz w:val="20"/>
          <w:szCs w:val="20"/>
        </w:rPr>
        <w:fldChar w:fldCharType="begin"/>
      </w:r>
      <w:r w:rsidR="003A5346" w:rsidRPr="00EB2E7B">
        <w:rPr>
          <w:rFonts w:asciiTheme="minorHAnsi" w:hAnsiTheme="minorHAnsi" w:cstheme="minorHAnsi"/>
          <w:sz w:val="20"/>
          <w:szCs w:val="20"/>
        </w:rPr>
        <w:instrText xml:space="preserve"> REF _Ref190088760 \w \h  \* MERGEFORMAT </w:instrText>
      </w:r>
      <w:r w:rsidR="003A5346" w:rsidRPr="00EB2E7B">
        <w:rPr>
          <w:rFonts w:asciiTheme="minorHAnsi" w:hAnsiTheme="minorHAnsi" w:cstheme="minorHAnsi"/>
          <w:sz w:val="20"/>
          <w:szCs w:val="20"/>
        </w:rPr>
      </w:r>
      <w:r w:rsidR="003A534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b)3)</w:t>
      </w:r>
      <w:r w:rsidR="003A53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043C567B" w14:textId="2984D826" w:rsidR="00E25AB9" w:rsidRPr="00EB2E7B" w:rsidRDefault="00E25AB9" w:rsidP="0099115A">
      <w:pPr>
        <w:pStyle w:val="Akapitzlist"/>
        <w:numPr>
          <w:ilvl w:val="3"/>
          <w:numId w:val="11"/>
        </w:numPr>
        <w:spacing w:line="266" w:lineRule="auto"/>
        <w:ind w:left="1701" w:hanging="567"/>
        <w:contextualSpacing w:val="0"/>
        <w:rPr>
          <w:rFonts w:asciiTheme="minorHAnsi" w:hAnsiTheme="minorHAnsi" w:cstheme="minorHAnsi"/>
          <w:sz w:val="20"/>
          <w:szCs w:val="20"/>
        </w:rPr>
      </w:pPr>
      <w:bookmarkStart w:id="281" w:name="_Ref190088517"/>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 dla swojego obszaru sieci dystrybucyjnej, z uwzględnieniem planów opracowanych przez OSDn przyłączonych do sieci </w:t>
      </w:r>
      <w:proofErr w:type="spellStart"/>
      <w:r w:rsidRPr="00EB2E7B">
        <w:rPr>
          <w:rFonts w:asciiTheme="minorHAnsi" w:hAnsiTheme="minorHAnsi" w:cstheme="minorHAnsi"/>
          <w:sz w:val="20"/>
          <w:szCs w:val="20"/>
        </w:rPr>
        <w:t>OSDp</w:t>
      </w:r>
      <w:proofErr w:type="spellEnd"/>
      <w:r w:rsidR="00537330" w:rsidRPr="00EB2E7B">
        <w:rPr>
          <w:rFonts w:asciiTheme="minorHAnsi" w:hAnsiTheme="minorHAnsi" w:cstheme="minorHAnsi"/>
          <w:sz w:val="20"/>
          <w:szCs w:val="20"/>
        </w:rPr>
        <w:t>, w tym ACPRO,</w:t>
      </w:r>
      <w:r w:rsidRPr="00EB2E7B">
        <w:rPr>
          <w:rFonts w:asciiTheme="minorHAnsi" w:hAnsiTheme="minorHAnsi" w:cstheme="minorHAnsi"/>
          <w:sz w:val="20"/>
          <w:szCs w:val="20"/>
        </w:rPr>
        <w:t xml:space="preserve"> i planów opracowanych przez odbiorców końcowych przyłączonych do sieci o napięciu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wyższym, za której ruch sieciowy odpowiada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bookmarkEnd w:id="281"/>
    </w:p>
    <w:p w14:paraId="28F79708" w14:textId="5E4B09F4" w:rsidR="00AB27E7" w:rsidRPr="00EB2E7B" w:rsidRDefault="00D92C5C" w:rsidP="0099115A">
      <w:pPr>
        <w:pStyle w:val="Akapitzlist"/>
        <w:numPr>
          <w:ilvl w:val="3"/>
          <w:numId w:val="11"/>
        </w:numPr>
        <w:spacing w:line="266" w:lineRule="auto"/>
        <w:ind w:left="1701" w:hanging="567"/>
        <w:contextualSpacing w:val="0"/>
        <w:rPr>
          <w:rFonts w:asciiTheme="minorHAnsi" w:hAnsiTheme="minorHAnsi" w:cstheme="minorHAnsi"/>
          <w:sz w:val="20"/>
          <w:szCs w:val="20"/>
        </w:rPr>
      </w:pPr>
      <w:bookmarkStart w:id="282" w:name="_Ref190088760"/>
      <w:r w:rsidRPr="00EB2E7B">
        <w:rPr>
          <w:rFonts w:asciiTheme="minorHAnsi" w:hAnsiTheme="minorHAnsi" w:cstheme="minorHAnsi"/>
          <w:sz w:val="20"/>
          <w:szCs w:val="20"/>
        </w:rPr>
        <w:t xml:space="preserve">odbiorcy końcowi przyłączeni do sieci o napięciu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wyższym, za której ruch sieciowy odpowiada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bookmarkEnd w:id="282"/>
    </w:p>
    <w:p w14:paraId="1E31E337" w14:textId="1F4CFB14" w:rsidR="00E25AB9" w:rsidRPr="00EB2E7B" w:rsidRDefault="00E25AB9" w:rsidP="00DB40DC">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konieczności wprowadzenia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sieciowych w sposób odmienny niż określony w planach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sieciowych, OSP może polecić wprowadzenie tych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poprzez wskazanie:</w:t>
      </w:r>
    </w:p>
    <w:p w14:paraId="7AE685A3" w14:textId="077D19AB" w:rsidR="00E25AB9" w:rsidRPr="00EB2E7B" w:rsidRDefault="00E25AB9" w:rsidP="00DB40DC">
      <w:pPr>
        <w:pStyle w:val="1przed"/>
        <w:numPr>
          <w:ilvl w:val="2"/>
          <w:numId w:val="40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wartości mocy czynnej do wyłączenia 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5907FDCA" w14:textId="726ACD3A" w:rsidR="00DB40DC" w:rsidRPr="00EB2E7B" w:rsidRDefault="00DB40DC" w:rsidP="00DB40DC">
      <w:pPr>
        <w:pStyle w:val="1przed"/>
        <w:numPr>
          <w:ilvl w:val="2"/>
          <w:numId w:val="406"/>
        </w:numPr>
        <w:ind w:left="1701" w:hanging="567"/>
        <w:rPr>
          <w:rFonts w:asciiTheme="minorHAnsi" w:hAnsiTheme="minorHAnsi" w:cstheme="minorHAnsi"/>
          <w:sz w:val="20"/>
          <w:szCs w:val="20"/>
        </w:rPr>
      </w:pPr>
      <w:r w:rsidRPr="00EB2E7B">
        <w:rPr>
          <w:rFonts w:asciiTheme="minorHAnsi" w:hAnsiTheme="minorHAnsi" w:cstheme="minorHAnsi"/>
          <w:sz w:val="20"/>
          <w:szCs w:val="20"/>
        </w:rPr>
        <w:t>obszaru sieci dystrybucyjnej, na którym należy wprowadzić wyłączenia awaryjne sieciowe.</w:t>
      </w:r>
    </w:p>
    <w:p w14:paraId="70480E2F" w14:textId="6748E064" w:rsidR="00E25AB9" w:rsidRPr="00EB2E7B" w:rsidRDefault="00E25AB9" w:rsidP="00DB40DC">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Załączenia odbiorców wyłączonych w trybie awaryjnym sieciowym są realizowane wyłącznie na polecenie OSP. W szczególnych przypadkach, zwłaszcza gdy zagrożone jest bezpieczeństwo osób,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ACPRO, OSDn, jak również odbiorca ujęty w planie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sieciowych, może dokonać załączenia bez wydania polecenia przez OSP, przy czym w takim przypadku podmioty te zobowiązane są niezwłocznie poinformować o tym zdarzeniu właściwe służby dyspozytorskie, z podaniem przyczyny.</w:t>
      </w:r>
    </w:p>
    <w:p w14:paraId="175524E0" w14:textId="77777777" w:rsidR="00E25AB9" w:rsidRPr="00EB2E7B" w:rsidRDefault="00E25AB9" w:rsidP="009A432E">
      <w:pPr>
        <w:pStyle w:val="Nagwek4gruby"/>
        <w:rPr>
          <w:rFonts w:asciiTheme="minorHAnsi" w:hAnsiTheme="minorHAnsi" w:cstheme="minorHAnsi"/>
          <w:sz w:val="20"/>
          <w:szCs w:val="20"/>
        </w:rPr>
      </w:pPr>
      <w:r w:rsidRPr="00EB2E7B">
        <w:rPr>
          <w:rFonts w:asciiTheme="minorHAnsi" w:hAnsiTheme="minorHAnsi" w:cstheme="minorHAnsi"/>
          <w:sz w:val="20"/>
          <w:szCs w:val="20"/>
        </w:rPr>
        <w:t>Tryb awaryjny bilansowy</w:t>
      </w:r>
    </w:p>
    <w:p w14:paraId="38746C55" w14:textId="77777777" w:rsidR="00E25AB9" w:rsidRPr="00EB2E7B" w:rsidRDefault="00E25AB9" w:rsidP="00DB40DC">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OSP może wprowadzić przerwy w dostarczaniu i poborze energii elektrycznej w postaci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odbiorców w trybie awaryjnym bilansowym (dalej „wyłączenia awaryjne bilansowe”), po wprowadzeniu ograniczeń w dostarczaniu i poborze energii elektrycznej w trybie normalnym lub w trybie normalnym na polecenie OSP, w przypadku braku możliwości zapewnienia zrównoważenia </w:t>
      </w:r>
      <w:r w:rsidRPr="00EB2E7B">
        <w:rPr>
          <w:rFonts w:asciiTheme="minorHAnsi" w:hAnsiTheme="minorHAnsi" w:cstheme="minorHAnsi"/>
          <w:sz w:val="20"/>
          <w:szCs w:val="20"/>
        </w:rPr>
        <w:lastRenderedPageBreak/>
        <w:t>dostaw energii elektrycznej z zapotrzebowaniem na tę energię w KSE pomimo wcześniejszego wprowadzenia przez OSP innych środków zaradczych.</w:t>
      </w:r>
    </w:p>
    <w:p w14:paraId="656CD33E" w14:textId="77777777"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Wprowadzenie przez OSP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bilansowych możliwe jest także przed wprowadzeniem ograniczeń w dostarczaniu i poborze energii elektrycznej w trybie normalnym na polecenie OSP, w przypadku wystąpienia zagrożenia bezpieczeństwa dostaw energii elektrycznej w czasie uniemożliwiającym zastosowanie tego trybu. W takim przypadku wyłączenia awaryjne bilansowe mogą być wprowadzone pomiędzy ogłoszeniem przez OSP powołanego stanu a obowiązywaniem stopni zasilania zgodnie z pierwszym komunikatem w tej sprawie, wydanym zgodnie z rozporządzeniem, o którym mowa w art. 11 ust. 6 ustawy Prawo energetyczne.</w:t>
      </w:r>
    </w:p>
    <w:p w14:paraId="1AF0CD9D" w14:textId="77777777" w:rsidR="00E25AB9" w:rsidRPr="00EB2E7B" w:rsidRDefault="00E25AB9" w:rsidP="00DB40DC">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Wyłączenia awaryjne bilansowe są realizowane na polecenie OSP w stopniach B1- B15.</w:t>
      </w:r>
    </w:p>
    <w:p w14:paraId="230CBC94" w14:textId="77777777"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Stopnie B1 – B15 powinny zapewniać spadek poboru mocy czynnej, każdy w przedziale 3 – 4% prognozowanego zapotrzebowania na moc. Wyłączenia awaryjne bilansowe wprowadzone łącznie w stopniach od B1 do B15, powinny zapewnić zmniejszenie poboru mocy czynnej o 50% prognozowanego zapotrzebowania na moc.</w:t>
      </w:r>
    </w:p>
    <w:p w14:paraId="3AAB4A9D" w14:textId="77777777" w:rsidR="00E25AB9" w:rsidRPr="00EB2E7B" w:rsidRDefault="00E25AB9" w:rsidP="008D5A71">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Wyłączenia awaryjne bilansowe są realizowane poprzez wyłączenia linii o napięciu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transformatorów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/SN lub linii i stacji SN.</w:t>
      </w:r>
    </w:p>
    <w:p w14:paraId="585A4280" w14:textId="3DBD2607" w:rsidR="00E25AB9" w:rsidRPr="00EB2E7B" w:rsidRDefault="00E25AB9" w:rsidP="008D5A71">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OSP w porozumieniu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ustala corocznie dla każdego miesiąca, dla prognozowanego zapotrzebowania na moc w dobowych szczytach tego zapotrzebowania, dla typowych warunków pogodowych, wartości obniżenia poboru moc</w:t>
      </w:r>
      <w:r w:rsidR="0095325C" w:rsidRPr="00EB2E7B">
        <w:rPr>
          <w:rFonts w:asciiTheme="minorHAnsi" w:hAnsiTheme="minorHAnsi" w:cstheme="minorHAnsi"/>
          <w:sz w:val="20"/>
          <w:szCs w:val="20"/>
        </w:rPr>
        <w:t>y</w:t>
      </w:r>
      <w:r w:rsidRPr="00EB2E7B">
        <w:rPr>
          <w:rFonts w:asciiTheme="minorHAnsi" w:hAnsiTheme="minorHAnsi" w:cstheme="minorHAnsi"/>
          <w:sz w:val="20"/>
          <w:szCs w:val="20"/>
        </w:rPr>
        <w:t xml:space="preserve"> czynnej w poszczególnych stopniach B.</w:t>
      </w:r>
    </w:p>
    <w:p w14:paraId="26C93DDA" w14:textId="00C7E0DF" w:rsidR="00DF44A3" w:rsidRPr="00EB2E7B" w:rsidRDefault="00B2438A" w:rsidP="008D5A71">
      <w:pPr>
        <w:pStyle w:val="Nagwek5"/>
        <w:ind w:left="1134" w:hanging="1134"/>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porozumieniu z </w:t>
      </w:r>
      <w:r w:rsidR="008033B1" w:rsidRPr="00EB2E7B">
        <w:rPr>
          <w:rFonts w:asciiTheme="minorHAnsi" w:hAnsiTheme="minorHAnsi" w:cstheme="minorHAnsi"/>
          <w:sz w:val="20"/>
          <w:szCs w:val="20"/>
        </w:rPr>
        <w:t xml:space="preserve">właściwym </w:t>
      </w:r>
      <w:r w:rsidRPr="00EB2E7B">
        <w:rPr>
          <w:rFonts w:asciiTheme="minorHAnsi" w:hAnsiTheme="minorHAnsi" w:cstheme="minorHAnsi"/>
          <w:sz w:val="20"/>
          <w:szCs w:val="20"/>
        </w:rPr>
        <w:t>OSD</w:t>
      </w:r>
      <w:r w:rsidR="00EA432C" w:rsidRPr="00EB2E7B">
        <w:rPr>
          <w:rFonts w:asciiTheme="minorHAnsi" w:hAnsiTheme="minorHAnsi" w:cstheme="minorHAnsi"/>
          <w:sz w:val="20"/>
          <w:szCs w:val="20"/>
        </w:rPr>
        <w:t>n</w:t>
      </w:r>
      <w:r w:rsidRPr="00EB2E7B">
        <w:rPr>
          <w:rFonts w:asciiTheme="minorHAnsi" w:hAnsiTheme="minorHAnsi" w:cstheme="minorHAnsi"/>
          <w:sz w:val="20"/>
          <w:szCs w:val="20"/>
        </w:rPr>
        <w:t xml:space="preserve"> ustala </w:t>
      </w:r>
      <w:r w:rsidR="00352589" w:rsidRPr="00EB2E7B">
        <w:rPr>
          <w:rFonts w:asciiTheme="minorHAnsi" w:hAnsiTheme="minorHAnsi" w:cstheme="minorHAnsi"/>
          <w:sz w:val="20"/>
          <w:szCs w:val="20"/>
        </w:rPr>
        <w:t>corocznie dla każdego miesiąca, dla prognozowanego zapotrzebowania na moc w dobowych szczytach tego zapotrzebowania, dla typowych warunków pogodowych, wartości obniżenia poboru mocy czynnej w poszczególnych stopniach B.</w:t>
      </w:r>
    </w:p>
    <w:p w14:paraId="19B5FDB2" w14:textId="5F143F32" w:rsidR="00E25AB9" w:rsidRPr="00EB2E7B" w:rsidRDefault="00E25AB9" w:rsidP="008D5A71">
      <w:pPr>
        <w:pStyle w:val="Nagwek5"/>
        <w:ind w:left="1134" w:hanging="1134"/>
        <w:rPr>
          <w:rFonts w:asciiTheme="minorHAnsi" w:hAnsiTheme="minorHAnsi" w:cstheme="minorHAnsi"/>
          <w:sz w:val="20"/>
          <w:szCs w:val="20"/>
        </w:rPr>
      </w:pPr>
      <w:bookmarkStart w:id="283" w:name="_Ref183790612"/>
      <w:r w:rsidRPr="00EB2E7B">
        <w:rPr>
          <w:rFonts w:asciiTheme="minorHAnsi" w:hAnsiTheme="minorHAnsi" w:cstheme="minorHAnsi"/>
          <w:sz w:val="20"/>
          <w:szCs w:val="20"/>
        </w:rPr>
        <w:t xml:space="preserve">Plany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bilansowych określające przewidywany efekt wprowadzenia stopni od B1 do B15 opracowują:</w:t>
      </w:r>
      <w:bookmarkEnd w:id="283"/>
    </w:p>
    <w:p w14:paraId="75D25D4B" w14:textId="4A627B48" w:rsidR="00E25AB9" w:rsidRPr="00EB2E7B" w:rsidRDefault="00E25AB9" w:rsidP="008D5A71">
      <w:pPr>
        <w:pStyle w:val="1przed"/>
        <w:numPr>
          <w:ilvl w:val="2"/>
          <w:numId w:val="40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OSP – dla całego KSE, z uwzględnieniem planów, o których mowa w pkt </w:t>
      </w:r>
      <w:r w:rsidR="000D69A5" w:rsidRPr="00EB2E7B">
        <w:rPr>
          <w:rFonts w:asciiTheme="minorHAnsi" w:hAnsiTheme="minorHAnsi" w:cstheme="minorHAnsi"/>
          <w:sz w:val="20"/>
          <w:szCs w:val="20"/>
        </w:rPr>
        <w:fldChar w:fldCharType="begin"/>
      </w:r>
      <w:r w:rsidR="000D69A5" w:rsidRPr="00EB2E7B">
        <w:rPr>
          <w:rFonts w:asciiTheme="minorHAnsi" w:hAnsiTheme="minorHAnsi" w:cstheme="minorHAnsi"/>
          <w:sz w:val="20"/>
          <w:szCs w:val="20"/>
        </w:rPr>
        <w:instrText xml:space="preserve"> REF _Ref190088895 \w \h </w:instrText>
      </w:r>
      <w:r w:rsidR="00240708" w:rsidRPr="00EB2E7B">
        <w:rPr>
          <w:rFonts w:asciiTheme="minorHAnsi" w:hAnsiTheme="minorHAnsi" w:cstheme="minorHAnsi"/>
          <w:sz w:val="20"/>
          <w:szCs w:val="20"/>
        </w:rPr>
        <w:instrText xml:space="preserve"> \* MERGEFORMAT </w:instrText>
      </w:r>
      <w:r w:rsidR="000D69A5" w:rsidRPr="00EB2E7B">
        <w:rPr>
          <w:rFonts w:asciiTheme="minorHAnsi" w:hAnsiTheme="minorHAnsi" w:cstheme="minorHAnsi"/>
          <w:sz w:val="20"/>
          <w:szCs w:val="20"/>
        </w:rPr>
      </w:r>
      <w:r w:rsidR="000D69A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w:t>
      </w:r>
      <w:r w:rsidR="000D69A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0D69A5" w:rsidRPr="00EB2E7B">
        <w:rPr>
          <w:rFonts w:asciiTheme="minorHAnsi" w:hAnsiTheme="minorHAnsi" w:cstheme="minorHAnsi"/>
          <w:sz w:val="20"/>
          <w:szCs w:val="20"/>
        </w:rPr>
        <w:fldChar w:fldCharType="begin"/>
      </w:r>
      <w:r w:rsidR="000D69A5" w:rsidRPr="00EB2E7B">
        <w:rPr>
          <w:rFonts w:asciiTheme="minorHAnsi" w:hAnsiTheme="minorHAnsi" w:cstheme="minorHAnsi"/>
          <w:sz w:val="20"/>
          <w:szCs w:val="20"/>
        </w:rPr>
        <w:instrText xml:space="preserve"> REF _Ref190088899 \w \h </w:instrText>
      </w:r>
      <w:r w:rsidR="00240708" w:rsidRPr="00EB2E7B">
        <w:rPr>
          <w:rFonts w:asciiTheme="minorHAnsi" w:hAnsiTheme="minorHAnsi" w:cstheme="minorHAnsi"/>
          <w:sz w:val="20"/>
          <w:szCs w:val="20"/>
        </w:rPr>
        <w:instrText xml:space="preserve"> \* MERGEFORMAT </w:instrText>
      </w:r>
      <w:r w:rsidR="000D69A5" w:rsidRPr="00EB2E7B">
        <w:rPr>
          <w:rFonts w:asciiTheme="minorHAnsi" w:hAnsiTheme="minorHAnsi" w:cstheme="minorHAnsi"/>
          <w:sz w:val="20"/>
          <w:szCs w:val="20"/>
        </w:rPr>
      </w:r>
      <w:r w:rsidR="000D69A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6)</w:t>
      </w:r>
      <w:r w:rsidR="000D69A5"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061DAEEC" w14:textId="5CA69640" w:rsidR="008D5A71" w:rsidRPr="00EB2E7B" w:rsidRDefault="00E25AB9" w:rsidP="008D5A71">
      <w:pPr>
        <w:pStyle w:val="1przed"/>
        <w:numPr>
          <w:ilvl w:val="2"/>
          <w:numId w:val="407"/>
        </w:numPr>
        <w:ind w:left="1701" w:hanging="567"/>
        <w:rPr>
          <w:rFonts w:asciiTheme="minorHAnsi" w:hAnsiTheme="minorHAnsi" w:cstheme="minorHAnsi"/>
          <w:sz w:val="20"/>
          <w:szCs w:val="20"/>
        </w:rPr>
      </w:pPr>
      <w:bookmarkStart w:id="284" w:name="_Ref190088895"/>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 dla swojego obszaru sieci dystrybucyjnej, z uwzględnieniem planów opracowanych przez OSDn przyłączonych do sieci </w:t>
      </w:r>
      <w:proofErr w:type="spellStart"/>
      <w:r w:rsidRPr="00EB2E7B">
        <w:rPr>
          <w:rFonts w:asciiTheme="minorHAnsi" w:hAnsiTheme="minorHAnsi" w:cstheme="minorHAnsi"/>
          <w:sz w:val="20"/>
          <w:szCs w:val="20"/>
        </w:rPr>
        <w:t>OSDp</w:t>
      </w:r>
      <w:proofErr w:type="spellEnd"/>
      <w:r w:rsidR="003919A9" w:rsidRPr="00EB2E7B">
        <w:rPr>
          <w:rFonts w:asciiTheme="minorHAnsi" w:hAnsiTheme="minorHAnsi" w:cstheme="minorHAnsi"/>
          <w:sz w:val="20"/>
          <w:szCs w:val="20"/>
        </w:rPr>
        <w:t>, w tym ACPRO,</w:t>
      </w:r>
      <w:r w:rsidRPr="00EB2E7B">
        <w:rPr>
          <w:rFonts w:asciiTheme="minorHAnsi" w:hAnsiTheme="minorHAnsi" w:cstheme="minorHAnsi"/>
          <w:sz w:val="20"/>
          <w:szCs w:val="20"/>
        </w:rPr>
        <w:t xml:space="preserve"> i planów opracowanych przez odbiorców końcowych przyłączonych do sieci o napięciu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wyższym, za której ruch sieciowy odpowiada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bookmarkEnd w:id="284"/>
    </w:p>
    <w:p w14:paraId="3DC8D2CE" w14:textId="02903BC6" w:rsidR="00E25AB9" w:rsidRPr="00EB2E7B" w:rsidRDefault="00E25AB9" w:rsidP="3D7E9466">
      <w:pPr>
        <w:pStyle w:val="1przed"/>
        <w:ind w:left="1701" w:hanging="567"/>
        <w:rPr>
          <w:rFonts w:asciiTheme="minorHAnsi" w:hAnsiTheme="minorHAnsi" w:cstheme="minorHAnsi"/>
          <w:sz w:val="20"/>
          <w:szCs w:val="20"/>
        </w:rPr>
      </w:pPr>
      <w:bookmarkStart w:id="285" w:name="_Ref190088899"/>
      <w:r w:rsidRPr="00EB2E7B">
        <w:rPr>
          <w:rFonts w:asciiTheme="minorHAnsi" w:hAnsiTheme="minorHAnsi" w:cstheme="minorHAnsi"/>
          <w:sz w:val="20"/>
          <w:szCs w:val="20"/>
        </w:rPr>
        <w:t xml:space="preserve">Odbiorcy przyłączeni do sieci </w:t>
      </w:r>
      <w:r w:rsidR="00BC64D9" w:rsidRPr="00EB2E7B">
        <w:rPr>
          <w:rFonts w:asciiTheme="minorHAnsi" w:hAnsiTheme="minorHAnsi" w:cstheme="minorHAnsi"/>
          <w:sz w:val="20"/>
          <w:szCs w:val="20"/>
        </w:rPr>
        <w:t>o napięciu</w:t>
      </w:r>
      <w:r w:rsidR="000820B3" w:rsidRPr="00EB2E7B">
        <w:rPr>
          <w:rFonts w:asciiTheme="minorHAnsi" w:hAnsiTheme="minorHAnsi" w:cstheme="minorHAnsi"/>
          <w:sz w:val="20"/>
          <w:szCs w:val="20"/>
        </w:rPr>
        <w:t xml:space="preserve"> 110</w:t>
      </w:r>
      <w:r w:rsidR="00BC64D9" w:rsidRPr="00EB2E7B">
        <w:rPr>
          <w:rFonts w:asciiTheme="minorHAnsi" w:hAnsiTheme="minorHAnsi" w:cstheme="minorHAnsi"/>
          <w:sz w:val="20"/>
          <w:szCs w:val="20"/>
        </w:rPr>
        <w:t xml:space="preserve"> </w:t>
      </w:r>
      <w:proofErr w:type="spellStart"/>
      <w:r w:rsidR="00245068" w:rsidRPr="00EB2E7B">
        <w:rPr>
          <w:rFonts w:asciiTheme="minorHAnsi" w:hAnsiTheme="minorHAnsi" w:cstheme="minorHAnsi"/>
          <w:sz w:val="20"/>
          <w:szCs w:val="20"/>
        </w:rPr>
        <w:t>kV</w:t>
      </w:r>
      <w:proofErr w:type="spellEnd"/>
      <w:r w:rsidR="00245068" w:rsidRPr="00EB2E7B">
        <w:rPr>
          <w:rFonts w:asciiTheme="minorHAnsi" w:hAnsiTheme="minorHAnsi" w:cstheme="minorHAnsi"/>
          <w:sz w:val="20"/>
          <w:szCs w:val="20"/>
        </w:rPr>
        <w:t xml:space="preserve"> lub wyższym, za której ruch sieciowy odpowiada </w:t>
      </w:r>
      <w:proofErr w:type="spellStart"/>
      <w:r w:rsidR="00245068"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bookmarkEnd w:id="285"/>
    </w:p>
    <w:p w14:paraId="5C4BEFB7" w14:textId="53AFEE3E" w:rsidR="00E25AB9" w:rsidRPr="00EB2E7B" w:rsidRDefault="00E25AB9" w:rsidP="008D5A71">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OSP wydaje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oraz ACPRO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polecenie wprowadzenia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bilansowych z wyprzedzeniem co najmniej 4 godzin. W przypadkach spowodowanych nagłymi, awaryjnymi </w:t>
      </w:r>
      <w:proofErr w:type="spellStart"/>
      <w:r w:rsidRPr="00EB2E7B">
        <w:rPr>
          <w:rFonts w:asciiTheme="minorHAnsi" w:hAnsiTheme="minorHAnsi" w:cstheme="minorHAnsi"/>
          <w:sz w:val="20"/>
          <w:szCs w:val="20"/>
        </w:rPr>
        <w:t>wyłączeniami</w:t>
      </w:r>
      <w:proofErr w:type="spellEnd"/>
      <w:r w:rsidRPr="00EB2E7B">
        <w:rPr>
          <w:rFonts w:asciiTheme="minorHAnsi" w:hAnsiTheme="minorHAnsi" w:cstheme="minorHAnsi"/>
          <w:sz w:val="20"/>
          <w:szCs w:val="20"/>
        </w:rPr>
        <w:t xml:space="preserve"> </w:t>
      </w:r>
      <w:r w:rsidR="006F441F" w:rsidRPr="00EB2E7B">
        <w:rPr>
          <w:rFonts w:asciiTheme="minorHAnsi" w:hAnsiTheme="minorHAnsi" w:cstheme="minorHAnsi"/>
          <w:sz w:val="20"/>
          <w:szCs w:val="20"/>
        </w:rPr>
        <w:t>jednostek wytwórczych</w:t>
      </w:r>
      <w:r w:rsidRPr="00EB2E7B">
        <w:rPr>
          <w:rFonts w:asciiTheme="minorHAnsi" w:hAnsiTheme="minorHAnsi" w:cstheme="minorHAnsi"/>
          <w:sz w:val="20"/>
          <w:szCs w:val="20"/>
        </w:rPr>
        <w:t xml:space="preserve"> ujętych w TCM  o którym mowa w pkt.</w:t>
      </w:r>
      <w:r w:rsidR="003215C2" w:rsidRPr="00EB2E7B">
        <w:rPr>
          <w:rFonts w:asciiTheme="minorHAnsi" w:hAnsiTheme="minorHAnsi" w:cstheme="minorHAnsi"/>
          <w:sz w:val="20"/>
          <w:szCs w:val="20"/>
        </w:rPr>
        <w:t xml:space="preserve"> </w:t>
      </w:r>
      <w:r w:rsidR="003215C2" w:rsidRPr="00EB2E7B">
        <w:rPr>
          <w:rFonts w:asciiTheme="minorHAnsi" w:hAnsiTheme="minorHAnsi" w:cstheme="minorHAnsi"/>
          <w:sz w:val="20"/>
          <w:szCs w:val="20"/>
        </w:rPr>
        <w:fldChar w:fldCharType="begin"/>
      </w:r>
      <w:r w:rsidR="003215C2" w:rsidRPr="00EB2E7B">
        <w:rPr>
          <w:rFonts w:asciiTheme="minorHAnsi" w:hAnsiTheme="minorHAnsi" w:cstheme="minorHAnsi"/>
          <w:sz w:val="20"/>
          <w:szCs w:val="20"/>
        </w:rPr>
        <w:instrText xml:space="preserve"> REF _Ref142657276 \r \h </w:instrText>
      </w:r>
      <w:r w:rsidR="00806B86" w:rsidRPr="00EB2E7B">
        <w:rPr>
          <w:rFonts w:asciiTheme="minorHAnsi" w:hAnsiTheme="minorHAnsi" w:cstheme="minorHAnsi"/>
          <w:sz w:val="20"/>
          <w:szCs w:val="20"/>
        </w:rPr>
        <w:instrText xml:space="preserve"> \* MERGEFORMAT </w:instrText>
      </w:r>
      <w:r w:rsidR="003215C2" w:rsidRPr="00EB2E7B">
        <w:rPr>
          <w:rFonts w:asciiTheme="minorHAnsi" w:hAnsiTheme="minorHAnsi" w:cstheme="minorHAnsi"/>
          <w:sz w:val="20"/>
          <w:szCs w:val="20"/>
        </w:rPr>
      </w:r>
      <w:r w:rsidR="003215C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III.2.5.1</w:t>
      </w:r>
      <w:r w:rsidR="003215C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czas ten może ulec skróceniu do 2 godzin.</w:t>
      </w:r>
    </w:p>
    <w:p w14:paraId="638C8365" w14:textId="666F66C8" w:rsidR="00A61231" w:rsidRPr="00EB2E7B" w:rsidRDefault="0071112B" w:rsidP="008D5A71">
      <w:pPr>
        <w:pStyle w:val="Nagwek5"/>
        <w:ind w:left="1134" w:hanging="1134"/>
        <w:rPr>
          <w:rFonts w:asciiTheme="minorHAnsi" w:hAnsiTheme="minorHAnsi" w:cstheme="minorHAnsi"/>
          <w:sz w:val="20"/>
          <w:szCs w:val="20"/>
        </w:rPr>
      </w:pPr>
      <w:bookmarkStart w:id="286" w:name="_Ref146545778"/>
      <w:proofErr w:type="spellStart"/>
      <w:r w:rsidRPr="00EB2E7B">
        <w:rPr>
          <w:rFonts w:asciiTheme="minorHAnsi" w:hAnsiTheme="minorHAnsi" w:cstheme="minorHAnsi"/>
          <w:sz w:val="20"/>
          <w:szCs w:val="20"/>
        </w:rPr>
        <w:t>OSD</w:t>
      </w:r>
      <w:r w:rsidR="00CA0975"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niezwłocznie po otrzymaniu od OSP polecenia wprowadzenia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bilansowych przekazuje polecenie do </w:t>
      </w:r>
      <w:r w:rsidR="00956132" w:rsidRPr="00EB2E7B">
        <w:rPr>
          <w:rFonts w:asciiTheme="minorHAnsi" w:hAnsiTheme="minorHAnsi" w:cstheme="minorHAnsi"/>
          <w:sz w:val="20"/>
          <w:szCs w:val="20"/>
        </w:rPr>
        <w:t>OSD</w:t>
      </w:r>
      <w:r w:rsidR="00CA0975" w:rsidRPr="00EB2E7B">
        <w:rPr>
          <w:rFonts w:asciiTheme="minorHAnsi" w:hAnsiTheme="minorHAnsi" w:cstheme="minorHAnsi"/>
          <w:sz w:val="20"/>
          <w:szCs w:val="20"/>
        </w:rPr>
        <w:t>n</w:t>
      </w:r>
      <w:r w:rsidRPr="00EB2E7B">
        <w:rPr>
          <w:rFonts w:asciiTheme="minorHAnsi" w:hAnsiTheme="minorHAnsi" w:cstheme="minorHAnsi"/>
          <w:sz w:val="20"/>
          <w:szCs w:val="20"/>
        </w:rPr>
        <w:t xml:space="preserve"> posiadającego plany ograniczeń,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_Ref183790612 \r \h </w:instrText>
      </w:r>
      <w:r w:rsidR="00C1595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IV.3.4.2.6</w:t>
      </w:r>
      <w:r w:rsidRPr="00EB2E7B">
        <w:rPr>
          <w:rFonts w:asciiTheme="minorHAnsi" w:hAnsiTheme="minorHAnsi" w:cstheme="minorHAnsi"/>
          <w:sz w:val="20"/>
          <w:szCs w:val="20"/>
        </w:rPr>
        <w:fldChar w:fldCharType="end"/>
      </w:r>
    </w:p>
    <w:p w14:paraId="6838393D" w14:textId="0077C944" w:rsidR="00E25AB9" w:rsidRPr="00EB2E7B" w:rsidRDefault="00E25AB9" w:rsidP="008D5A71">
      <w:pPr>
        <w:pStyle w:val="Nagwek5"/>
        <w:ind w:left="1134" w:hanging="1134"/>
        <w:rPr>
          <w:rFonts w:asciiTheme="minorHAnsi" w:hAnsiTheme="minorHAnsi" w:cstheme="minorHAnsi"/>
          <w:sz w:val="20"/>
          <w:szCs w:val="20"/>
        </w:rPr>
      </w:pPr>
      <w:bookmarkStart w:id="287" w:name="_Ref183790983"/>
      <w:r w:rsidRPr="00EB2E7B">
        <w:rPr>
          <w:rFonts w:asciiTheme="minorHAnsi" w:hAnsiTheme="minorHAnsi" w:cstheme="minorHAnsi"/>
          <w:sz w:val="20"/>
          <w:szCs w:val="20"/>
        </w:rPr>
        <w:lastRenderedPageBreak/>
        <w:t xml:space="preserve">Polecenie wprowadzenia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bilansowych wydaje OSP wskazując dany stopień B lub ich grupę dla całego KSE oraz czas obowiązywania.</w:t>
      </w:r>
      <w:bookmarkEnd w:id="286"/>
      <w:bookmarkEnd w:id="287"/>
    </w:p>
    <w:p w14:paraId="4FF8B95E" w14:textId="27CDBCBA" w:rsidR="00E25AB9" w:rsidRPr="00EB2E7B" w:rsidRDefault="00E25AB9" w:rsidP="008D5A71">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Wyłączenia awaryjne bilansowe powinny być wprowadzane rotacyjnie (rotacja oznacza zastąpienie danego stopnia B innym stopniem B lub grupy stopni B inn</w:t>
      </w:r>
      <w:r w:rsidR="002716DE" w:rsidRPr="00EB2E7B">
        <w:rPr>
          <w:rFonts w:asciiTheme="minorHAnsi" w:hAnsiTheme="minorHAnsi" w:cstheme="minorHAnsi"/>
          <w:sz w:val="20"/>
          <w:szCs w:val="20"/>
        </w:rPr>
        <w:t>ą</w:t>
      </w:r>
      <w:r w:rsidRPr="00EB2E7B">
        <w:rPr>
          <w:rFonts w:asciiTheme="minorHAnsi" w:hAnsiTheme="minorHAnsi" w:cstheme="minorHAnsi"/>
          <w:sz w:val="20"/>
          <w:szCs w:val="20"/>
        </w:rPr>
        <w:t xml:space="preserve"> grupą stopni B), przy czym wyłączenie awaryjne bilansowe w danym stopniu B powinno trwać nie dłużej niż 4 godziny.</w:t>
      </w:r>
    </w:p>
    <w:p w14:paraId="13EC2DAF" w14:textId="1ACDE172" w:rsidR="00E25AB9" w:rsidRPr="00EB2E7B" w:rsidRDefault="00E25AB9" w:rsidP="008D5A71">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zastosowania rotacji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awaryjnych bilansowych, należy prowadzić załączenia i wyłączenia odbiorców w taki sposób, aby zminimalizować efekt skokowych zmian obciążenia.</w:t>
      </w:r>
    </w:p>
    <w:p w14:paraId="66A14094" w14:textId="1D459B4A" w:rsidR="00E25AB9" w:rsidRPr="00EB2E7B" w:rsidRDefault="00E25AB9" w:rsidP="008D5A71">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Załączenia odbiorców wyłączonych w trybie awaryjnym bilansowym są realizowane bez zgody OSP, zgodnie z wydanym poleceniem, o którym mowa w pkt.</w:t>
      </w:r>
      <w:r w:rsidR="00382BF0" w:rsidRPr="00EB2E7B">
        <w:rPr>
          <w:rFonts w:asciiTheme="minorHAnsi" w:hAnsiTheme="minorHAnsi" w:cstheme="minorHAnsi"/>
          <w:sz w:val="20"/>
          <w:szCs w:val="20"/>
        </w:rPr>
        <w:t xml:space="preserve"> </w:t>
      </w:r>
      <w:r w:rsidR="00617F29" w:rsidRPr="00EB2E7B">
        <w:rPr>
          <w:rFonts w:asciiTheme="minorHAnsi" w:hAnsiTheme="minorHAnsi" w:cstheme="minorHAnsi"/>
          <w:sz w:val="20"/>
          <w:szCs w:val="20"/>
        </w:rPr>
        <w:fldChar w:fldCharType="begin"/>
      </w:r>
      <w:r w:rsidR="00617F29" w:rsidRPr="00EB2E7B">
        <w:rPr>
          <w:rFonts w:asciiTheme="minorHAnsi" w:hAnsiTheme="minorHAnsi" w:cstheme="minorHAnsi"/>
          <w:sz w:val="20"/>
          <w:szCs w:val="20"/>
        </w:rPr>
        <w:instrText xml:space="preserve"> REF _Ref183790983 \r \h </w:instrText>
      </w:r>
      <w:r w:rsidR="003E0931" w:rsidRPr="00EB2E7B">
        <w:rPr>
          <w:rFonts w:asciiTheme="minorHAnsi" w:hAnsiTheme="minorHAnsi" w:cstheme="minorHAnsi"/>
          <w:sz w:val="20"/>
          <w:szCs w:val="20"/>
        </w:rPr>
        <w:instrText xml:space="preserve"> \* MERGEFORMAT </w:instrText>
      </w:r>
      <w:r w:rsidR="00617F29" w:rsidRPr="00EB2E7B">
        <w:rPr>
          <w:rFonts w:asciiTheme="minorHAnsi" w:hAnsiTheme="minorHAnsi" w:cstheme="minorHAnsi"/>
          <w:sz w:val="20"/>
          <w:szCs w:val="20"/>
        </w:rPr>
      </w:r>
      <w:r w:rsidR="00617F2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IV.3.4.2.9</w:t>
      </w:r>
      <w:r w:rsidR="00617F29"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53375BD6" w14:textId="77777777" w:rsidR="00E25AB9" w:rsidRPr="00EB2E7B" w:rsidRDefault="00E25AB9" w:rsidP="008D5A71">
      <w:pPr>
        <w:pStyle w:val="Nagwek3gruby"/>
        <w:ind w:left="1134" w:hanging="1134"/>
        <w:rPr>
          <w:rFonts w:asciiTheme="minorHAnsi" w:hAnsiTheme="minorHAnsi" w:cstheme="minorHAnsi"/>
          <w:sz w:val="20"/>
          <w:szCs w:val="20"/>
        </w:rPr>
      </w:pPr>
      <w:bookmarkStart w:id="288" w:name="_Ref75515492"/>
      <w:r w:rsidRPr="00EB2E7B">
        <w:rPr>
          <w:rFonts w:asciiTheme="minorHAnsi" w:hAnsiTheme="minorHAnsi" w:cstheme="minorHAnsi"/>
          <w:sz w:val="20"/>
          <w:szCs w:val="20"/>
        </w:rPr>
        <w:t>Tryb automatyczny</w:t>
      </w:r>
      <w:bookmarkEnd w:id="288"/>
      <w:r w:rsidRPr="00EB2E7B">
        <w:rPr>
          <w:rFonts w:asciiTheme="minorHAnsi" w:hAnsiTheme="minorHAnsi" w:cstheme="minorHAnsi"/>
          <w:sz w:val="20"/>
          <w:szCs w:val="20"/>
        </w:rPr>
        <w:t xml:space="preserve"> </w:t>
      </w:r>
    </w:p>
    <w:p w14:paraId="0DCAF411" w14:textId="77777777"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Wyłączenia odbiorców w trybie automatycznym realizowane są przez układy SCO, w przypadku obniżenia się częstotliwości do nastawionej na tych układach wartości kryterialnej.</w:t>
      </w:r>
    </w:p>
    <w:p w14:paraId="3E01E30D" w14:textId="32C0274E" w:rsidR="00E25AB9" w:rsidRPr="00EB2E7B" w:rsidRDefault="00E25AB9" w:rsidP="009A432E">
      <w:pPr>
        <w:pStyle w:val="Nagwek4"/>
        <w:rPr>
          <w:rFonts w:asciiTheme="minorHAnsi" w:hAnsiTheme="minorHAnsi" w:cstheme="minorHAnsi"/>
          <w:sz w:val="20"/>
          <w:szCs w:val="20"/>
        </w:rPr>
      </w:pPr>
      <w:bookmarkStart w:id="289" w:name="_Ref146546122"/>
      <w:r w:rsidRPr="00EB2E7B">
        <w:rPr>
          <w:rFonts w:asciiTheme="minorHAnsi" w:hAnsiTheme="minorHAnsi" w:cstheme="minorHAnsi"/>
          <w:sz w:val="20"/>
          <w:szCs w:val="20"/>
        </w:rPr>
        <w:t xml:space="preserve">Układ </w:t>
      </w:r>
      <w:bookmarkEnd w:id="289"/>
      <w:r w:rsidRPr="00EB2E7B">
        <w:rPr>
          <w:rFonts w:asciiTheme="minorHAnsi" w:hAnsiTheme="minorHAnsi" w:cstheme="minorHAnsi"/>
          <w:sz w:val="20"/>
          <w:szCs w:val="20"/>
        </w:rPr>
        <w:t>SCO instaluje odpowiednio ACPRO</w:t>
      </w:r>
      <w:r w:rsidR="00B06355" w:rsidRPr="00EB2E7B">
        <w:rPr>
          <w:rFonts w:asciiTheme="minorHAnsi" w:hAnsiTheme="minorHAnsi" w:cstheme="minorHAnsi"/>
          <w:sz w:val="20"/>
          <w:szCs w:val="20"/>
        </w:rPr>
        <w:t xml:space="preserve"> lub</w:t>
      </w:r>
      <w:r w:rsidRPr="00EB2E7B">
        <w:rPr>
          <w:rFonts w:asciiTheme="minorHAnsi" w:hAnsiTheme="minorHAnsi" w:cstheme="minorHAnsi"/>
          <w:sz w:val="20"/>
          <w:szCs w:val="20"/>
        </w:rPr>
        <w:t xml:space="preserve"> OSDn zgodnie z przepisami rozporządzenia systemowego.</w:t>
      </w:r>
    </w:p>
    <w:p w14:paraId="6970505F" w14:textId="77777777"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O okoliczności zainstalowania układu SCO oraz o jego parametrach technicznych:</w:t>
      </w:r>
    </w:p>
    <w:p w14:paraId="6253A43D" w14:textId="7AFAAD1C" w:rsidR="00E25AB9" w:rsidRPr="00EB2E7B" w:rsidRDefault="00E25AB9" w:rsidP="008D5A71">
      <w:pPr>
        <w:pStyle w:val="1przed"/>
        <w:numPr>
          <w:ilvl w:val="0"/>
          <w:numId w:val="292"/>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OSDn </w:t>
      </w:r>
      <w:r w:rsidR="00434DD6" w:rsidRPr="00EB2E7B">
        <w:rPr>
          <w:rFonts w:asciiTheme="minorHAnsi" w:hAnsiTheme="minorHAnsi" w:cstheme="minorHAnsi"/>
          <w:sz w:val="20"/>
          <w:szCs w:val="20"/>
        </w:rPr>
        <w:t xml:space="preserve">(w tym ACPRO) </w:t>
      </w:r>
      <w:r w:rsidRPr="00EB2E7B">
        <w:rPr>
          <w:rFonts w:asciiTheme="minorHAnsi" w:hAnsiTheme="minorHAnsi" w:cstheme="minorHAnsi"/>
          <w:sz w:val="20"/>
          <w:szCs w:val="20"/>
        </w:rPr>
        <w:t xml:space="preserve">informuje </w:t>
      </w:r>
      <w:proofErr w:type="spellStart"/>
      <w:r w:rsidRPr="00EB2E7B">
        <w:rPr>
          <w:rFonts w:asciiTheme="minorHAnsi" w:hAnsiTheme="minorHAnsi" w:cstheme="minorHAnsi"/>
          <w:sz w:val="20"/>
          <w:szCs w:val="20"/>
        </w:rPr>
        <w:t>OSD</w:t>
      </w:r>
      <w:r w:rsidR="002523D7"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 w przypadku gdy OSDn jest bezpośrednio połączony z siecią </w:t>
      </w:r>
      <w:proofErr w:type="spellStart"/>
      <w:r w:rsidRPr="00EB2E7B">
        <w:rPr>
          <w:rFonts w:asciiTheme="minorHAnsi" w:hAnsiTheme="minorHAnsi" w:cstheme="minorHAnsi"/>
          <w:sz w:val="20"/>
          <w:szCs w:val="20"/>
        </w:rPr>
        <w:t>OSD</w:t>
      </w:r>
      <w:r w:rsidR="002523D7"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w:t>
      </w:r>
    </w:p>
    <w:p w14:paraId="3DD0A016" w14:textId="23679FF7" w:rsidR="00E25AB9" w:rsidRPr="00EB2E7B" w:rsidRDefault="00E25AB9" w:rsidP="008D5A71">
      <w:pPr>
        <w:pStyle w:val="1przed"/>
        <w:numPr>
          <w:ilvl w:val="0"/>
          <w:numId w:val="292"/>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OSDn informuje innego OSDn przyłączonego do sieci </w:t>
      </w:r>
      <w:proofErr w:type="spellStart"/>
      <w:r w:rsidRPr="00EB2E7B">
        <w:rPr>
          <w:rFonts w:asciiTheme="minorHAnsi" w:hAnsiTheme="minorHAnsi" w:cstheme="minorHAnsi"/>
          <w:sz w:val="20"/>
          <w:szCs w:val="20"/>
        </w:rPr>
        <w:t>OSD</w:t>
      </w:r>
      <w:r w:rsidR="00BD25EA"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 w przypadku gdy ten OSDn nie jest bezpośrednio połączony z siecią </w:t>
      </w:r>
      <w:proofErr w:type="spellStart"/>
      <w:r w:rsidRPr="00EB2E7B">
        <w:rPr>
          <w:rFonts w:asciiTheme="minorHAnsi" w:hAnsiTheme="minorHAnsi" w:cstheme="minorHAnsi"/>
          <w:sz w:val="20"/>
          <w:szCs w:val="20"/>
        </w:rPr>
        <w:t>OSD</w:t>
      </w:r>
      <w:r w:rsidR="00BD25EA"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w:t>
      </w:r>
    </w:p>
    <w:p w14:paraId="4416F252" w14:textId="0E73A82C" w:rsidR="00E25AB9" w:rsidRPr="00EB2E7B" w:rsidRDefault="00962C95" w:rsidP="009A432E">
      <w:pPr>
        <w:pStyle w:val="Nagwek4"/>
        <w:rPr>
          <w:rFonts w:asciiTheme="minorHAnsi" w:hAnsiTheme="minorHAnsi" w:cstheme="minorHAnsi"/>
          <w:sz w:val="20"/>
          <w:szCs w:val="20"/>
        </w:rPr>
      </w:pPr>
      <w:bookmarkStart w:id="290" w:name="_Ref146546315"/>
      <w:r w:rsidRPr="00EB2E7B">
        <w:rPr>
          <w:rFonts w:asciiTheme="minorHAnsi" w:hAnsiTheme="minorHAnsi" w:cstheme="minorHAnsi"/>
          <w:sz w:val="20"/>
          <w:szCs w:val="20"/>
        </w:rPr>
        <w:t xml:space="preserve">Odbiorca przyłączony do sieci elektroenergetycznej </w:t>
      </w:r>
      <w:r w:rsidR="00EE7C42" w:rsidRPr="00EB2E7B">
        <w:rPr>
          <w:rFonts w:asciiTheme="minorHAnsi" w:hAnsiTheme="minorHAnsi" w:cstheme="minorHAnsi"/>
          <w:sz w:val="20"/>
          <w:szCs w:val="20"/>
        </w:rPr>
        <w:t>SN</w:t>
      </w:r>
      <w:r w:rsidRPr="00EB2E7B">
        <w:rPr>
          <w:rFonts w:asciiTheme="minorHAnsi" w:hAnsiTheme="minorHAnsi" w:cstheme="minorHAnsi"/>
          <w:sz w:val="20"/>
          <w:szCs w:val="20"/>
        </w:rPr>
        <w:t xml:space="preserve"> podlega stosowaniu układu SCO przez operatora systemu dystrybucyjnego elektroenergetycznego, do którego sieci jest przyłączony.</w:t>
      </w:r>
      <w:bookmarkEnd w:id="290"/>
    </w:p>
    <w:p w14:paraId="3F5AFBB8" w14:textId="4823ED45" w:rsidR="00E25AB9" w:rsidRPr="00EB2E7B" w:rsidRDefault="00E25AB9" w:rsidP="009A432E">
      <w:pPr>
        <w:pStyle w:val="Nagwek4"/>
        <w:rPr>
          <w:rFonts w:asciiTheme="minorHAnsi" w:hAnsiTheme="minorHAnsi" w:cstheme="minorHAnsi"/>
          <w:sz w:val="20"/>
          <w:szCs w:val="20"/>
        </w:rPr>
      </w:pPr>
      <w:bookmarkStart w:id="291" w:name="_Hlk142636281"/>
      <w:bookmarkStart w:id="292" w:name="_Ref146546345"/>
      <w:r w:rsidRPr="00EB2E7B">
        <w:rPr>
          <w:rFonts w:asciiTheme="minorHAnsi" w:hAnsiTheme="minorHAnsi" w:cstheme="minorHAnsi"/>
          <w:sz w:val="20"/>
          <w:szCs w:val="20"/>
        </w:rPr>
        <w:t xml:space="preserve">ACPRO połączony z siecią SN 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może podlegać stosowaniu układu SCO zainstalowanego 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zgodnie z postanowieniami umowy zawartej pomiędzy </w:t>
      </w:r>
      <w:bookmarkEnd w:id="291"/>
      <w:r w:rsidR="007C5F0F" w:rsidRPr="00EB2E7B">
        <w:rPr>
          <w:rFonts w:asciiTheme="minorHAnsi" w:hAnsiTheme="minorHAnsi" w:cstheme="minorHAnsi"/>
          <w:sz w:val="20"/>
          <w:szCs w:val="20"/>
        </w:rPr>
        <w:t>zaangażowanymi operatorami</w:t>
      </w:r>
      <w:r w:rsidRPr="00EB2E7B">
        <w:rPr>
          <w:rFonts w:asciiTheme="minorHAnsi" w:hAnsiTheme="minorHAnsi" w:cstheme="minorHAnsi"/>
          <w:sz w:val="20"/>
          <w:szCs w:val="20"/>
        </w:rPr>
        <w:t>.</w:t>
      </w:r>
      <w:bookmarkEnd w:id="292"/>
    </w:p>
    <w:p w14:paraId="2077AA12" w14:textId="262093E9" w:rsidR="00E25AB9" w:rsidRPr="00EB2E7B" w:rsidRDefault="00E25AB9" w:rsidP="009A432E">
      <w:pPr>
        <w:pStyle w:val="Nagwek4"/>
        <w:rPr>
          <w:rFonts w:asciiTheme="minorHAnsi" w:hAnsiTheme="minorHAnsi" w:cstheme="minorHAnsi"/>
          <w:sz w:val="20"/>
          <w:szCs w:val="20"/>
        </w:rPr>
      </w:pPr>
      <w:bookmarkStart w:id="293" w:name="_Ref146545985"/>
      <w:r w:rsidRPr="00EB2E7B">
        <w:rPr>
          <w:rFonts w:asciiTheme="minorHAnsi" w:hAnsiTheme="minorHAnsi" w:cstheme="minorHAnsi"/>
          <w:sz w:val="20"/>
          <w:szCs w:val="20"/>
        </w:rPr>
        <w:t>Czas zadziałania układu SCO powinien być nie dłuższy niż 150 ms, z zastrzeżeniem, że w przypadku układu SCO, do którego nie mają zastosowania wymagania NC DC, zainstalowanego przed datą 18 grudnia 2022 r., w sieci ACPRO lub w instalacji odbiorcy przyłączonego do sieci o napięciu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czas zadziałania układu </w:t>
      </w:r>
      <w:r w:rsidR="003A200A" w:rsidRPr="00EB2E7B">
        <w:rPr>
          <w:rFonts w:asciiTheme="minorHAnsi" w:hAnsiTheme="minorHAnsi" w:cstheme="minorHAnsi"/>
          <w:sz w:val="20"/>
          <w:szCs w:val="20"/>
        </w:rPr>
        <w:t xml:space="preserve">SCO </w:t>
      </w:r>
      <w:r w:rsidRPr="00EB2E7B">
        <w:rPr>
          <w:rFonts w:asciiTheme="minorHAnsi" w:hAnsiTheme="minorHAnsi" w:cstheme="minorHAnsi"/>
          <w:sz w:val="20"/>
          <w:szCs w:val="20"/>
        </w:rPr>
        <w:t>powinien być nie dłuższy niż 300 ms.</w:t>
      </w:r>
      <w:bookmarkEnd w:id="293"/>
    </w:p>
    <w:p w14:paraId="29C4416B" w14:textId="77777777" w:rsidR="00E25AB9" w:rsidRPr="00EB2E7B" w:rsidRDefault="00E25AB9" w:rsidP="009A432E">
      <w:pPr>
        <w:pStyle w:val="Nagwek4"/>
        <w:rPr>
          <w:rFonts w:asciiTheme="minorHAnsi" w:hAnsiTheme="minorHAnsi" w:cstheme="minorHAnsi"/>
          <w:sz w:val="20"/>
          <w:szCs w:val="20"/>
        </w:rPr>
      </w:pPr>
      <w:bookmarkStart w:id="294" w:name="_Ref146545993"/>
      <w:r w:rsidRPr="00EB2E7B">
        <w:rPr>
          <w:rFonts w:asciiTheme="minorHAnsi" w:hAnsiTheme="minorHAnsi" w:cstheme="minorHAnsi"/>
          <w:sz w:val="20"/>
          <w:szCs w:val="20"/>
        </w:rPr>
        <w:t>Przekaźnik SCO, stosowany w układach SCO, powinien:</w:t>
      </w:r>
      <w:bookmarkEnd w:id="294"/>
    </w:p>
    <w:p w14:paraId="690E6748" w14:textId="77777777" w:rsidR="00E25AB9" w:rsidRPr="00EB2E7B" w:rsidRDefault="00E25AB9" w:rsidP="008D5A71">
      <w:pPr>
        <w:pStyle w:val="1przed"/>
        <w:numPr>
          <w:ilvl w:val="0"/>
          <w:numId w:val="293"/>
        </w:numPr>
        <w:ind w:left="1701" w:hanging="567"/>
        <w:rPr>
          <w:rFonts w:asciiTheme="minorHAnsi" w:hAnsiTheme="minorHAnsi" w:cstheme="minorHAnsi"/>
          <w:sz w:val="20"/>
          <w:szCs w:val="20"/>
        </w:rPr>
      </w:pPr>
      <w:r w:rsidRPr="00EB2E7B">
        <w:rPr>
          <w:rFonts w:asciiTheme="minorHAnsi" w:hAnsiTheme="minorHAnsi" w:cstheme="minorHAnsi"/>
          <w:sz w:val="20"/>
          <w:szCs w:val="20"/>
        </w:rPr>
        <w:t>umożliwiać nastawienie wartości częstotliwości z zakresu od 47,00 do 50,00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ze zmianą skokową co 0,05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w:t>
      </w:r>
    </w:p>
    <w:p w14:paraId="689D24F2" w14:textId="77777777" w:rsidR="00E25AB9" w:rsidRPr="00EB2E7B" w:rsidRDefault="00E25AB9" w:rsidP="008D5A71">
      <w:pPr>
        <w:pStyle w:val="1przed"/>
        <w:numPr>
          <w:ilvl w:val="0"/>
          <w:numId w:val="293"/>
        </w:numPr>
        <w:ind w:left="1701" w:hanging="567"/>
        <w:rPr>
          <w:rFonts w:asciiTheme="minorHAnsi" w:hAnsiTheme="minorHAnsi" w:cstheme="minorHAnsi"/>
          <w:sz w:val="20"/>
          <w:szCs w:val="20"/>
        </w:rPr>
      </w:pPr>
      <w:r w:rsidRPr="00EB2E7B">
        <w:rPr>
          <w:rFonts w:asciiTheme="minorHAnsi" w:hAnsiTheme="minorHAnsi" w:cstheme="minorHAnsi"/>
          <w:sz w:val="20"/>
          <w:szCs w:val="20"/>
        </w:rPr>
        <w:t>umożliwiać nastawienie zwłoki czasowej w zakresie od 0,05 do 1 s ze zmianą skokową co 0,05 s, jeżeli zastosowanie zwłoki czasowej jest konieczne do prawidłowego działania tego przekaźnika;</w:t>
      </w:r>
    </w:p>
    <w:p w14:paraId="6F9F586A" w14:textId="77777777" w:rsidR="00E25AB9" w:rsidRPr="00EB2E7B" w:rsidRDefault="00E25AB9" w:rsidP="008D5A71">
      <w:pPr>
        <w:pStyle w:val="1przed"/>
        <w:numPr>
          <w:ilvl w:val="0"/>
          <w:numId w:val="293"/>
        </w:numPr>
        <w:ind w:left="1701" w:hanging="567"/>
        <w:rPr>
          <w:rFonts w:asciiTheme="minorHAnsi" w:hAnsiTheme="minorHAnsi" w:cstheme="minorHAnsi"/>
          <w:sz w:val="20"/>
          <w:szCs w:val="20"/>
        </w:rPr>
      </w:pPr>
      <w:r w:rsidRPr="00EB2E7B">
        <w:rPr>
          <w:rFonts w:asciiTheme="minorHAnsi" w:hAnsiTheme="minorHAnsi" w:cstheme="minorHAnsi"/>
          <w:sz w:val="20"/>
          <w:szCs w:val="20"/>
        </w:rPr>
        <w:t>zapewniać dotrzymanie czasu własnego przekaźnika na poziomie nie większym niż 100 ms;</w:t>
      </w:r>
    </w:p>
    <w:p w14:paraId="4F0FC80D" w14:textId="77777777" w:rsidR="00E25AB9" w:rsidRPr="00EB2E7B" w:rsidRDefault="00E25AB9" w:rsidP="008D5A71">
      <w:pPr>
        <w:pStyle w:val="1przed"/>
        <w:numPr>
          <w:ilvl w:val="0"/>
          <w:numId w:val="293"/>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zapewniać poprawną pracę w zakresie od 0,5 do 1,1 </w:t>
      </w:r>
      <w:proofErr w:type="spellStart"/>
      <w:r w:rsidRPr="00EB2E7B">
        <w:rPr>
          <w:rFonts w:asciiTheme="minorHAnsi" w:hAnsiTheme="minorHAnsi" w:cstheme="minorHAnsi"/>
          <w:sz w:val="20"/>
          <w:szCs w:val="20"/>
        </w:rPr>
        <w:t>Un</w:t>
      </w:r>
      <w:proofErr w:type="spellEnd"/>
      <w:r w:rsidRPr="00EB2E7B">
        <w:rPr>
          <w:rFonts w:asciiTheme="minorHAnsi" w:hAnsiTheme="minorHAnsi" w:cstheme="minorHAnsi"/>
          <w:sz w:val="20"/>
          <w:szCs w:val="20"/>
        </w:rPr>
        <w:t>;</w:t>
      </w:r>
    </w:p>
    <w:p w14:paraId="2B7A8A25" w14:textId="77777777" w:rsidR="00E25AB9" w:rsidRPr="00EB2E7B" w:rsidRDefault="00E25AB9" w:rsidP="008D5A71">
      <w:pPr>
        <w:pStyle w:val="1przed"/>
        <w:numPr>
          <w:ilvl w:val="0"/>
          <w:numId w:val="293"/>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zapewniać dokładność pomiaru częstotliwości nie mniejszą niż 10 </w:t>
      </w:r>
      <w:proofErr w:type="spellStart"/>
      <w:r w:rsidRPr="00EB2E7B">
        <w:rPr>
          <w:rFonts w:asciiTheme="minorHAnsi" w:hAnsiTheme="minorHAnsi" w:cstheme="minorHAnsi"/>
          <w:sz w:val="20"/>
          <w:szCs w:val="20"/>
        </w:rPr>
        <w:t>mHz</w:t>
      </w:r>
      <w:proofErr w:type="spellEnd"/>
      <w:r w:rsidRPr="00EB2E7B">
        <w:rPr>
          <w:rFonts w:asciiTheme="minorHAnsi" w:hAnsiTheme="minorHAnsi" w:cstheme="minorHAnsi"/>
          <w:sz w:val="20"/>
          <w:szCs w:val="20"/>
        </w:rPr>
        <w:t>;</w:t>
      </w:r>
    </w:p>
    <w:p w14:paraId="171264BE" w14:textId="77777777" w:rsidR="00E25AB9" w:rsidRPr="00EB2E7B" w:rsidRDefault="00E25AB9" w:rsidP="008D5A71">
      <w:pPr>
        <w:pStyle w:val="1przed"/>
        <w:numPr>
          <w:ilvl w:val="0"/>
          <w:numId w:val="293"/>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zapewniać identyfikację kierunku przepływu mocy czynnej i mieć możliwość nastawiania lub blokowania jego zadziałania w zależności od nastawionego kierunku przepływu mocy czynnej w miejscu instalacji wyłącznika;</w:t>
      </w:r>
    </w:p>
    <w:p w14:paraId="37AF8273" w14:textId="77777777" w:rsidR="00E25AB9" w:rsidRPr="00EB2E7B" w:rsidRDefault="00E25AB9" w:rsidP="008D5A71">
      <w:pPr>
        <w:pStyle w:val="1przed"/>
        <w:numPr>
          <w:ilvl w:val="0"/>
          <w:numId w:val="293"/>
        </w:numPr>
        <w:ind w:left="1701" w:hanging="567"/>
        <w:rPr>
          <w:rFonts w:asciiTheme="minorHAnsi" w:hAnsiTheme="minorHAnsi" w:cstheme="minorHAnsi"/>
          <w:sz w:val="20"/>
          <w:szCs w:val="20"/>
        </w:rPr>
      </w:pPr>
      <w:r w:rsidRPr="00EB2E7B">
        <w:rPr>
          <w:rFonts w:asciiTheme="minorHAnsi" w:hAnsiTheme="minorHAnsi" w:cstheme="minorHAnsi"/>
          <w:sz w:val="20"/>
          <w:szCs w:val="20"/>
        </w:rPr>
        <w:t>zapewniać możliwość zastosowania blokady napięciowej przy obniżonej amplitudzie napięcia poniżej wartości zadanej, przy czym aktywacja zdolności następuje w uzgodnionych z OSP przypadkach.</w:t>
      </w:r>
    </w:p>
    <w:p w14:paraId="47666E3E" w14:textId="47334B7C" w:rsidR="00763F08" w:rsidRPr="00EB2E7B" w:rsidRDefault="00763F08" w:rsidP="009A432E">
      <w:pPr>
        <w:pStyle w:val="Nagwek4"/>
        <w:rPr>
          <w:rFonts w:asciiTheme="minorHAnsi" w:hAnsiTheme="minorHAnsi" w:cstheme="minorHAnsi"/>
          <w:sz w:val="20"/>
          <w:szCs w:val="20"/>
        </w:rPr>
      </w:pPr>
      <w:r w:rsidRPr="00EB2E7B">
        <w:rPr>
          <w:rFonts w:asciiTheme="minorHAnsi" w:hAnsiTheme="minorHAnsi" w:cstheme="minorHAnsi"/>
          <w:sz w:val="20"/>
          <w:szCs w:val="20"/>
        </w:rPr>
        <w:t>Harmonogramy testów układów SCO są opracowywane przez właściciela SCO dla każdego roku na okres kolejnych 5 lat corocznie do listopada roku poprzedzającego. Informacja o harmonogramie testów jest przekazywana do ACPRO na jego wezwanie.</w:t>
      </w:r>
    </w:p>
    <w:p w14:paraId="632C3CCF" w14:textId="07EEBC81"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Testy układu SCO przeprowadzane są przez jego właściciela co najmniej raz na pięć lat lub w terminie jednego roku od modernizacji tego układu, uwzględniając wymagania techniczne określone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_Ref146545985 \r \h </w:instrText>
      </w:r>
      <w:r w:rsidR="004A3D6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_Ref146545993 \r \h </w:instrText>
      </w:r>
      <w:r w:rsidR="004A3D6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IV.3.5.6</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oraz zgodnie z Planem Testów będącym TCM opracowanym na podstawie NC ER.</w:t>
      </w:r>
    </w:p>
    <w:p w14:paraId="2140F565" w14:textId="77777777" w:rsidR="00B96295" w:rsidRPr="00EB2E7B" w:rsidRDefault="00E25AB9" w:rsidP="009A432E">
      <w:pPr>
        <w:pStyle w:val="Nagwek4"/>
        <w:rPr>
          <w:rFonts w:asciiTheme="minorHAnsi" w:hAnsiTheme="minorHAnsi" w:cstheme="minorHAnsi"/>
          <w:sz w:val="20"/>
          <w:szCs w:val="20"/>
        </w:rPr>
      </w:pPr>
      <w:bookmarkStart w:id="295" w:name="_Ref190090369"/>
      <w:r w:rsidRPr="00EB2E7B">
        <w:rPr>
          <w:rFonts w:asciiTheme="minorHAnsi" w:hAnsiTheme="minorHAnsi" w:cstheme="minorHAnsi"/>
          <w:sz w:val="20"/>
          <w:szCs w:val="20"/>
        </w:rPr>
        <w:t>OSP, w terminie do dnia 31 marca każdego roku, przekazuje wartości mocy czynnej wyłączanej przez układy SCO</w:t>
      </w:r>
      <w:r w:rsidR="00B96295" w:rsidRPr="00EB2E7B">
        <w:rPr>
          <w:rFonts w:asciiTheme="minorHAnsi" w:hAnsiTheme="minorHAnsi" w:cstheme="minorHAnsi"/>
          <w:sz w:val="20"/>
          <w:szCs w:val="20"/>
        </w:rPr>
        <w:t>:</w:t>
      </w:r>
      <w:bookmarkEnd w:id="295"/>
    </w:p>
    <w:p w14:paraId="1852AFA7" w14:textId="631B094C" w:rsidR="00E81302" w:rsidRPr="00EB2E7B" w:rsidRDefault="00E81302" w:rsidP="005D64A0">
      <w:pPr>
        <w:pStyle w:val="Akapitzlist"/>
        <w:numPr>
          <w:ilvl w:val="7"/>
          <w:numId w:val="336"/>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odbiorcom przyłączonym do sieci przesyłowej</w:t>
      </w:r>
    </w:p>
    <w:p w14:paraId="2E86B395" w14:textId="0F382467" w:rsidR="00E25AB9" w:rsidRPr="00EB2E7B" w:rsidRDefault="00962682" w:rsidP="3BC79BE0">
      <w:pPr>
        <w:pStyle w:val="Akapitzlist"/>
        <w:numPr>
          <w:ilvl w:val="7"/>
          <w:numId w:val="336"/>
        </w:numPr>
        <w:snapToGrid w:val="0"/>
        <w:spacing w:line="266" w:lineRule="auto"/>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OSD</w:t>
      </w:r>
      <w:r w:rsidR="007D095D" w:rsidRPr="00EB2E7B">
        <w:rPr>
          <w:rFonts w:asciiTheme="minorHAnsi" w:hAnsiTheme="minorHAnsi" w:cstheme="minorHAnsi"/>
          <w:sz w:val="20"/>
          <w:szCs w:val="20"/>
        </w:rPr>
        <w:t>p</w:t>
      </w:r>
      <w:proofErr w:type="spellEnd"/>
      <w:r w:rsidR="00EC4C31" w:rsidRPr="00EB2E7B">
        <w:rPr>
          <w:rFonts w:asciiTheme="minorHAnsi" w:hAnsiTheme="minorHAnsi" w:cstheme="minorHAnsi"/>
          <w:sz w:val="20"/>
          <w:szCs w:val="20"/>
        </w:rPr>
        <w:t xml:space="preserve">. </w:t>
      </w:r>
    </w:p>
    <w:p w14:paraId="7E96B712" w14:textId="71414FF2" w:rsidR="00E25AB9" w:rsidRPr="00EB2E7B" w:rsidRDefault="00271E33" w:rsidP="000D01A3">
      <w:pPr>
        <w:pStyle w:val="Akapitzlist"/>
        <w:numPr>
          <w:ilvl w:val="7"/>
          <w:numId w:val="336"/>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w:t>
      </w:r>
      <w:r w:rsidR="00E25AB9" w:rsidRPr="00EB2E7B">
        <w:rPr>
          <w:rFonts w:asciiTheme="minorHAnsi" w:hAnsiTheme="minorHAnsi" w:cstheme="minorHAnsi"/>
          <w:sz w:val="20"/>
          <w:szCs w:val="20"/>
        </w:rPr>
        <w:t>SD</w:t>
      </w:r>
      <w:r w:rsidR="00B32864" w:rsidRPr="00EB2E7B">
        <w:rPr>
          <w:rFonts w:asciiTheme="minorHAnsi" w:hAnsiTheme="minorHAnsi" w:cstheme="minorHAnsi"/>
          <w:sz w:val="20"/>
          <w:szCs w:val="20"/>
        </w:rPr>
        <w:t>n</w:t>
      </w:r>
      <w:r w:rsidR="00E25AB9" w:rsidRPr="00EB2E7B">
        <w:rPr>
          <w:rFonts w:asciiTheme="minorHAnsi" w:hAnsiTheme="minorHAnsi" w:cstheme="minorHAnsi"/>
          <w:sz w:val="20"/>
          <w:szCs w:val="20"/>
        </w:rPr>
        <w:t xml:space="preserve"> </w:t>
      </w:r>
      <w:r w:rsidR="00B32864" w:rsidRPr="00EB2E7B">
        <w:rPr>
          <w:rFonts w:asciiTheme="minorHAnsi" w:hAnsiTheme="minorHAnsi" w:cstheme="minorHAnsi"/>
          <w:sz w:val="20"/>
          <w:szCs w:val="20"/>
        </w:rPr>
        <w:t xml:space="preserve">(w tym ACPRO) </w:t>
      </w:r>
      <w:r w:rsidR="00E25AB9" w:rsidRPr="00EB2E7B">
        <w:rPr>
          <w:rFonts w:asciiTheme="minorHAnsi" w:hAnsiTheme="minorHAnsi" w:cstheme="minorHAnsi"/>
          <w:sz w:val="20"/>
          <w:szCs w:val="20"/>
        </w:rPr>
        <w:t xml:space="preserve">za pośrednictwem </w:t>
      </w:r>
      <w:proofErr w:type="spellStart"/>
      <w:r w:rsidR="00E25AB9" w:rsidRPr="00EB2E7B">
        <w:rPr>
          <w:rFonts w:asciiTheme="minorHAnsi" w:hAnsiTheme="minorHAnsi" w:cstheme="minorHAnsi"/>
          <w:sz w:val="20"/>
          <w:szCs w:val="20"/>
        </w:rPr>
        <w:t>OSDp</w:t>
      </w:r>
      <w:proofErr w:type="spellEnd"/>
      <w:r w:rsidR="00E25AB9" w:rsidRPr="00EB2E7B">
        <w:rPr>
          <w:rFonts w:asciiTheme="minorHAnsi" w:hAnsiTheme="minorHAnsi" w:cstheme="minorHAnsi"/>
          <w:sz w:val="20"/>
          <w:szCs w:val="20"/>
        </w:rPr>
        <w:t>.</w:t>
      </w:r>
    </w:p>
    <w:p w14:paraId="76FA18C2" w14:textId="0B8F58C6"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Wartości mocy czynnej wyłączanej przez układy SCO są wyznaczane zgodnie z załącznikiem do NC ER, dla poszczególnych stopni SCO (poziomów obowiązkowego odłączenia odbioru przy niskiej częstotliwości w rozumieniu NC ER) w odniesieniu do zapotrzebowania netto KSE.</w:t>
      </w:r>
    </w:p>
    <w:p w14:paraId="7394C7FB" w14:textId="45BED22E" w:rsidR="00E25AB9" w:rsidRPr="00EB2E7B" w:rsidRDefault="00E25AB9"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Przez zapotrzebowanie netto KSE rozumie się sumę generacji mocy czynnej jednostek wytwórczych na obszarze działania OSP (w tym generację mocy czynnej </w:t>
      </w:r>
      <w:proofErr w:type="spellStart"/>
      <w:r w:rsidRPr="00EB2E7B">
        <w:rPr>
          <w:rFonts w:asciiTheme="minorHAnsi" w:hAnsiTheme="minorHAnsi" w:cstheme="minorHAnsi"/>
          <w:sz w:val="20"/>
          <w:szCs w:val="20"/>
        </w:rPr>
        <w:t>autoproducentów</w:t>
      </w:r>
      <w:proofErr w:type="spellEnd"/>
      <w:r w:rsidRPr="00EB2E7B">
        <w:rPr>
          <w:rFonts w:asciiTheme="minorHAnsi" w:hAnsiTheme="minorHAnsi" w:cstheme="minorHAnsi"/>
          <w:sz w:val="20"/>
          <w:szCs w:val="20"/>
        </w:rPr>
        <w:t>), powiększoną o wartość importu oraz pomniejszoną o wartość eksportu, mocy pobieranej przez magazyny energii elektrycznej i mocy pobieranej przez elektrownie szczytowo – pompowe, przy czym wielkość ta nie obejmuje mocy potrzeb własnych jednostek wytwórczych oraz potrzeb ogólnych elektrowni.</w:t>
      </w:r>
    </w:p>
    <w:p w14:paraId="68AF0FC3" w14:textId="77EDAAF8" w:rsidR="00790983" w:rsidRPr="00EB2E7B" w:rsidRDefault="00A4091A" w:rsidP="009A432E">
      <w:pPr>
        <w:pStyle w:val="Nagwek4"/>
        <w:rPr>
          <w:rFonts w:asciiTheme="minorHAnsi" w:hAnsiTheme="minorHAnsi" w:cstheme="minorHAnsi"/>
          <w:sz w:val="20"/>
          <w:szCs w:val="20"/>
        </w:rPr>
      </w:pPr>
      <w:bookmarkStart w:id="296" w:name="_Ref190090681"/>
      <w:bookmarkStart w:id="297" w:name="_Ref146546360"/>
      <w:r w:rsidRPr="00EB2E7B">
        <w:rPr>
          <w:rFonts w:asciiTheme="minorHAnsi" w:hAnsiTheme="minorHAnsi" w:cstheme="minorHAnsi"/>
          <w:sz w:val="20"/>
          <w:szCs w:val="20"/>
        </w:rPr>
        <w:t xml:space="preserve">ACPRO, na podstawie danych przekazanych przez OSP </w:t>
      </w:r>
      <w:r w:rsidR="007D13CD" w:rsidRPr="00EB2E7B">
        <w:rPr>
          <w:rFonts w:asciiTheme="minorHAnsi" w:hAnsiTheme="minorHAnsi" w:cstheme="minorHAnsi"/>
          <w:sz w:val="20"/>
          <w:szCs w:val="20"/>
        </w:rPr>
        <w:t xml:space="preserve">za </w:t>
      </w:r>
      <w:r w:rsidRPr="00EB2E7B">
        <w:rPr>
          <w:rFonts w:asciiTheme="minorHAnsi" w:hAnsiTheme="minorHAnsi" w:cstheme="minorHAnsi"/>
          <w:sz w:val="20"/>
          <w:szCs w:val="20"/>
        </w:rPr>
        <w:t xml:space="preserve">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których mowa w pkt. </w:t>
      </w:r>
      <w:r w:rsidR="00CF1154" w:rsidRPr="00EB2E7B">
        <w:rPr>
          <w:rFonts w:asciiTheme="minorHAnsi" w:hAnsiTheme="minorHAnsi" w:cstheme="minorHAnsi"/>
          <w:sz w:val="20"/>
          <w:szCs w:val="20"/>
        </w:rPr>
        <w:fldChar w:fldCharType="begin"/>
      </w:r>
      <w:r w:rsidR="00CF1154" w:rsidRPr="00EB2E7B">
        <w:rPr>
          <w:rFonts w:asciiTheme="minorHAnsi" w:hAnsiTheme="minorHAnsi" w:cstheme="minorHAnsi"/>
          <w:sz w:val="20"/>
          <w:szCs w:val="20"/>
        </w:rPr>
        <w:instrText xml:space="preserve"> REF _Ref190090369 \w \h </w:instrText>
      </w:r>
      <w:r w:rsidR="00EE2A4F" w:rsidRPr="00EB2E7B">
        <w:rPr>
          <w:rFonts w:asciiTheme="minorHAnsi" w:hAnsiTheme="minorHAnsi" w:cstheme="minorHAnsi"/>
          <w:sz w:val="20"/>
          <w:szCs w:val="20"/>
        </w:rPr>
        <w:instrText xml:space="preserve"> \* MERGEFORMAT </w:instrText>
      </w:r>
      <w:r w:rsidR="00CF1154" w:rsidRPr="00EB2E7B">
        <w:rPr>
          <w:rFonts w:asciiTheme="minorHAnsi" w:hAnsiTheme="minorHAnsi" w:cstheme="minorHAnsi"/>
          <w:sz w:val="20"/>
          <w:szCs w:val="20"/>
        </w:rPr>
      </w:r>
      <w:r w:rsidR="00CF115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IV.3.5.9</w:t>
      </w:r>
      <w:r w:rsidR="00CF115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wyznacza wartości mocy czynnej wyłączanej przez układy SCO na swoim obszarze działania, uwzględniając</w:t>
      </w:r>
      <w:r w:rsidR="00EE2A4F" w:rsidRPr="00EB2E7B">
        <w:rPr>
          <w:rFonts w:asciiTheme="minorHAnsi" w:hAnsiTheme="minorHAnsi" w:cstheme="minorHAnsi"/>
          <w:sz w:val="20"/>
          <w:szCs w:val="20"/>
        </w:rPr>
        <w:t xml:space="preserve"> </w:t>
      </w:r>
      <w:r w:rsidR="002138F5" w:rsidRPr="00EB2E7B">
        <w:rPr>
          <w:rFonts w:asciiTheme="minorHAnsi" w:hAnsiTheme="minorHAnsi" w:cstheme="minorHAnsi"/>
          <w:sz w:val="20"/>
          <w:szCs w:val="20"/>
        </w:rPr>
        <w:t>OSDn pr</w:t>
      </w:r>
      <w:r w:rsidR="00AA35BF" w:rsidRPr="00EB2E7B">
        <w:rPr>
          <w:rFonts w:asciiTheme="minorHAnsi" w:hAnsiTheme="minorHAnsi" w:cstheme="minorHAnsi"/>
          <w:sz w:val="20"/>
          <w:szCs w:val="20"/>
        </w:rPr>
        <w:t>zyłączonych do sieci ACPRO.</w:t>
      </w:r>
      <w:bookmarkEnd w:id="296"/>
    </w:p>
    <w:bookmarkEnd w:id="297"/>
    <w:p w14:paraId="54B77547" w14:textId="6561E914" w:rsidR="00A17611" w:rsidRPr="00EB2E7B" w:rsidRDefault="53170B24" w:rsidP="009A432E">
      <w:pPr>
        <w:pStyle w:val="Nagwek4"/>
        <w:rPr>
          <w:rFonts w:asciiTheme="minorHAnsi" w:hAnsiTheme="minorHAnsi" w:cstheme="minorHAnsi"/>
          <w:sz w:val="20"/>
          <w:szCs w:val="20"/>
        </w:rPr>
      </w:pPr>
      <w:r w:rsidRPr="00EB2E7B">
        <w:rPr>
          <w:rFonts w:asciiTheme="minorHAnsi" w:hAnsiTheme="minorHAnsi" w:cstheme="minorHAnsi"/>
          <w:sz w:val="20"/>
          <w:szCs w:val="20"/>
        </w:rPr>
        <w:t>OSD</w:t>
      </w:r>
      <w:r w:rsidR="001E3A74" w:rsidRPr="00EB2E7B">
        <w:rPr>
          <w:rFonts w:asciiTheme="minorHAnsi" w:hAnsiTheme="minorHAnsi" w:cstheme="minorHAnsi"/>
          <w:sz w:val="20"/>
          <w:szCs w:val="20"/>
        </w:rPr>
        <w:t>n</w:t>
      </w:r>
      <w:r w:rsidRPr="00EB2E7B">
        <w:rPr>
          <w:rFonts w:asciiTheme="minorHAnsi" w:hAnsiTheme="minorHAnsi" w:cstheme="minorHAnsi"/>
          <w:sz w:val="20"/>
          <w:szCs w:val="20"/>
        </w:rPr>
        <w:t xml:space="preserve"> na podstawie danych przekazanych przez </w:t>
      </w:r>
      <w:proofErr w:type="spellStart"/>
      <w:r w:rsidR="595A92CA"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których mowa w pkt </w:t>
      </w:r>
      <w:r w:rsidR="00FB1D1F" w:rsidRPr="00EB2E7B">
        <w:rPr>
          <w:rFonts w:asciiTheme="minorHAnsi" w:hAnsiTheme="minorHAnsi" w:cstheme="minorHAnsi"/>
          <w:sz w:val="20"/>
          <w:szCs w:val="20"/>
        </w:rPr>
        <w:fldChar w:fldCharType="begin"/>
      </w:r>
      <w:r w:rsidR="00FB1D1F" w:rsidRPr="00EB2E7B">
        <w:rPr>
          <w:rFonts w:asciiTheme="minorHAnsi" w:hAnsiTheme="minorHAnsi" w:cstheme="minorHAnsi"/>
          <w:sz w:val="20"/>
          <w:szCs w:val="20"/>
        </w:rPr>
        <w:instrText xml:space="preserve"> REF _Ref190090369 \w \h  \* MERGEFORMAT </w:instrText>
      </w:r>
      <w:r w:rsidR="00FB1D1F" w:rsidRPr="00EB2E7B">
        <w:rPr>
          <w:rFonts w:asciiTheme="minorHAnsi" w:hAnsiTheme="minorHAnsi" w:cstheme="minorHAnsi"/>
          <w:sz w:val="20"/>
          <w:szCs w:val="20"/>
        </w:rPr>
      </w:r>
      <w:r w:rsidR="00FB1D1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IV.3.5.9</w:t>
      </w:r>
      <w:r w:rsidR="00FB1D1F"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wyznacza wartości mocy czynnej wyłączanej przez układy</w:t>
      </w:r>
      <w:r w:rsidR="00517C05" w:rsidRPr="00EB2E7B">
        <w:rPr>
          <w:rFonts w:asciiTheme="minorHAnsi" w:hAnsiTheme="minorHAnsi" w:cstheme="minorHAnsi"/>
          <w:sz w:val="20"/>
          <w:szCs w:val="20"/>
        </w:rPr>
        <w:t xml:space="preserve"> </w:t>
      </w:r>
      <w:r w:rsidRPr="00EB2E7B">
        <w:rPr>
          <w:rFonts w:asciiTheme="minorHAnsi" w:hAnsiTheme="minorHAnsi" w:cstheme="minorHAnsi"/>
          <w:sz w:val="20"/>
          <w:szCs w:val="20"/>
        </w:rPr>
        <w:t>SCO na swoim obszarze działania, uwzględniając</w:t>
      </w:r>
      <w:r w:rsidR="005A43C6" w:rsidRPr="00EB2E7B">
        <w:rPr>
          <w:rFonts w:asciiTheme="minorHAnsi" w:hAnsiTheme="minorHAnsi" w:cstheme="minorHAnsi"/>
          <w:sz w:val="20"/>
          <w:szCs w:val="20"/>
        </w:rPr>
        <w:t xml:space="preserve"> </w:t>
      </w:r>
      <w:r w:rsidR="00A17611" w:rsidRPr="00EB2E7B">
        <w:rPr>
          <w:rFonts w:asciiTheme="minorHAnsi" w:hAnsiTheme="minorHAnsi" w:cstheme="minorHAnsi"/>
          <w:sz w:val="20"/>
          <w:szCs w:val="20"/>
        </w:rPr>
        <w:t>OSDn przyłączonych do sieci przedmiotowego OSDn.</w:t>
      </w:r>
    </w:p>
    <w:p w14:paraId="5A0E3990" w14:textId="05A28FD4" w:rsidR="00E25AB9" w:rsidRPr="00EB2E7B" w:rsidRDefault="00C54CC2"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ACPRO i </w:t>
      </w:r>
      <w:r w:rsidR="00586501" w:rsidRPr="00EB2E7B">
        <w:rPr>
          <w:rFonts w:asciiTheme="minorHAnsi" w:hAnsiTheme="minorHAnsi" w:cstheme="minorHAnsi"/>
          <w:sz w:val="20"/>
          <w:szCs w:val="20"/>
        </w:rPr>
        <w:t>OSD</w:t>
      </w:r>
      <w:r w:rsidR="00F81D93" w:rsidRPr="00EB2E7B">
        <w:rPr>
          <w:rFonts w:asciiTheme="minorHAnsi" w:hAnsiTheme="minorHAnsi" w:cstheme="minorHAnsi"/>
          <w:sz w:val="20"/>
          <w:szCs w:val="20"/>
        </w:rPr>
        <w:t>n</w:t>
      </w:r>
      <w:r w:rsidR="00E25AB9" w:rsidRPr="00EB2E7B">
        <w:rPr>
          <w:rFonts w:asciiTheme="minorHAnsi" w:hAnsiTheme="minorHAnsi" w:cstheme="minorHAnsi"/>
          <w:sz w:val="20"/>
          <w:szCs w:val="20"/>
        </w:rPr>
        <w:t>, o który</w:t>
      </w:r>
      <w:r w:rsidRPr="00EB2E7B">
        <w:rPr>
          <w:rFonts w:asciiTheme="minorHAnsi" w:hAnsiTheme="minorHAnsi" w:cstheme="minorHAnsi"/>
          <w:sz w:val="20"/>
          <w:szCs w:val="20"/>
        </w:rPr>
        <w:t>ch</w:t>
      </w:r>
      <w:r w:rsidR="00E25AB9" w:rsidRPr="00EB2E7B">
        <w:rPr>
          <w:rFonts w:asciiTheme="minorHAnsi" w:hAnsiTheme="minorHAnsi" w:cstheme="minorHAnsi"/>
          <w:sz w:val="20"/>
          <w:szCs w:val="20"/>
        </w:rPr>
        <w:t xml:space="preserve"> mowa w pkt. </w:t>
      </w:r>
      <w:r w:rsidR="00E25AB9" w:rsidRPr="00EB2E7B">
        <w:rPr>
          <w:rFonts w:asciiTheme="minorHAnsi" w:hAnsiTheme="minorHAnsi" w:cstheme="minorHAnsi"/>
          <w:sz w:val="20"/>
          <w:szCs w:val="20"/>
        </w:rPr>
        <w:fldChar w:fldCharType="begin"/>
      </w:r>
      <w:r w:rsidR="00E25AB9" w:rsidRPr="00EB2E7B">
        <w:rPr>
          <w:rFonts w:asciiTheme="minorHAnsi" w:hAnsiTheme="minorHAnsi" w:cstheme="minorHAnsi"/>
          <w:sz w:val="20"/>
          <w:szCs w:val="20"/>
        </w:rPr>
        <w:instrText xml:space="preserve"> REF _Ref146546122 \r \h </w:instrText>
      </w:r>
      <w:r w:rsidR="0095498B" w:rsidRPr="00EB2E7B">
        <w:rPr>
          <w:rFonts w:asciiTheme="minorHAnsi" w:hAnsiTheme="minorHAnsi" w:cstheme="minorHAnsi"/>
          <w:sz w:val="20"/>
          <w:szCs w:val="20"/>
        </w:rPr>
        <w:instrText xml:space="preserve"> \* MERGEFORMAT </w:instrText>
      </w:r>
      <w:r w:rsidR="00E25AB9" w:rsidRPr="00EB2E7B">
        <w:rPr>
          <w:rFonts w:asciiTheme="minorHAnsi" w:hAnsiTheme="minorHAnsi" w:cstheme="minorHAnsi"/>
          <w:sz w:val="20"/>
          <w:szCs w:val="20"/>
        </w:rPr>
      </w:r>
      <w:r w:rsidR="00E25AB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IV.3.5.2</w:t>
      </w:r>
      <w:r w:rsidR="00E25AB9" w:rsidRPr="00EB2E7B">
        <w:rPr>
          <w:rFonts w:asciiTheme="minorHAnsi" w:hAnsiTheme="minorHAnsi" w:cstheme="minorHAnsi"/>
          <w:sz w:val="20"/>
          <w:szCs w:val="20"/>
        </w:rPr>
        <w:fldChar w:fldCharType="end"/>
      </w:r>
      <w:r w:rsidR="00E25AB9" w:rsidRPr="00EB2E7B">
        <w:rPr>
          <w:rFonts w:asciiTheme="minorHAnsi" w:hAnsiTheme="minorHAnsi" w:cstheme="minorHAnsi"/>
          <w:sz w:val="20"/>
          <w:szCs w:val="20"/>
        </w:rPr>
        <w:t>., przekazuj</w:t>
      </w:r>
      <w:r w:rsidRPr="00EB2E7B">
        <w:rPr>
          <w:rFonts w:asciiTheme="minorHAnsi" w:hAnsiTheme="minorHAnsi" w:cstheme="minorHAnsi"/>
          <w:sz w:val="20"/>
          <w:szCs w:val="20"/>
        </w:rPr>
        <w:t>ą</w:t>
      </w:r>
      <w:r w:rsidR="00E25AB9" w:rsidRPr="00EB2E7B">
        <w:rPr>
          <w:rFonts w:asciiTheme="minorHAnsi" w:hAnsiTheme="minorHAnsi" w:cstheme="minorHAnsi"/>
          <w:sz w:val="20"/>
          <w:szCs w:val="20"/>
        </w:rPr>
        <w:t xml:space="preserve"> </w:t>
      </w:r>
      <w:proofErr w:type="spellStart"/>
      <w:r w:rsidR="00E25AB9" w:rsidRPr="00EB2E7B">
        <w:rPr>
          <w:rFonts w:asciiTheme="minorHAnsi" w:hAnsiTheme="minorHAnsi" w:cstheme="minorHAnsi"/>
          <w:sz w:val="20"/>
          <w:szCs w:val="20"/>
        </w:rPr>
        <w:t>OSD</w:t>
      </w:r>
      <w:r w:rsidR="008D0A14" w:rsidRPr="00EB2E7B">
        <w:rPr>
          <w:rFonts w:asciiTheme="minorHAnsi" w:hAnsiTheme="minorHAnsi" w:cstheme="minorHAnsi"/>
          <w:sz w:val="20"/>
          <w:szCs w:val="20"/>
        </w:rPr>
        <w:t>p</w:t>
      </w:r>
      <w:proofErr w:type="spellEnd"/>
      <w:r w:rsidR="00E25AB9" w:rsidRPr="00EB2E7B">
        <w:rPr>
          <w:rFonts w:asciiTheme="minorHAnsi" w:hAnsiTheme="minorHAnsi" w:cstheme="minorHAnsi"/>
          <w:sz w:val="20"/>
          <w:szCs w:val="20"/>
        </w:rPr>
        <w:t>,</w:t>
      </w:r>
      <w:r w:rsidR="00F81D93" w:rsidRPr="00EB2E7B">
        <w:rPr>
          <w:rFonts w:asciiTheme="minorHAnsi" w:hAnsiTheme="minorHAnsi" w:cstheme="minorHAnsi"/>
          <w:sz w:val="20"/>
          <w:szCs w:val="20"/>
        </w:rPr>
        <w:t xml:space="preserve"> OSDn</w:t>
      </w:r>
      <w:r w:rsidR="00E25AB9" w:rsidRPr="00EB2E7B">
        <w:rPr>
          <w:rFonts w:asciiTheme="minorHAnsi" w:hAnsiTheme="minorHAnsi" w:cstheme="minorHAnsi"/>
          <w:sz w:val="20"/>
          <w:szCs w:val="20"/>
        </w:rPr>
        <w:t xml:space="preserve"> informacje o zainstalowany</w:t>
      </w:r>
      <w:r w:rsidR="00C47AAD" w:rsidRPr="00EB2E7B">
        <w:rPr>
          <w:rFonts w:asciiTheme="minorHAnsi" w:hAnsiTheme="minorHAnsi" w:cstheme="minorHAnsi"/>
          <w:sz w:val="20"/>
          <w:szCs w:val="20"/>
        </w:rPr>
        <w:t>ch</w:t>
      </w:r>
      <w:r w:rsidR="00E25AB9" w:rsidRPr="00EB2E7B">
        <w:rPr>
          <w:rFonts w:asciiTheme="minorHAnsi" w:hAnsiTheme="minorHAnsi" w:cstheme="minorHAnsi"/>
          <w:sz w:val="20"/>
          <w:szCs w:val="20"/>
        </w:rPr>
        <w:t xml:space="preserve"> układ</w:t>
      </w:r>
      <w:r w:rsidR="00C47AAD" w:rsidRPr="00EB2E7B">
        <w:rPr>
          <w:rFonts w:asciiTheme="minorHAnsi" w:hAnsiTheme="minorHAnsi" w:cstheme="minorHAnsi"/>
          <w:sz w:val="20"/>
          <w:szCs w:val="20"/>
        </w:rPr>
        <w:t>ach</w:t>
      </w:r>
      <w:r w:rsidR="00E25AB9" w:rsidRPr="00EB2E7B">
        <w:rPr>
          <w:rFonts w:asciiTheme="minorHAnsi" w:hAnsiTheme="minorHAnsi" w:cstheme="minorHAnsi"/>
          <w:sz w:val="20"/>
          <w:szCs w:val="20"/>
        </w:rPr>
        <w:t xml:space="preserve"> SCO i wielkościach mocy czynnej wyłączanej przez ten układ.</w:t>
      </w:r>
    </w:p>
    <w:p w14:paraId="6EC31F07" w14:textId="335E28B1" w:rsidR="00E25AB9" w:rsidRPr="00EB2E7B" w:rsidRDefault="00E25AB9" w:rsidP="009A432E">
      <w:pPr>
        <w:pStyle w:val="Nagwek4"/>
        <w:rPr>
          <w:rFonts w:asciiTheme="minorHAnsi" w:hAnsiTheme="minorHAnsi" w:cstheme="minorHAnsi"/>
          <w:sz w:val="20"/>
          <w:szCs w:val="20"/>
        </w:rPr>
      </w:pPr>
      <w:bookmarkStart w:id="298" w:name="_Ref190090720"/>
      <w:r w:rsidRPr="00EB2E7B">
        <w:rPr>
          <w:rFonts w:asciiTheme="minorHAnsi" w:hAnsiTheme="minorHAnsi" w:cstheme="minorHAnsi"/>
          <w:sz w:val="20"/>
          <w:szCs w:val="20"/>
        </w:rPr>
        <w:t>OSD</w:t>
      </w:r>
      <w:r w:rsidR="00905F47" w:rsidRPr="00EB2E7B">
        <w:rPr>
          <w:rFonts w:asciiTheme="minorHAnsi" w:hAnsiTheme="minorHAnsi" w:cstheme="minorHAnsi"/>
          <w:sz w:val="20"/>
          <w:szCs w:val="20"/>
        </w:rPr>
        <w:t>n</w:t>
      </w:r>
      <w:r w:rsidR="00D3167B"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powinien zapewniać możliwość wyłączania przez układy SCO zainstalowane w jego sieci, uwzględniając odbiorców,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_Ref146546315 \r \h </w:instrText>
      </w:r>
      <w:r w:rsidR="00B2370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przyłączonych do sieci </w:t>
      </w:r>
      <w:r w:rsidR="000269B8" w:rsidRPr="00EB2E7B">
        <w:rPr>
          <w:rFonts w:asciiTheme="minorHAnsi" w:hAnsiTheme="minorHAnsi" w:cstheme="minorHAnsi"/>
          <w:sz w:val="20"/>
          <w:szCs w:val="20"/>
        </w:rPr>
        <w:t xml:space="preserve">tego </w:t>
      </w:r>
      <w:r w:rsidRPr="00EB2E7B">
        <w:rPr>
          <w:rFonts w:asciiTheme="minorHAnsi" w:hAnsiTheme="minorHAnsi" w:cstheme="minorHAnsi"/>
          <w:sz w:val="20"/>
          <w:szCs w:val="20"/>
        </w:rPr>
        <w:t>OSD</w:t>
      </w:r>
      <w:r w:rsidR="002D4A67" w:rsidRPr="00EB2E7B">
        <w:rPr>
          <w:rFonts w:asciiTheme="minorHAnsi" w:hAnsiTheme="minorHAnsi" w:cstheme="minorHAnsi"/>
          <w:sz w:val="20"/>
          <w:szCs w:val="20"/>
        </w:rPr>
        <w:t>n</w:t>
      </w:r>
      <w:r w:rsidRPr="00EB2E7B">
        <w:rPr>
          <w:rFonts w:asciiTheme="minorHAnsi" w:hAnsiTheme="minorHAnsi" w:cstheme="minorHAnsi"/>
          <w:sz w:val="20"/>
          <w:szCs w:val="20"/>
        </w:rPr>
        <w:t xml:space="preserve">, 45% zapotrzebowania netto </w:t>
      </w:r>
      <w:r w:rsidR="002D7FEF" w:rsidRPr="00EB2E7B">
        <w:rPr>
          <w:rFonts w:asciiTheme="minorHAnsi" w:hAnsiTheme="minorHAnsi" w:cstheme="minorHAnsi"/>
          <w:sz w:val="20"/>
          <w:szCs w:val="20"/>
        </w:rPr>
        <w:t>przedmiotowego operatora</w:t>
      </w:r>
      <w:r w:rsidRPr="00EB2E7B">
        <w:rPr>
          <w:rFonts w:asciiTheme="minorHAnsi" w:hAnsiTheme="minorHAnsi" w:cstheme="minorHAnsi"/>
          <w:sz w:val="20"/>
          <w:szCs w:val="20"/>
        </w:rPr>
        <w:t>, w każdej chwili czasu, zgodnie z zasadą możliwie równomiernego rozkładu mocy wyłączanej</w:t>
      </w:r>
      <w:r w:rsidR="002D7FEF" w:rsidRPr="00EB2E7B">
        <w:rPr>
          <w:rFonts w:asciiTheme="minorHAnsi" w:hAnsiTheme="minorHAnsi" w:cstheme="minorHAnsi"/>
          <w:sz w:val="20"/>
          <w:szCs w:val="20"/>
        </w:rPr>
        <w:t xml:space="preserve"> </w:t>
      </w:r>
      <w:r w:rsidR="00E634FA" w:rsidRPr="00EB2E7B">
        <w:rPr>
          <w:rFonts w:asciiTheme="minorHAnsi" w:hAnsiTheme="minorHAnsi" w:cstheme="minorHAnsi"/>
          <w:sz w:val="20"/>
          <w:szCs w:val="20"/>
        </w:rPr>
        <w:t>w obszarze</w:t>
      </w:r>
      <w:r w:rsidRPr="00EB2E7B">
        <w:rPr>
          <w:rFonts w:asciiTheme="minorHAnsi" w:hAnsiTheme="minorHAnsi" w:cstheme="minorHAnsi"/>
          <w:sz w:val="20"/>
          <w:szCs w:val="20"/>
        </w:rPr>
        <w:t xml:space="preserve"> jego sieci.</w:t>
      </w:r>
      <w:bookmarkEnd w:id="298"/>
    </w:p>
    <w:p w14:paraId="037EDB73" w14:textId="0DDCE5EB" w:rsidR="003E665C" w:rsidRPr="00EB2E7B" w:rsidRDefault="00C93BA1"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Przez zapotrzebowanie netto </w:t>
      </w:r>
      <w:r w:rsidR="00860637" w:rsidRPr="00EB2E7B">
        <w:rPr>
          <w:rFonts w:asciiTheme="minorHAnsi" w:hAnsiTheme="minorHAnsi" w:cstheme="minorHAnsi"/>
          <w:sz w:val="20"/>
          <w:szCs w:val="20"/>
        </w:rPr>
        <w:t>operatora</w:t>
      </w:r>
      <w:r w:rsidR="00ED2772" w:rsidRPr="00EB2E7B">
        <w:rPr>
          <w:rFonts w:asciiTheme="minorHAnsi" w:hAnsiTheme="minorHAnsi" w:cstheme="minorHAnsi"/>
          <w:sz w:val="20"/>
          <w:szCs w:val="20"/>
        </w:rPr>
        <w:t>,</w:t>
      </w:r>
      <w:r w:rsidRPr="00EB2E7B">
        <w:rPr>
          <w:rFonts w:asciiTheme="minorHAnsi" w:hAnsiTheme="minorHAnsi" w:cstheme="minorHAnsi"/>
          <w:sz w:val="20"/>
          <w:szCs w:val="20"/>
        </w:rPr>
        <w:t xml:space="preserve"> rozumie się sumę generacji mocy czynnej jednostek wytwórczych na obszarze działania ACPRO (w tym generację mocy czynnej </w:t>
      </w:r>
      <w:proofErr w:type="spellStart"/>
      <w:r w:rsidRPr="00EB2E7B">
        <w:rPr>
          <w:rFonts w:asciiTheme="minorHAnsi" w:hAnsiTheme="minorHAnsi" w:cstheme="minorHAnsi"/>
          <w:sz w:val="20"/>
          <w:szCs w:val="20"/>
        </w:rPr>
        <w:t>autoproducentów</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lastRenderedPageBreak/>
        <w:t xml:space="preserve">uwzględniającą saldo wymiany mocy czynnej z innymi </w:t>
      </w:r>
      <w:r w:rsidR="00860637" w:rsidRPr="00EB2E7B">
        <w:rPr>
          <w:rFonts w:asciiTheme="minorHAnsi" w:hAnsiTheme="minorHAnsi" w:cstheme="minorHAnsi"/>
          <w:sz w:val="20"/>
          <w:szCs w:val="20"/>
        </w:rPr>
        <w:t>operator</w:t>
      </w:r>
      <w:r w:rsidR="00BC7135" w:rsidRPr="00EB2E7B">
        <w:rPr>
          <w:rFonts w:asciiTheme="minorHAnsi" w:hAnsiTheme="minorHAnsi" w:cstheme="minorHAnsi"/>
          <w:sz w:val="20"/>
          <w:szCs w:val="20"/>
        </w:rPr>
        <w:t>ami</w:t>
      </w:r>
      <w:r w:rsidRPr="00EB2E7B">
        <w:rPr>
          <w:rFonts w:asciiTheme="minorHAnsi" w:hAnsiTheme="minorHAnsi" w:cstheme="minorHAnsi"/>
          <w:sz w:val="20"/>
          <w:szCs w:val="20"/>
        </w:rPr>
        <w:t xml:space="preserve"> oraz pomniejszoną o wartość mocy pobieranej przez magazyny energii elektrycznej i mocy pobieranej przez elektrownie szczytowo - pompowe, przy czym wielkość ta nie obejmuje mocy potrzeb własnych jednostek wytwórczych oraz potrzeb ogólnych elektrowni.</w:t>
      </w:r>
    </w:p>
    <w:p w14:paraId="32E0D722" w14:textId="25671BDC" w:rsidR="00E25AB9" w:rsidRPr="00EB2E7B" w:rsidRDefault="00E76B68" w:rsidP="009A432E">
      <w:pPr>
        <w:pStyle w:val="Nagwek4"/>
        <w:rPr>
          <w:rFonts w:asciiTheme="minorHAnsi" w:hAnsiTheme="minorHAnsi" w:cstheme="minorHAnsi"/>
          <w:sz w:val="20"/>
          <w:szCs w:val="20"/>
        </w:rPr>
      </w:pPr>
      <w:bookmarkStart w:id="299" w:name="_Ref146546388"/>
      <w:r w:rsidRPr="00EB2E7B">
        <w:rPr>
          <w:rFonts w:asciiTheme="minorHAnsi" w:hAnsiTheme="minorHAnsi" w:cstheme="minorHAnsi"/>
          <w:sz w:val="20"/>
          <w:szCs w:val="20"/>
        </w:rPr>
        <w:t xml:space="preserve">ACPRO i </w:t>
      </w:r>
      <w:r w:rsidR="00E25AB9" w:rsidRPr="00EB2E7B">
        <w:rPr>
          <w:rFonts w:asciiTheme="minorHAnsi" w:hAnsiTheme="minorHAnsi" w:cstheme="minorHAnsi"/>
          <w:sz w:val="20"/>
          <w:szCs w:val="20"/>
        </w:rPr>
        <w:t xml:space="preserve">OSDn, o których mowa w pkt </w:t>
      </w:r>
      <w:r w:rsidR="00E25AB9" w:rsidRPr="00EB2E7B">
        <w:rPr>
          <w:rFonts w:asciiTheme="minorHAnsi" w:hAnsiTheme="minorHAnsi" w:cstheme="minorHAnsi"/>
          <w:sz w:val="20"/>
          <w:szCs w:val="20"/>
        </w:rPr>
        <w:fldChar w:fldCharType="begin"/>
      </w:r>
      <w:r w:rsidR="00E25AB9" w:rsidRPr="00EB2E7B">
        <w:rPr>
          <w:rFonts w:asciiTheme="minorHAnsi" w:hAnsiTheme="minorHAnsi" w:cstheme="minorHAnsi"/>
          <w:sz w:val="20"/>
          <w:szCs w:val="20"/>
        </w:rPr>
        <w:instrText xml:space="preserve"> REF _Ref146546122 \r \h </w:instrText>
      </w:r>
      <w:r w:rsidR="00B01D35" w:rsidRPr="00EB2E7B">
        <w:rPr>
          <w:rFonts w:asciiTheme="minorHAnsi" w:hAnsiTheme="minorHAnsi" w:cstheme="minorHAnsi"/>
          <w:sz w:val="20"/>
          <w:szCs w:val="20"/>
        </w:rPr>
        <w:instrText xml:space="preserve"> \* MERGEFORMAT </w:instrText>
      </w:r>
      <w:r w:rsidR="00E25AB9" w:rsidRPr="00EB2E7B">
        <w:rPr>
          <w:rFonts w:asciiTheme="minorHAnsi" w:hAnsiTheme="minorHAnsi" w:cstheme="minorHAnsi"/>
          <w:sz w:val="20"/>
          <w:szCs w:val="20"/>
        </w:rPr>
      </w:r>
      <w:r w:rsidR="00E25AB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IV.3.5.2</w:t>
      </w:r>
      <w:r w:rsidR="00E25AB9" w:rsidRPr="00EB2E7B">
        <w:rPr>
          <w:rFonts w:asciiTheme="minorHAnsi" w:hAnsiTheme="minorHAnsi" w:cstheme="minorHAnsi"/>
          <w:sz w:val="20"/>
          <w:szCs w:val="20"/>
        </w:rPr>
        <w:fldChar w:fldCharType="end"/>
      </w:r>
      <w:r w:rsidR="00E25AB9" w:rsidRPr="00EB2E7B">
        <w:rPr>
          <w:rFonts w:asciiTheme="minorHAnsi" w:hAnsiTheme="minorHAnsi" w:cstheme="minorHAnsi"/>
          <w:sz w:val="20"/>
          <w:szCs w:val="20"/>
        </w:rPr>
        <w:t xml:space="preserve">., do dnia </w:t>
      </w:r>
      <w:r w:rsidR="00512E77" w:rsidRPr="00EB2E7B">
        <w:rPr>
          <w:rFonts w:asciiTheme="minorHAnsi" w:hAnsiTheme="minorHAnsi" w:cstheme="minorHAnsi"/>
          <w:sz w:val="20"/>
          <w:szCs w:val="20"/>
        </w:rPr>
        <w:t>15</w:t>
      </w:r>
      <w:r w:rsidR="00E25AB9" w:rsidRPr="00EB2E7B">
        <w:rPr>
          <w:rFonts w:asciiTheme="minorHAnsi" w:hAnsiTheme="minorHAnsi" w:cstheme="minorHAnsi"/>
          <w:sz w:val="20"/>
          <w:szCs w:val="20"/>
        </w:rPr>
        <w:t xml:space="preserve"> września każdego roku realizują obowiązki, o których mowa w pkt</w:t>
      </w:r>
      <w:r w:rsidR="006E0D89" w:rsidRPr="00EB2E7B">
        <w:rPr>
          <w:rFonts w:asciiTheme="minorHAnsi" w:hAnsiTheme="minorHAnsi" w:cstheme="minorHAnsi"/>
          <w:sz w:val="20"/>
          <w:szCs w:val="20"/>
        </w:rPr>
        <w:t xml:space="preserve"> </w:t>
      </w:r>
      <w:r w:rsidR="00972D95" w:rsidRPr="00EB2E7B">
        <w:rPr>
          <w:rFonts w:asciiTheme="minorHAnsi" w:hAnsiTheme="minorHAnsi" w:cstheme="minorHAnsi"/>
          <w:sz w:val="20"/>
          <w:szCs w:val="20"/>
        </w:rPr>
        <w:fldChar w:fldCharType="begin"/>
      </w:r>
      <w:r w:rsidR="00972D95" w:rsidRPr="00EB2E7B">
        <w:rPr>
          <w:rFonts w:asciiTheme="minorHAnsi" w:hAnsiTheme="minorHAnsi" w:cstheme="minorHAnsi"/>
          <w:sz w:val="20"/>
          <w:szCs w:val="20"/>
        </w:rPr>
        <w:instrText xml:space="preserve"> REF _Ref190090681 \w \h </w:instrText>
      </w:r>
      <w:r w:rsidR="00215D40" w:rsidRPr="00EB2E7B">
        <w:rPr>
          <w:rFonts w:asciiTheme="minorHAnsi" w:hAnsiTheme="minorHAnsi" w:cstheme="minorHAnsi"/>
          <w:sz w:val="20"/>
          <w:szCs w:val="20"/>
        </w:rPr>
        <w:instrText xml:space="preserve"> \* MERGEFORMAT </w:instrText>
      </w:r>
      <w:r w:rsidR="00972D95" w:rsidRPr="00EB2E7B">
        <w:rPr>
          <w:rFonts w:asciiTheme="minorHAnsi" w:hAnsiTheme="minorHAnsi" w:cstheme="minorHAnsi"/>
          <w:sz w:val="20"/>
          <w:szCs w:val="20"/>
        </w:rPr>
      </w:r>
      <w:r w:rsidR="00972D9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IV.3.5.10</w:t>
      </w:r>
      <w:r w:rsidR="00972D95" w:rsidRPr="00EB2E7B">
        <w:rPr>
          <w:rFonts w:asciiTheme="minorHAnsi" w:hAnsiTheme="minorHAnsi" w:cstheme="minorHAnsi"/>
          <w:sz w:val="20"/>
          <w:szCs w:val="20"/>
        </w:rPr>
        <w:fldChar w:fldCharType="end"/>
      </w:r>
      <w:r w:rsidR="00E25AB9" w:rsidRPr="00EB2E7B">
        <w:rPr>
          <w:rFonts w:asciiTheme="minorHAnsi" w:hAnsiTheme="minorHAnsi" w:cstheme="minorHAnsi"/>
          <w:sz w:val="20"/>
          <w:szCs w:val="20"/>
        </w:rPr>
        <w:t xml:space="preserve"> –</w:t>
      </w:r>
      <w:r w:rsidR="006E0D89" w:rsidRPr="00EB2E7B">
        <w:rPr>
          <w:rFonts w:asciiTheme="minorHAnsi" w:hAnsiTheme="minorHAnsi" w:cstheme="minorHAnsi"/>
          <w:sz w:val="20"/>
          <w:szCs w:val="20"/>
        </w:rPr>
        <w:t xml:space="preserve"> </w:t>
      </w:r>
      <w:r w:rsidR="00215D40" w:rsidRPr="00EB2E7B">
        <w:rPr>
          <w:rFonts w:asciiTheme="minorHAnsi" w:hAnsiTheme="minorHAnsi" w:cstheme="minorHAnsi"/>
          <w:sz w:val="20"/>
          <w:szCs w:val="20"/>
        </w:rPr>
        <w:fldChar w:fldCharType="begin"/>
      </w:r>
      <w:r w:rsidR="00215D40" w:rsidRPr="00EB2E7B">
        <w:rPr>
          <w:rFonts w:asciiTheme="minorHAnsi" w:hAnsiTheme="minorHAnsi" w:cstheme="minorHAnsi"/>
          <w:sz w:val="20"/>
          <w:szCs w:val="20"/>
        </w:rPr>
        <w:instrText xml:space="preserve"> REF _Ref190090720 \w \h  \* MERGEFORMAT </w:instrText>
      </w:r>
      <w:r w:rsidR="00215D40" w:rsidRPr="00EB2E7B">
        <w:rPr>
          <w:rFonts w:asciiTheme="minorHAnsi" w:hAnsiTheme="minorHAnsi" w:cstheme="minorHAnsi"/>
          <w:sz w:val="20"/>
          <w:szCs w:val="20"/>
        </w:rPr>
      </w:r>
      <w:r w:rsidR="00215D4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IV.3.5.13</w:t>
      </w:r>
      <w:r w:rsidR="00215D40" w:rsidRPr="00EB2E7B">
        <w:rPr>
          <w:rFonts w:asciiTheme="minorHAnsi" w:hAnsiTheme="minorHAnsi" w:cstheme="minorHAnsi"/>
          <w:sz w:val="20"/>
          <w:szCs w:val="20"/>
        </w:rPr>
        <w:fldChar w:fldCharType="end"/>
      </w:r>
      <w:r w:rsidR="00E25AB9" w:rsidRPr="00EB2E7B">
        <w:rPr>
          <w:rFonts w:asciiTheme="minorHAnsi" w:hAnsiTheme="minorHAnsi" w:cstheme="minorHAnsi"/>
          <w:sz w:val="20"/>
          <w:szCs w:val="20"/>
        </w:rPr>
        <w:t xml:space="preserve"> oraz informują </w:t>
      </w:r>
      <w:proofErr w:type="spellStart"/>
      <w:r w:rsidR="00E25AB9" w:rsidRPr="00EB2E7B">
        <w:rPr>
          <w:rFonts w:asciiTheme="minorHAnsi" w:hAnsiTheme="minorHAnsi" w:cstheme="minorHAnsi"/>
          <w:sz w:val="20"/>
          <w:szCs w:val="20"/>
        </w:rPr>
        <w:t>OSD</w:t>
      </w:r>
      <w:r w:rsidRPr="00EB2E7B">
        <w:rPr>
          <w:rFonts w:asciiTheme="minorHAnsi" w:hAnsiTheme="minorHAnsi" w:cstheme="minorHAnsi"/>
          <w:sz w:val="20"/>
          <w:szCs w:val="20"/>
        </w:rPr>
        <w:t>p</w:t>
      </w:r>
      <w:proofErr w:type="spellEnd"/>
      <w:r w:rsidR="00E25AB9" w:rsidRPr="00EB2E7B">
        <w:rPr>
          <w:rFonts w:asciiTheme="minorHAnsi" w:hAnsiTheme="minorHAnsi" w:cstheme="minorHAnsi"/>
          <w:sz w:val="20"/>
          <w:szCs w:val="20"/>
        </w:rPr>
        <w:t>, o wdrożeniu nastaw i wartości mocy czynnej wyłączanej przez układy SCO.</w:t>
      </w:r>
      <w:bookmarkEnd w:id="299"/>
    </w:p>
    <w:p w14:paraId="76AA1475" w14:textId="5D66D404" w:rsidR="00E25AB9" w:rsidRPr="00EB2E7B" w:rsidRDefault="00E25AB9" w:rsidP="0099115A">
      <w:pPr>
        <w:ind w:left="1134" w:firstLine="0"/>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dnia 30 września każdego roku realizuje obowiązki, o których mowa w pkt. </w:t>
      </w:r>
      <w:r w:rsidR="00BF3904" w:rsidRPr="00EB2E7B">
        <w:rPr>
          <w:rFonts w:asciiTheme="minorHAnsi" w:hAnsiTheme="minorHAnsi" w:cstheme="minorHAnsi"/>
          <w:sz w:val="20"/>
          <w:szCs w:val="20"/>
        </w:rPr>
        <w:fldChar w:fldCharType="begin"/>
      </w:r>
      <w:r w:rsidR="00BF3904" w:rsidRPr="00EB2E7B">
        <w:rPr>
          <w:rFonts w:asciiTheme="minorHAnsi" w:hAnsiTheme="minorHAnsi" w:cstheme="minorHAnsi"/>
          <w:sz w:val="20"/>
          <w:szCs w:val="20"/>
        </w:rPr>
        <w:instrText xml:space="preserve"> REF _Ref190090681 \w \h  \* MERGEFORMAT </w:instrText>
      </w:r>
      <w:r w:rsidR="00BF3904" w:rsidRPr="00EB2E7B">
        <w:rPr>
          <w:rFonts w:asciiTheme="minorHAnsi" w:hAnsiTheme="minorHAnsi" w:cstheme="minorHAnsi"/>
          <w:sz w:val="20"/>
          <w:szCs w:val="20"/>
        </w:rPr>
      </w:r>
      <w:r w:rsidR="00BF390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IV.3.5.10</w:t>
      </w:r>
      <w:r w:rsidR="00BF3904" w:rsidRPr="00EB2E7B">
        <w:rPr>
          <w:rFonts w:asciiTheme="minorHAnsi" w:hAnsiTheme="minorHAnsi" w:cstheme="minorHAnsi"/>
          <w:sz w:val="20"/>
          <w:szCs w:val="20"/>
        </w:rPr>
        <w:fldChar w:fldCharType="end"/>
      </w:r>
      <w:r w:rsidR="00BF3904" w:rsidRPr="00EB2E7B">
        <w:rPr>
          <w:rFonts w:asciiTheme="minorHAnsi" w:hAnsiTheme="minorHAnsi" w:cstheme="minorHAnsi"/>
          <w:sz w:val="20"/>
          <w:szCs w:val="20"/>
        </w:rPr>
        <w:t xml:space="preserve"> </w:t>
      </w:r>
      <w:r w:rsidR="0008282A" w:rsidRPr="00EB2E7B">
        <w:rPr>
          <w:rFonts w:asciiTheme="minorHAnsi" w:hAnsiTheme="minorHAnsi" w:cstheme="minorHAnsi"/>
          <w:sz w:val="20"/>
          <w:szCs w:val="20"/>
        </w:rPr>
        <w:t>–</w:t>
      </w:r>
      <w:r w:rsidR="00BF3904" w:rsidRPr="00EB2E7B">
        <w:rPr>
          <w:rFonts w:asciiTheme="minorHAnsi" w:hAnsiTheme="minorHAnsi" w:cstheme="minorHAnsi"/>
          <w:sz w:val="20"/>
          <w:szCs w:val="20"/>
        </w:rPr>
        <w:t xml:space="preserve"> </w:t>
      </w:r>
      <w:r w:rsidR="00BF3904" w:rsidRPr="00EB2E7B">
        <w:rPr>
          <w:rFonts w:asciiTheme="minorHAnsi" w:hAnsiTheme="minorHAnsi" w:cstheme="minorHAnsi"/>
          <w:sz w:val="20"/>
          <w:szCs w:val="20"/>
        </w:rPr>
        <w:fldChar w:fldCharType="begin"/>
      </w:r>
      <w:r w:rsidR="00BF3904" w:rsidRPr="00EB2E7B">
        <w:rPr>
          <w:rFonts w:asciiTheme="minorHAnsi" w:hAnsiTheme="minorHAnsi" w:cstheme="minorHAnsi"/>
          <w:sz w:val="20"/>
          <w:szCs w:val="20"/>
        </w:rPr>
        <w:instrText xml:space="preserve"> REF _Ref190090720 \w \h  \* MERGEFORMAT </w:instrText>
      </w:r>
      <w:r w:rsidR="00BF3904" w:rsidRPr="00EB2E7B">
        <w:rPr>
          <w:rFonts w:asciiTheme="minorHAnsi" w:hAnsiTheme="minorHAnsi" w:cstheme="minorHAnsi"/>
          <w:sz w:val="20"/>
          <w:szCs w:val="20"/>
        </w:rPr>
      </w:r>
      <w:r w:rsidR="00BF390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IV.3.5.13</w:t>
      </w:r>
      <w:r w:rsidR="00BF390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oraz informuje OSP o wdrożeniu nastaw i wartości mocy czynnej wyłączanej przez układy SCO.</w:t>
      </w:r>
    </w:p>
    <w:p w14:paraId="75DFB5ED" w14:textId="5BBD395D"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Na podstawie informacji przekazanych zgodnie z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_Ref146546388 \r \h </w:instrText>
      </w:r>
      <w:r w:rsidR="00482F2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IV.3.5.14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w:t>
      </w:r>
      <w:r w:rsidR="003440C3" w:rsidRPr="00EB2E7B">
        <w:rPr>
          <w:rFonts w:asciiTheme="minorHAnsi" w:hAnsiTheme="minorHAnsi" w:cstheme="minorHAnsi"/>
          <w:sz w:val="20"/>
          <w:szCs w:val="20"/>
        </w:rPr>
        <w:t>p</w:t>
      </w:r>
      <w:proofErr w:type="spellEnd"/>
      <w:r w:rsidR="00D86CD0" w:rsidRPr="00EB2E7B">
        <w:rPr>
          <w:rFonts w:asciiTheme="minorHAnsi" w:hAnsiTheme="minorHAnsi" w:cstheme="minorHAnsi"/>
          <w:sz w:val="20"/>
          <w:szCs w:val="20"/>
        </w:rPr>
        <w:t>,</w:t>
      </w:r>
      <w:r w:rsidR="0082273C" w:rsidRPr="00EB2E7B">
        <w:rPr>
          <w:rFonts w:asciiTheme="minorHAnsi" w:hAnsiTheme="minorHAnsi" w:cstheme="minorHAnsi"/>
          <w:sz w:val="20"/>
          <w:szCs w:val="20"/>
        </w:rPr>
        <w:t xml:space="preserve"> i</w:t>
      </w:r>
      <w:r w:rsidR="00D86CD0" w:rsidRPr="00EB2E7B">
        <w:rPr>
          <w:rFonts w:asciiTheme="minorHAnsi" w:hAnsiTheme="minorHAnsi" w:cstheme="minorHAnsi"/>
          <w:sz w:val="20"/>
          <w:szCs w:val="20"/>
        </w:rPr>
        <w:t xml:space="preserve"> </w:t>
      </w:r>
      <w:r w:rsidR="007100D5" w:rsidRPr="00EB2E7B">
        <w:rPr>
          <w:rFonts w:asciiTheme="minorHAnsi" w:hAnsiTheme="minorHAnsi" w:cstheme="minorHAnsi"/>
          <w:sz w:val="20"/>
          <w:szCs w:val="20"/>
        </w:rPr>
        <w:t>OSDn</w:t>
      </w:r>
      <w:r w:rsidRPr="00EB2E7B">
        <w:rPr>
          <w:rFonts w:asciiTheme="minorHAnsi" w:hAnsiTheme="minorHAnsi" w:cstheme="minorHAnsi"/>
          <w:sz w:val="20"/>
          <w:szCs w:val="20"/>
        </w:rPr>
        <w:t xml:space="preserve"> w stosunku do odbiorców przyłączonych do jego sieci, opracowuje plan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wskutek zastosowania układu SCO, uwzględniając parametry określone w załączniku do NC ER.</w:t>
      </w:r>
    </w:p>
    <w:p w14:paraId="225334D1" w14:textId="60F955C8" w:rsidR="00E25AB9" w:rsidRPr="00EB2E7B" w:rsidRDefault="00E25AB9" w:rsidP="0099115A">
      <w:pPr>
        <w:ind w:left="1134" w:firstLine="0"/>
        <w:rPr>
          <w:rFonts w:asciiTheme="minorHAnsi" w:hAnsiTheme="minorHAnsi" w:cstheme="minorHAnsi"/>
          <w:sz w:val="20"/>
          <w:szCs w:val="20"/>
        </w:rPr>
      </w:pPr>
      <w:proofErr w:type="spellStart"/>
      <w:r w:rsidRPr="00EB2E7B">
        <w:rPr>
          <w:rFonts w:asciiTheme="minorHAnsi" w:hAnsiTheme="minorHAnsi" w:cstheme="minorHAnsi"/>
          <w:sz w:val="20"/>
          <w:szCs w:val="20"/>
        </w:rPr>
        <w:t>OSD</w:t>
      </w:r>
      <w:r w:rsidR="00756572" w:rsidRPr="00EB2E7B">
        <w:rPr>
          <w:rFonts w:asciiTheme="minorHAnsi" w:hAnsiTheme="minorHAnsi" w:cstheme="minorHAnsi"/>
          <w:sz w:val="20"/>
          <w:szCs w:val="20"/>
        </w:rPr>
        <w:t>p</w:t>
      </w:r>
      <w:proofErr w:type="spellEnd"/>
      <w:r w:rsidR="00756572" w:rsidRPr="00EB2E7B">
        <w:rPr>
          <w:rFonts w:asciiTheme="minorHAnsi" w:hAnsiTheme="minorHAnsi" w:cstheme="minorHAnsi"/>
          <w:sz w:val="20"/>
          <w:szCs w:val="20"/>
        </w:rPr>
        <w:t xml:space="preserve">, </w:t>
      </w:r>
      <w:r w:rsidR="00D97169" w:rsidRPr="00EB2E7B">
        <w:rPr>
          <w:rFonts w:asciiTheme="minorHAnsi" w:hAnsiTheme="minorHAnsi" w:cstheme="minorHAnsi"/>
          <w:sz w:val="20"/>
          <w:szCs w:val="20"/>
        </w:rPr>
        <w:t xml:space="preserve">ACPRO i </w:t>
      </w:r>
      <w:r w:rsidR="00756572" w:rsidRPr="00EB2E7B">
        <w:rPr>
          <w:rFonts w:asciiTheme="minorHAnsi" w:hAnsiTheme="minorHAnsi" w:cstheme="minorHAnsi"/>
          <w:sz w:val="20"/>
          <w:szCs w:val="20"/>
        </w:rPr>
        <w:t>OSDn</w:t>
      </w:r>
      <w:r w:rsidRPr="00EB2E7B">
        <w:rPr>
          <w:rFonts w:asciiTheme="minorHAnsi" w:hAnsiTheme="minorHAnsi" w:cstheme="minorHAnsi"/>
          <w:sz w:val="20"/>
          <w:szCs w:val="20"/>
        </w:rPr>
        <w:t xml:space="preserve"> przekazuje opracowany plan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wskutek zastosowania układu SCO, OSDn i odbiorcom przyłączonym do sieci </w:t>
      </w:r>
      <w:r w:rsidR="008373FD" w:rsidRPr="00EB2E7B">
        <w:rPr>
          <w:rFonts w:asciiTheme="minorHAnsi" w:hAnsiTheme="minorHAnsi" w:cstheme="minorHAnsi"/>
          <w:sz w:val="20"/>
          <w:szCs w:val="20"/>
        </w:rPr>
        <w:t>właściwego operatora</w:t>
      </w:r>
      <w:r w:rsidRPr="00EB2E7B">
        <w:rPr>
          <w:rFonts w:asciiTheme="minorHAnsi" w:hAnsiTheme="minorHAnsi" w:cstheme="minorHAnsi"/>
          <w:sz w:val="20"/>
          <w:szCs w:val="20"/>
        </w:rPr>
        <w:t>, ujętych w ty</w:t>
      </w:r>
      <w:r w:rsidR="008373FD" w:rsidRPr="00EB2E7B">
        <w:rPr>
          <w:rFonts w:asciiTheme="minorHAnsi" w:hAnsiTheme="minorHAnsi" w:cstheme="minorHAnsi"/>
          <w:sz w:val="20"/>
          <w:szCs w:val="20"/>
        </w:rPr>
        <w:t>ch</w:t>
      </w:r>
      <w:r w:rsidRPr="00EB2E7B">
        <w:rPr>
          <w:rFonts w:asciiTheme="minorHAnsi" w:hAnsiTheme="minorHAnsi" w:cstheme="minorHAnsi"/>
          <w:sz w:val="20"/>
          <w:szCs w:val="20"/>
        </w:rPr>
        <w:t xml:space="preserve"> plan</w:t>
      </w:r>
      <w:r w:rsidR="008373FD" w:rsidRPr="00EB2E7B">
        <w:rPr>
          <w:rFonts w:asciiTheme="minorHAnsi" w:hAnsiTheme="minorHAnsi" w:cstheme="minorHAnsi"/>
          <w:sz w:val="20"/>
          <w:szCs w:val="20"/>
        </w:rPr>
        <w:t>ach</w:t>
      </w:r>
      <w:r w:rsidRPr="00EB2E7B">
        <w:rPr>
          <w:rFonts w:asciiTheme="minorHAnsi" w:hAnsiTheme="minorHAnsi" w:cstheme="minorHAnsi"/>
          <w:sz w:val="20"/>
          <w:szCs w:val="20"/>
        </w:rPr>
        <w:t>.</w:t>
      </w:r>
    </w:p>
    <w:p w14:paraId="6D1E092B" w14:textId="2BD911F8"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Przy stosowaniu układów SCO należy stosować zasadę, o której mowa w</w:t>
      </w:r>
      <w:r w:rsidR="008E46F7" w:rsidRPr="00EB2E7B">
        <w:rPr>
          <w:rFonts w:asciiTheme="minorHAnsi" w:hAnsiTheme="minorHAnsi" w:cstheme="minorHAnsi"/>
          <w:sz w:val="20"/>
          <w:szCs w:val="20"/>
        </w:rPr>
        <w:t xml:space="preserve"> art. 15 ust. 7 lit b)</w:t>
      </w:r>
      <w:r w:rsidRPr="00EB2E7B">
        <w:rPr>
          <w:rFonts w:asciiTheme="minorHAnsi" w:hAnsiTheme="minorHAnsi" w:cstheme="minorHAnsi"/>
          <w:sz w:val="20"/>
          <w:szCs w:val="20"/>
        </w:rPr>
        <w:t xml:space="preserve"> NC ER, tj. minimalizowania odłączania jednostek wytwórczych, w szczególności tych, które zapewniają inercję.</w:t>
      </w:r>
    </w:p>
    <w:p w14:paraId="3452AF42" w14:textId="0131536C"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Załączenie odbiorcy wyłączonego wskutek </w:t>
      </w:r>
      <w:r w:rsidR="007D15E2" w:rsidRPr="00EB2E7B">
        <w:rPr>
          <w:rFonts w:asciiTheme="minorHAnsi" w:hAnsiTheme="minorHAnsi" w:cstheme="minorHAnsi"/>
          <w:sz w:val="20"/>
          <w:szCs w:val="20"/>
        </w:rPr>
        <w:t>za</w:t>
      </w:r>
      <w:r w:rsidRPr="00EB2E7B">
        <w:rPr>
          <w:rFonts w:asciiTheme="minorHAnsi" w:hAnsiTheme="minorHAnsi" w:cstheme="minorHAnsi"/>
          <w:sz w:val="20"/>
          <w:szCs w:val="20"/>
        </w:rPr>
        <w:t>działania układu SCO odbywa się wyłącznie na polecenie OSP.</w:t>
      </w:r>
    </w:p>
    <w:p w14:paraId="631A3B89" w14:textId="77777777"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 w odniesieniu do odbiorców przyłączonych do jego sieci może dokonać kontroli spełnienia wymagań dotyczących układów SCO, a w przypadku zadziałania układu SCO, ustala przyczynę i zakres zadziałania tego układu.</w:t>
      </w:r>
    </w:p>
    <w:p w14:paraId="006AD855" w14:textId="2FF95C25" w:rsidR="00E25AB9"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w:t>
      </w:r>
      <w:r w:rsidR="006121B4" w:rsidRPr="00EB2E7B">
        <w:rPr>
          <w:rFonts w:asciiTheme="minorHAnsi" w:hAnsiTheme="minorHAnsi" w:cstheme="minorHAnsi"/>
          <w:sz w:val="20"/>
          <w:szCs w:val="20"/>
        </w:rPr>
        <w:t xml:space="preserve"> i OSDn</w:t>
      </w:r>
      <w:r w:rsidRPr="00EB2E7B">
        <w:rPr>
          <w:rFonts w:asciiTheme="minorHAnsi" w:hAnsiTheme="minorHAnsi" w:cstheme="minorHAnsi"/>
          <w:sz w:val="20"/>
          <w:szCs w:val="20"/>
        </w:rPr>
        <w:t xml:space="preserve"> przekazuje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informację o odbiorcach zwolnionych z obowiązku instalowania i stosowania układu SCO, w przypadku zwolnienia odbiorców, o których mowa w § 43 ust. 10 rozporządzenia systemowego, wraz z informacją o uzgodnieniu przez strony planu działania na wypadek wystąpienia stanu zagrożenia, stanu zaniku zasilania lub stanu odbudowy systemu.</w:t>
      </w:r>
    </w:p>
    <w:p w14:paraId="3C0113DD" w14:textId="1DF9D507" w:rsidR="0072402D" w:rsidRPr="00EB2E7B" w:rsidRDefault="00E25AB9"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ACPRO, opiniując wniosek otrzymany od odbiorcy, bierze pod uwagę załączony przez odbiorcę plan działania na wypadek wystąpienia stanu zagrożenia, stanu zaniku zasilania lub stanu odbudowy uwzględniający zainstalowane u odbiorcy moduł wytwarzania energii lub magazyn energii elektrycznej, zdolność pracy urządzeń w zakresie częstotliwości od 47,5 do 49,0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ograniczenia techniczne, zasilanie awaryjne i zastosowane technologie urządzeń, instalacji lub sieci. W przypadku gdy przedstawione przez odbiorcę uzasadnienie zwolnienia z obowiązku instalowania i stosowania układu SCO, ACPRO uzna za niewystarczające lub zgłosi zastrzeżenia, wówczas ACPRO wzywa odbiorcę do przedłożenia opinii niezależnej firmy eksperckiej, która dokona oceny zasadności zwolnienia odbiorcy z obowiązku instalowania i stosowania układu SCO.</w:t>
      </w:r>
    </w:p>
    <w:p w14:paraId="145B6290" w14:textId="367F69D8" w:rsidR="0072402D" w:rsidRPr="00EB2E7B" w:rsidRDefault="0072402D">
      <w:pPr>
        <w:pStyle w:val="Nagwek2"/>
        <w:rPr>
          <w:rFonts w:asciiTheme="minorHAnsi" w:hAnsiTheme="minorHAnsi" w:cstheme="minorHAnsi"/>
          <w:bCs/>
          <w:sz w:val="20"/>
          <w:szCs w:val="20"/>
        </w:rPr>
      </w:pPr>
      <w:bookmarkStart w:id="300" w:name="_Toc180153738"/>
      <w:bookmarkStart w:id="301" w:name="_Toc239333331"/>
      <w:r w:rsidRPr="00EB2E7B">
        <w:rPr>
          <w:rFonts w:asciiTheme="minorHAnsi" w:hAnsiTheme="minorHAnsi" w:cstheme="minorHAnsi"/>
          <w:sz w:val="20"/>
          <w:szCs w:val="20"/>
        </w:rPr>
        <w:t>WYMAGANIA DLA UŻYTKOWNIKÓW SYSTEMU W ZAKRESIE BEZPIECZEŃSTWA PRACY SIECI</w:t>
      </w:r>
      <w:bookmarkEnd w:id="300"/>
      <w:bookmarkEnd w:id="301"/>
    </w:p>
    <w:p w14:paraId="62D1AC74" w14:textId="70CD40E4" w:rsidR="0072402D" w:rsidRPr="00EB2E7B" w:rsidRDefault="0072402D" w:rsidP="00D630F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Odbiorca lub wytwórca będący posiadaczem SGU oraz posiadacz magazynu energii elektrycznej:</w:t>
      </w:r>
    </w:p>
    <w:p w14:paraId="1EBAED4D" w14:textId="77777777" w:rsidR="0072402D" w:rsidRPr="00EB2E7B" w:rsidRDefault="0072402D" w:rsidP="00D630F1">
      <w:pPr>
        <w:pStyle w:val="1przed"/>
        <w:numPr>
          <w:ilvl w:val="0"/>
          <w:numId w:val="207"/>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stosuje wymagania w zakresie obrony i odbudowy systemu określone dla nowo przyłączanych do sieci instalacji odbiorczych, modułów wytwarzania energii lub magazynów energii elektrycznej,</w:t>
      </w:r>
    </w:p>
    <w:p w14:paraId="042E5CAC" w14:textId="77777777" w:rsidR="0072402D" w:rsidRPr="00EB2E7B" w:rsidRDefault="0072402D" w:rsidP="00D630F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wdraża wymagane funkcjonalności na etapie budowy instalacji odbiorczej, modułu wytwarzania energii lub magazynu energii elektrycznej,</w:t>
      </w:r>
    </w:p>
    <w:p w14:paraId="01A5E0B8" w14:textId="77777777" w:rsidR="0072402D" w:rsidRPr="00EB2E7B" w:rsidRDefault="0072402D" w:rsidP="00D630F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potwierdza wdrożenie i posiadanie wymaganych zdolności przez wykonanie z wynikiem pozytywnym testów odbiorowych i sprawdzających,</w:t>
      </w:r>
    </w:p>
    <w:p w14:paraId="53AAA917" w14:textId="4CF74337" w:rsidR="0072402D" w:rsidRPr="00EB2E7B" w:rsidRDefault="0072402D" w:rsidP="00D630F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przygotowuje we współpracy z ACPRO harmonogram testów odbiorowych i okresowych testów sprawdzających zdolności w zakresie obrony i odbudowy systemu,</w:t>
      </w:r>
    </w:p>
    <w:p w14:paraId="5525C4AD" w14:textId="77777777" w:rsidR="0072402D" w:rsidRPr="00EB2E7B" w:rsidRDefault="0072402D" w:rsidP="00D630F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raportuje ACPRO wykonanie testów odbiorowych i testów sprawdzających,</w:t>
      </w:r>
    </w:p>
    <w:p w14:paraId="24F706AD" w14:textId="77777777" w:rsidR="0072402D" w:rsidRPr="00EB2E7B" w:rsidRDefault="0072402D" w:rsidP="00D630F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wdraża programy naprawcze po testach zakończonych wynikiem negatywnym oraz powtarza testy.</w:t>
      </w:r>
    </w:p>
    <w:p w14:paraId="33C7EEEB" w14:textId="43F94693" w:rsidR="0072402D" w:rsidRPr="00EB2E7B" w:rsidRDefault="0072402D" w:rsidP="00D630F1">
      <w:pPr>
        <w:pStyle w:val="Nagwek3"/>
        <w:ind w:left="1134" w:hanging="1134"/>
        <w:rPr>
          <w:rFonts w:asciiTheme="minorHAnsi" w:hAnsiTheme="minorHAnsi" w:cstheme="minorHAnsi"/>
          <w:sz w:val="20"/>
          <w:szCs w:val="20"/>
        </w:rPr>
      </w:pPr>
      <w:bookmarkStart w:id="302" w:name="_Ref190090999"/>
      <w:r w:rsidRPr="00EB2E7B">
        <w:rPr>
          <w:rFonts w:asciiTheme="minorHAnsi" w:hAnsiTheme="minorHAnsi" w:cstheme="minorHAnsi"/>
          <w:sz w:val="20"/>
          <w:szCs w:val="20"/>
        </w:rPr>
        <w:t xml:space="preserve">Wytwórca, w celu zapewnienia bezpieczeństwa swoich urządzeń, dla każdego będącego w jego posiadaniu zakładu wytwarzania energii, w którego skład wchodzi synchroniczny moduł wytwarzania energii przyłączony do sieci o napięciu znamionowym równym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wyższym lub nowy synchroniczny moduł wytwarzania energii typu C, przystosowuje urządzenia i napędy pomocnicze do utrzymania w pracy przynajmniej jednego modułu wytwarzania energii w warunkach całkowitej utraty połączenia z KSE lub całkowitego zaniku napięcia w tym systemie.</w:t>
      </w:r>
      <w:bookmarkEnd w:id="302"/>
    </w:p>
    <w:p w14:paraId="18257F92" w14:textId="30BB4205" w:rsidR="0072402D" w:rsidRPr="00EB2E7B" w:rsidRDefault="0072402D" w:rsidP="00D630F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Wytwórca, w celu zapewnienia bezpieczeństwa swoich urządzeń podczas całkowitej utraty połączenia z KSE lub całkowitego zaniku napięcia w tym systemie, dla każdego będącego w jego posiadaniu zakładu wytwarzania energii, w którego skład wchodzą moduły wytwarzania energii typu C lub D, opracowuje i przedstawia ACPRO oraz wdraża plan działań w warunkach utraty połączenia z KSE lub całkowitego zaniku napięcia w tym systemie. Plan działań zapewnia w szczególności podtrzymanie zdolności operacyjnych do bezpiecznego przyjęcia napięcia w okresie nie krótszym niż 24 godziny oraz uwzględnia działania wymienione w pkt </w:t>
      </w:r>
      <w:r w:rsidR="00675E9E" w:rsidRPr="00EB2E7B">
        <w:rPr>
          <w:rFonts w:asciiTheme="minorHAnsi" w:hAnsiTheme="minorHAnsi" w:cstheme="minorHAnsi"/>
          <w:sz w:val="20"/>
          <w:szCs w:val="20"/>
        </w:rPr>
        <w:fldChar w:fldCharType="begin"/>
      </w:r>
      <w:r w:rsidR="00675E9E" w:rsidRPr="00EB2E7B">
        <w:rPr>
          <w:rFonts w:asciiTheme="minorHAnsi" w:hAnsiTheme="minorHAnsi" w:cstheme="minorHAnsi"/>
          <w:sz w:val="20"/>
          <w:szCs w:val="20"/>
        </w:rPr>
        <w:instrText xml:space="preserve"> REF _Ref190090999 \w \h  \* MERGEFORMAT </w:instrText>
      </w:r>
      <w:r w:rsidR="00675E9E" w:rsidRPr="00EB2E7B">
        <w:rPr>
          <w:rFonts w:asciiTheme="minorHAnsi" w:hAnsiTheme="minorHAnsi" w:cstheme="minorHAnsi"/>
          <w:sz w:val="20"/>
          <w:szCs w:val="20"/>
        </w:rPr>
      </w:r>
      <w:r w:rsidR="00675E9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IV.4.2</w:t>
      </w:r>
      <w:r w:rsidR="00675E9E" w:rsidRPr="00EB2E7B">
        <w:rPr>
          <w:rFonts w:asciiTheme="minorHAnsi" w:hAnsiTheme="minorHAnsi" w:cstheme="minorHAnsi"/>
          <w:sz w:val="20"/>
          <w:szCs w:val="20"/>
        </w:rPr>
        <w:fldChar w:fldCharType="end"/>
      </w:r>
      <w:r w:rsidRPr="00EB2E7B">
        <w:rPr>
          <w:rFonts w:asciiTheme="minorHAnsi" w:hAnsiTheme="minorHAnsi" w:cstheme="minorHAnsi"/>
          <w:sz w:val="20"/>
          <w:szCs w:val="20"/>
        </w:rPr>
        <w:t>, jeżeli są wymagane.</w:t>
      </w:r>
    </w:p>
    <w:p w14:paraId="719BC17A" w14:textId="199203B3" w:rsidR="0072402D" w:rsidRPr="00EB2E7B" w:rsidRDefault="0072402D" w:rsidP="00D630F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 ramach obrony i odbudowy systemu użytkownik systemu przyłączony do sieci ACPRO współpracuje z ACPRO w zakresie określenia i spełnienia wymogów utrzymania zdolności technicznych na potrzeby obrony i odbudowy systemu oraz ich monitorowania.</w:t>
      </w:r>
    </w:p>
    <w:p w14:paraId="7F5A636C" w14:textId="702D2E56" w:rsidR="0072402D" w:rsidRPr="00EB2E7B" w:rsidRDefault="0072402D" w:rsidP="00D630F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 celu zapewnienia prawidłowego funkcjonowania systemu elektroenergetycznego oraz niezawodnej pracy tego systemu podmiot, którego urządzenia lub instalacje są przyłączone do sieci ACPRO:</w:t>
      </w:r>
    </w:p>
    <w:p w14:paraId="49A51B0C" w14:textId="21F1F09E" w:rsidR="0072402D" w:rsidRPr="00EB2E7B" w:rsidRDefault="0072402D" w:rsidP="002F2E1D">
      <w:pPr>
        <w:pStyle w:val="1przed"/>
        <w:numPr>
          <w:ilvl w:val="0"/>
          <w:numId w:val="208"/>
        </w:numPr>
        <w:ind w:left="1701" w:hanging="567"/>
        <w:rPr>
          <w:rFonts w:asciiTheme="minorHAnsi" w:hAnsiTheme="minorHAnsi" w:cstheme="minorHAnsi"/>
          <w:sz w:val="20"/>
          <w:szCs w:val="20"/>
        </w:rPr>
      </w:pPr>
      <w:bookmarkStart w:id="303" w:name="_Ref190091117"/>
      <w:r w:rsidRPr="00EB2E7B">
        <w:rPr>
          <w:rFonts w:asciiTheme="minorHAnsi" w:hAnsiTheme="minorHAnsi" w:cstheme="minorHAnsi"/>
          <w:sz w:val="20"/>
          <w:szCs w:val="20"/>
        </w:rPr>
        <w:t>utrzymuje należące do niego sieci i wewnętrzne instalacje zasilające i odbiorcze w należytym stanie technicznym,</w:t>
      </w:r>
      <w:bookmarkEnd w:id="303"/>
    </w:p>
    <w:p w14:paraId="5E0B7C17" w14:textId="37EC5926" w:rsidR="0072402D" w:rsidRPr="00EB2E7B" w:rsidRDefault="0072402D" w:rsidP="002F2E1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dostosowuje instalacje, o których mowa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650A09" w:rsidRPr="00EB2E7B">
        <w:rPr>
          <w:rFonts w:asciiTheme="minorHAnsi" w:hAnsiTheme="minorHAnsi" w:cstheme="minorHAnsi"/>
          <w:sz w:val="20"/>
          <w:szCs w:val="20"/>
        </w:rPr>
        <w:fldChar w:fldCharType="begin"/>
      </w:r>
      <w:r w:rsidR="00650A09" w:rsidRPr="00EB2E7B">
        <w:rPr>
          <w:rFonts w:asciiTheme="minorHAnsi" w:hAnsiTheme="minorHAnsi" w:cstheme="minorHAnsi"/>
          <w:sz w:val="20"/>
          <w:szCs w:val="20"/>
        </w:rPr>
        <w:instrText xml:space="preserve"> REF _Ref190091117 \w \h </w:instrText>
      </w:r>
      <w:r w:rsidR="002E1D9E" w:rsidRPr="00EB2E7B">
        <w:rPr>
          <w:rFonts w:asciiTheme="minorHAnsi" w:hAnsiTheme="minorHAnsi" w:cstheme="minorHAnsi"/>
          <w:sz w:val="20"/>
          <w:szCs w:val="20"/>
        </w:rPr>
        <w:instrText xml:space="preserve"> \* MERGEFORMAT </w:instrText>
      </w:r>
      <w:r w:rsidR="00650A09" w:rsidRPr="00EB2E7B">
        <w:rPr>
          <w:rFonts w:asciiTheme="minorHAnsi" w:hAnsiTheme="minorHAnsi" w:cstheme="minorHAnsi"/>
          <w:sz w:val="20"/>
          <w:szCs w:val="20"/>
        </w:rPr>
      </w:r>
      <w:r w:rsidR="00650A0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650A0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 zmienionych warunków funkcjonowania sieci, o których został poinformowany zgodnie z pkt </w:t>
      </w:r>
      <w:r w:rsidR="00C82DA9" w:rsidRPr="00EB2E7B">
        <w:rPr>
          <w:rFonts w:asciiTheme="minorHAnsi" w:hAnsiTheme="minorHAnsi" w:cstheme="minorHAnsi"/>
          <w:sz w:val="20"/>
          <w:szCs w:val="20"/>
        </w:rPr>
        <w:fldChar w:fldCharType="begin"/>
      </w:r>
      <w:r w:rsidR="00C82DA9" w:rsidRPr="00EB2E7B">
        <w:rPr>
          <w:rFonts w:asciiTheme="minorHAnsi" w:hAnsiTheme="minorHAnsi" w:cstheme="minorHAnsi"/>
          <w:sz w:val="20"/>
          <w:szCs w:val="20"/>
        </w:rPr>
        <w:instrText xml:space="preserve"> REF _Ref173226445 \w \h  \* MERGEFORMAT </w:instrText>
      </w:r>
      <w:r w:rsidR="00C82DA9" w:rsidRPr="00EB2E7B">
        <w:rPr>
          <w:rFonts w:asciiTheme="minorHAnsi" w:hAnsiTheme="minorHAnsi" w:cstheme="minorHAnsi"/>
          <w:sz w:val="20"/>
          <w:szCs w:val="20"/>
        </w:rPr>
      </w:r>
      <w:r w:rsidR="00C82DA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VIII.4.1</w:t>
      </w:r>
      <w:r w:rsidR="00C82DA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2E1D9E" w:rsidRPr="00EB2E7B">
        <w:rPr>
          <w:rFonts w:asciiTheme="minorHAnsi" w:hAnsiTheme="minorHAnsi" w:cstheme="minorHAnsi"/>
          <w:sz w:val="20"/>
          <w:szCs w:val="20"/>
        </w:rPr>
        <w:fldChar w:fldCharType="begin"/>
      </w:r>
      <w:r w:rsidR="002E1D9E" w:rsidRPr="00EB2E7B">
        <w:rPr>
          <w:rFonts w:asciiTheme="minorHAnsi" w:hAnsiTheme="minorHAnsi" w:cstheme="minorHAnsi"/>
          <w:sz w:val="20"/>
          <w:szCs w:val="20"/>
        </w:rPr>
        <w:instrText xml:space="preserve"> REF _Ref173226793 \w \h </w:instrText>
      </w:r>
      <w:r w:rsidR="00BE0824" w:rsidRPr="00EB2E7B">
        <w:rPr>
          <w:rFonts w:asciiTheme="minorHAnsi" w:hAnsiTheme="minorHAnsi" w:cstheme="minorHAnsi"/>
          <w:sz w:val="20"/>
          <w:szCs w:val="20"/>
        </w:rPr>
        <w:instrText xml:space="preserve"> \* MERGEFORMAT </w:instrText>
      </w:r>
      <w:r w:rsidR="002E1D9E" w:rsidRPr="00EB2E7B">
        <w:rPr>
          <w:rFonts w:asciiTheme="minorHAnsi" w:hAnsiTheme="minorHAnsi" w:cstheme="minorHAnsi"/>
          <w:sz w:val="20"/>
          <w:szCs w:val="20"/>
        </w:rPr>
      </w:r>
      <w:r w:rsidR="002E1D9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w:t>
      </w:r>
      <w:r w:rsidR="002E1D9E"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79A46B4C" w14:textId="77777777" w:rsidR="0072402D" w:rsidRPr="00EB2E7B" w:rsidRDefault="0072402D" w:rsidP="002F2E1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niezwłocznie informuje ACPRO o zauważonych wadach lub usterkach w pracy sieci i w układach pomiarowo-rozliczeniowych, a także o powstałych przerwach w dostarczaniu energii elektrycznej lub niewłaściwych jej parametrach,</w:t>
      </w:r>
    </w:p>
    <w:p w14:paraId="33B546DC" w14:textId="77777777" w:rsidR="0072402D" w:rsidRPr="00EB2E7B" w:rsidRDefault="0072402D" w:rsidP="002F2E1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bez uzgodnienia z ACPRO nie może dokonać odłączenia zasilania od rzeczywistego miejsca dostarczania energii elektrycznej i pozbawić napięcia układ pomiarowo-rozliczeniowy.</w:t>
      </w:r>
    </w:p>
    <w:p w14:paraId="4C6C3053" w14:textId="0C2E399C" w:rsidR="0072402D" w:rsidRPr="00EB2E7B" w:rsidRDefault="0072402D"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ACPRO oraz użytkownik systemu, w celu zapewnienia prawidłowego funkcjonowania KSE, wdrażają środki w obiektach ujętych w planie obrony systemu i planie odbudowy opracowanych na podstawie art. 11 i art. 23 NC ER. Obiekty, o których mowa w zdaniu pierwszym, obejmują w szczególności:</w:t>
      </w:r>
    </w:p>
    <w:p w14:paraId="6D86C826" w14:textId="77777777" w:rsidR="0072402D" w:rsidRPr="00EB2E7B" w:rsidRDefault="0072402D" w:rsidP="002F2E1D">
      <w:pPr>
        <w:pStyle w:val="1przed"/>
        <w:numPr>
          <w:ilvl w:val="0"/>
          <w:numId w:val="209"/>
        </w:numPr>
        <w:ind w:left="1701" w:hanging="567"/>
        <w:rPr>
          <w:rFonts w:asciiTheme="minorHAnsi" w:hAnsiTheme="minorHAnsi" w:cstheme="minorHAnsi"/>
          <w:sz w:val="20"/>
          <w:szCs w:val="20"/>
        </w:rPr>
      </w:pPr>
      <w:r w:rsidRPr="00EB2E7B">
        <w:rPr>
          <w:rFonts w:asciiTheme="minorHAnsi" w:hAnsiTheme="minorHAnsi" w:cstheme="minorHAnsi"/>
          <w:sz w:val="20"/>
          <w:szCs w:val="20"/>
        </w:rPr>
        <w:t>rozdzielnie będące własnością ACPRO,</w:t>
      </w:r>
    </w:p>
    <w:p w14:paraId="66B95E80" w14:textId="1639336B" w:rsidR="0072402D" w:rsidRPr="00EB2E7B" w:rsidRDefault="0072402D" w:rsidP="002F2E1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rozdzielnie, do których są przyłączone moduły wytwarzania energii ujęte w wykazie, o którym mowa w art. 11 pkt 4 lit. c lub art. 23 pkt 4 lit. c NC ER,</w:t>
      </w:r>
    </w:p>
    <w:p w14:paraId="706B48B6" w14:textId="77777777" w:rsidR="0072402D" w:rsidRPr="00EB2E7B" w:rsidRDefault="0072402D" w:rsidP="002F2E1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inne rozdzielnie niezbędne do właściwego przeprowadzenia procesu odbudowy systemu elektroenergetycznego określone w drodze uzgodnienia między OSP a ACPRO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488A44F5" w14:textId="6E8AD7E2" w:rsidR="0072402D" w:rsidRPr="00EB2E7B" w:rsidRDefault="0072402D" w:rsidP="002F2E1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moduły wytwarzania energii ujęte w wykazie, o którym mowa w art. 11 pkt 4 lit. c lub art. 23 pkt 4 lit. c NC ER.</w:t>
      </w:r>
    </w:p>
    <w:p w14:paraId="23022BFB" w14:textId="61606B0E" w:rsidR="0072402D" w:rsidRPr="00EB2E7B" w:rsidRDefault="0072402D">
      <w:pPr>
        <w:pStyle w:val="Nagwek2"/>
        <w:rPr>
          <w:rFonts w:asciiTheme="minorHAnsi" w:hAnsiTheme="minorHAnsi" w:cstheme="minorHAnsi"/>
          <w:bCs/>
          <w:sz w:val="20"/>
          <w:szCs w:val="20"/>
        </w:rPr>
      </w:pPr>
      <w:bookmarkStart w:id="304" w:name="_Toc180153739"/>
      <w:bookmarkStart w:id="305" w:name="_Toc239333332"/>
      <w:r w:rsidRPr="00EB2E7B">
        <w:rPr>
          <w:rFonts w:asciiTheme="minorHAnsi" w:hAnsiTheme="minorHAnsi" w:cstheme="minorHAnsi"/>
          <w:sz w:val="20"/>
          <w:szCs w:val="20"/>
        </w:rPr>
        <w:t>REDYSPONOWANIE NIERYNKOWE</w:t>
      </w:r>
      <w:bookmarkEnd w:id="304"/>
      <w:bookmarkEnd w:id="305"/>
    </w:p>
    <w:p w14:paraId="1080BA8E" w14:textId="60641631" w:rsidR="0072402D" w:rsidRPr="00EB2E7B" w:rsidRDefault="0072402D" w:rsidP="002F2E1D">
      <w:pPr>
        <w:pStyle w:val="Nagwek3"/>
        <w:ind w:left="1134" w:hanging="1134"/>
        <w:rPr>
          <w:rFonts w:asciiTheme="minorHAnsi" w:hAnsiTheme="minorHAnsi" w:cstheme="minorHAnsi"/>
          <w:sz w:val="20"/>
          <w:szCs w:val="20"/>
        </w:rPr>
      </w:pPr>
      <w:bookmarkStart w:id="306" w:name="_Ref190091251"/>
      <w:proofErr w:type="spellStart"/>
      <w:r w:rsidRPr="00EB2E7B">
        <w:rPr>
          <w:rFonts w:asciiTheme="minorHAnsi" w:hAnsiTheme="minorHAnsi" w:cstheme="minorHAnsi"/>
          <w:sz w:val="20"/>
          <w:szCs w:val="20"/>
        </w:rPr>
        <w:t>Redysponowanie</w:t>
      </w:r>
      <w:proofErr w:type="spellEnd"/>
      <w:r w:rsidRPr="00EB2E7B">
        <w:rPr>
          <w:rFonts w:asciiTheme="minorHAnsi" w:hAnsiTheme="minorHAnsi" w:cstheme="minorHAnsi"/>
          <w:sz w:val="20"/>
          <w:szCs w:val="20"/>
        </w:rPr>
        <w:t xml:space="preserve"> jednostek wytwórczych, magazynów energii elektrycznej i odpowiedzią odbioru, które nie opiera się na zasadach rynkowych może być stosowane przez OSP,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lub ACPRO w przypadkach, o których mowa w art. 13 ust. 3 rozporządzenia 2019/943, oraz z uwzględnieniem zasad, wskazanych w art. 13 ust. 6 oraz ust. 7 tego rozporządzenia.</w:t>
      </w:r>
      <w:bookmarkEnd w:id="306"/>
    </w:p>
    <w:p w14:paraId="3581A50A" w14:textId="00409ACE" w:rsidR="0072402D" w:rsidRPr="00EB2E7B" w:rsidRDefault="0072402D" w:rsidP="002F2E1D">
      <w:pPr>
        <w:pStyle w:val="Nagwek3"/>
        <w:ind w:left="1134" w:hanging="1134"/>
        <w:rPr>
          <w:rFonts w:asciiTheme="minorHAnsi" w:hAnsiTheme="minorHAnsi" w:cstheme="minorHAnsi"/>
          <w:sz w:val="20"/>
          <w:szCs w:val="20"/>
        </w:rPr>
      </w:pPr>
      <w:bookmarkStart w:id="307" w:name="_Ref190091329"/>
      <w:r w:rsidRPr="00EB2E7B">
        <w:rPr>
          <w:rFonts w:asciiTheme="minorHAnsi" w:hAnsiTheme="minorHAnsi" w:cstheme="minorHAnsi"/>
          <w:sz w:val="20"/>
          <w:szCs w:val="20"/>
        </w:rPr>
        <w:t xml:space="preserve">W ramach prawa, o którym mowa w pkt </w:t>
      </w:r>
      <w:r w:rsidR="0004651A" w:rsidRPr="00EB2E7B">
        <w:rPr>
          <w:rFonts w:asciiTheme="minorHAnsi" w:hAnsiTheme="minorHAnsi" w:cstheme="minorHAnsi"/>
          <w:sz w:val="20"/>
          <w:szCs w:val="20"/>
        </w:rPr>
        <w:fldChar w:fldCharType="begin"/>
      </w:r>
      <w:r w:rsidR="0004651A" w:rsidRPr="00EB2E7B">
        <w:rPr>
          <w:rFonts w:asciiTheme="minorHAnsi" w:hAnsiTheme="minorHAnsi" w:cstheme="minorHAnsi"/>
          <w:sz w:val="20"/>
          <w:szCs w:val="20"/>
        </w:rPr>
        <w:instrText xml:space="preserve"> REF _Ref190091251 \w \h </w:instrText>
      </w:r>
      <w:r w:rsidR="00825299" w:rsidRPr="00EB2E7B">
        <w:rPr>
          <w:rFonts w:asciiTheme="minorHAnsi" w:hAnsiTheme="minorHAnsi" w:cstheme="minorHAnsi"/>
          <w:sz w:val="20"/>
          <w:szCs w:val="20"/>
        </w:rPr>
        <w:instrText xml:space="preserve"> \* MERGEFORMAT </w:instrText>
      </w:r>
      <w:r w:rsidR="0004651A" w:rsidRPr="00EB2E7B">
        <w:rPr>
          <w:rFonts w:asciiTheme="minorHAnsi" w:hAnsiTheme="minorHAnsi" w:cstheme="minorHAnsi"/>
          <w:sz w:val="20"/>
          <w:szCs w:val="20"/>
        </w:rPr>
      </w:r>
      <w:r w:rsidR="0004651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IV.5.1</w:t>
      </w:r>
      <w:r w:rsidR="0004651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na potrzeby równoważenia dostaw energii elektrycznej z zapotrzebowaniem na tę energię lub zapewnienia bezpieczeństwa pracy sieci elektroenergetycznej OSP może w odniesieniu do jednostek wytwórczych lub magazynów energii elektrycznej wydać polecenie ruchowe wyłączenia lub zmniejszenia odpowiednio mocy wytwarzanej lub pobieranej.</w:t>
      </w:r>
      <w:bookmarkEnd w:id="307"/>
    </w:p>
    <w:p w14:paraId="49A5471A" w14:textId="3C264CAF" w:rsidR="0072402D" w:rsidRPr="00EB2E7B" w:rsidRDefault="0072402D" w:rsidP="002F2E1D">
      <w:pPr>
        <w:pStyle w:val="Nagwek3"/>
        <w:ind w:left="1134" w:hanging="1134"/>
        <w:rPr>
          <w:rFonts w:asciiTheme="minorHAnsi" w:hAnsiTheme="minorHAnsi" w:cstheme="minorHAnsi"/>
          <w:sz w:val="20"/>
          <w:szCs w:val="20"/>
        </w:rPr>
      </w:pPr>
      <w:bookmarkStart w:id="308" w:name="_Ref190091393"/>
      <w:r w:rsidRPr="00EB2E7B">
        <w:rPr>
          <w:rFonts w:asciiTheme="minorHAnsi" w:hAnsiTheme="minorHAnsi" w:cstheme="minorHAnsi"/>
          <w:sz w:val="20"/>
          <w:szCs w:val="20"/>
        </w:rPr>
        <w:t xml:space="preserve">W ramach prawa, o którym mowa w pkt </w:t>
      </w:r>
      <w:r w:rsidR="009C304A" w:rsidRPr="00EB2E7B">
        <w:rPr>
          <w:rFonts w:asciiTheme="minorHAnsi" w:hAnsiTheme="minorHAnsi" w:cstheme="minorHAnsi"/>
          <w:sz w:val="20"/>
          <w:szCs w:val="20"/>
        </w:rPr>
        <w:fldChar w:fldCharType="begin"/>
      </w:r>
      <w:r w:rsidR="009C304A" w:rsidRPr="00EB2E7B">
        <w:rPr>
          <w:rFonts w:asciiTheme="minorHAnsi" w:hAnsiTheme="minorHAnsi" w:cstheme="minorHAnsi"/>
          <w:sz w:val="20"/>
          <w:szCs w:val="20"/>
        </w:rPr>
        <w:instrText xml:space="preserve"> REF _Ref190091251 \w \h  \* MERGEFORMAT </w:instrText>
      </w:r>
      <w:r w:rsidR="009C304A" w:rsidRPr="00EB2E7B">
        <w:rPr>
          <w:rFonts w:asciiTheme="minorHAnsi" w:hAnsiTheme="minorHAnsi" w:cstheme="minorHAnsi"/>
          <w:sz w:val="20"/>
          <w:szCs w:val="20"/>
        </w:rPr>
      </w:r>
      <w:r w:rsidR="009C304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IV.5.1</w:t>
      </w:r>
      <w:r w:rsidR="009C304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na potrzeby zapewnienia bezpieczeństwa pracy sieci elektroenergetycznej ACPRO może w odniesieniu do jednostek wytwórczych lub magazynów energii elektrycznej wydać polecenie ruchowe wyłączenia lub zmniejszenia odpowiednio mocy wytwarzanej lub pobieranej.</w:t>
      </w:r>
      <w:bookmarkEnd w:id="308"/>
    </w:p>
    <w:p w14:paraId="64A57B72" w14:textId="76C1C489" w:rsidR="0072402D" w:rsidRPr="00EB2E7B" w:rsidRDefault="0072402D"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Polecenia, o których mowa w pkt </w:t>
      </w:r>
      <w:r w:rsidR="009C304A" w:rsidRPr="00EB2E7B">
        <w:rPr>
          <w:rFonts w:asciiTheme="minorHAnsi" w:hAnsiTheme="minorHAnsi" w:cstheme="minorHAnsi"/>
          <w:sz w:val="20"/>
          <w:szCs w:val="20"/>
        </w:rPr>
        <w:fldChar w:fldCharType="begin"/>
      </w:r>
      <w:r w:rsidR="009C304A" w:rsidRPr="00EB2E7B">
        <w:rPr>
          <w:rFonts w:asciiTheme="minorHAnsi" w:hAnsiTheme="minorHAnsi" w:cstheme="minorHAnsi"/>
          <w:sz w:val="20"/>
          <w:szCs w:val="20"/>
        </w:rPr>
        <w:instrText xml:space="preserve"> REF _Ref190091329 \w \h  \* MERGEFORMAT </w:instrText>
      </w:r>
      <w:r w:rsidR="009C304A" w:rsidRPr="00EB2E7B">
        <w:rPr>
          <w:rFonts w:asciiTheme="minorHAnsi" w:hAnsiTheme="minorHAnsi" w:cstheme="minorHAnsi"/>
          <w:sz w:val="20"/>
          <w:szCs w:val="20"/>
        </w:rPr>
      </w:r>
      <w:r w:rsidR="009C304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IV.5.2</w:t>
      </w:r>
      <w:r w:rsidR="009C304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przypadku jednostek wytwórczych będących farmami wiatrowymi lub farmami fotowoltaicznymi oraz magazynów energii elektrycznej, OSP może wydać za pośrednictwem i w koordynacji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jednostkom wytwórczym będącym farmami wiatrowymi lub farmami fotowoltaicznymi oraz magazynom energii elektrycznej, przyłączonym do sieci dystrybucyjnej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lub OSDn</w:t>
      </w:r>
      <w:r w:rsidR="003456BD"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przyłączonego do sieci </w:t>
      </w:r>
      <w:proofErr w:type="spellStart"/>
      <w:r w:rsidRPr="00EB2E7B">
        <w:rPr>
          <w:rFonts w:asciiTheme="minorHAnsi" w:hAnsiTheme="minorHAnsi" w:cstheme="minorHAnsi"/>
          <w:sz w:val="20"/>
          <w:szCs w:val="20"/>
        </w:rPr>
        <w:t>OSD</w:t>
      </w:r>
      <w:r w:rsidR="0060392E"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w:t>
      </w:r>
    </w:p>
    <w:p w14:paraId="3B7DBDCC" w14:textId="74A65ACA" w:rsidR="0072402D" w:rsidRPr="00EB2E7B" w:rsidRDefault="0072402D"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Polecenia, o których mowa w pkt </w:t>
      </w:r>
      <w:r w:rsidR="001A2C34" w:rsidRPr="00EB2E7B">
        <w:rPr>
          <w:rFonts w:asciiTheme="minorHAnsi" w:hAnsiTheme="minorHAnsi" w:cstheme="minorHAnsi"/>
          <w:sz w:val="20"/>
          <w:szCs w:val="20"/>
        </w:rPr>
        <w:fldChar w:fldCharType="begin"/>
      </w:r>
      <w:r w:rsidR="001A2C34" w:rsidRPr="00EB2E7B">
        <w:rPr>
          <w:rFonts w:asciiTheme="minorHAnsi" w:hAnsiTheme="minorHAnsi" w:cstheme="minorHAnsi"/>
          <w:sz w:val="20"/>
          <w:szCs w:val="20"/>
        </w:rPr>
        <w:instrText xml:space="preserve"> REF _Ref190091393 \w \h  \* MERGEFORMAT </w:instrText>
      </w:r>
      <w:r w:rsidR="001A2C34" w:rsidRPr="00EB2E7B">
        <w:rPr>
          <w:rFonts w:asciiTheme="minorHAnsi" w:hAnsiTheme="minorHAnsi" w:cstheme="minorHAnsi"/>
          <w:sz w:val="20"/>
          <w:szCs w:val="20"/>
        </w:rPr>
      </w:r>
      <w:r w:rsidR="001A2C3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IV.5.3</w:t>
      </w:r>
      <w:r w:rsidR="001A2C3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przypadku jednostek wytwórczych będących farmami wiatrowymi lub farmami fotowoltaicznymi oraz magazynów energii elektrycznej, ACPRO może wydać:</w:t>
      </w:r>
    </w:p>
    <w:p w14:paraId="61E71ED6" w14:textId="77777777" w:rsidR="0072402D" w:rsidRPr="00EB2E7B" w:rsidRDefault="0072402D" w:rsidP="002F2E1D">
      <w:pPr>
        <w:pStyle w:val="1przed"/>
        <w:numPr>
          <w:ilvl w:val="0"/>
          <w:numId w:val="210"/>
        </w:numPr>
        <w:ind w:left="1701" w:hanging="567"/>
        <w:rPr>
          <w:rFonts w:asciiTheme="minorHAnsi" w:hAnsiTheme="minorHAnsi" w:cstheme="minorHAnsi"/>
          <w:sz w:val="20"/>
          <w:szCs w:val="20"/>
        </w:rPr>
      </w:pPr>
      <w:r w:rsidRPr="00EB2E7B">
        <w:rPr>
          <w:rFonts w:asciiTheme="minorHAnsi" w:hAnsiTheme="minorHAnsi" w:cstheme="minorHAnsi"/>
          <w:sz w:val="20"/>
          <w:szCs w:val="20"/>
        </w:rPr>
        <w:t>bezpośrednio jednostkom wytwórczym będącym farmami wiatrowymi lub farmami fotowoltaicznymi oraz magazynom energii elektrycznej, przyłączonym do sieci dystrybucyjnej ACPRO, lub</w:t>
      </w:r>
    </w:p>
    <w:p w14:paraId="7A96EEE0" w14:textId="77777777" w:rsidR="0072402D" w:rsidRPr="00EB2E7B" w:rsidRDefault="0072402D" w:rsidP="002F2E1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 pośrednictwem OSDn przyłączonego do sieci ACPRO, jednostkom wytwórczym będącym farmami wiatrowymi lub farmami fotowoltaicznymi oraz magazynom energii elektrycznej, przyłączonym do sieci dystrybucyjnej tego OSDn lub do sieci dystrybucyjnej innego OSDn przyłączonego do sieci tego OSDn.</w:t>
      </w:r>
    </w:p>
    <w:p w14:paraId="0B57003D" w14:textId="7233C93B" w:rsidR="0072402D" w:rsidRPr="00EB2E7B" w:rsidRDefault="0072402D"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Rozliczenia finansowe w przypadku wydania poleceń, o których mowa w pkt </w:t>
      </w:r>
      <w:r w:rsidR="00CC448C" w:rsidRPr="00EB2E7B">
        <w:rPr>
          <w:rFonts w:asciiTheme="minorHAnsi" w:hAnsiTheme="minorHAnsi" w:cstheme="minorHAnsi"/>
          <w:sz w:val="20"/>
          <w:szCs w:val="20"/>
        </w:rPr>
        <w:fldChar w:fldCharType="begin"/>
      </w:r>
      <w:r w:rsidR="00CC448C" w:rsidRPr="00EB2E7B">
        <w:rPr>
          <w:rFonts w:asciiTheme="minorHAnsi" w:hAnsiTheme="minorHAnsi" w:cstheme="minorHAnsi"/>
          <w:sz w:val="20"/>
          <w:szCs w:val="20"/>
        </w:rPr>
        <w:instrText xml:space="preserve"> REF _Ref190091329 \w \h  \* MERGEFORMAT </w:instrText>
      </w:r>
      <w:r w:rsidR="00CC448C" w:rsidRPr="00EB2E7B">
        <w:rPr>
          <w:rFonts w:asciiTheme="minorHAnsi" w:hAnsiTheme="minorHAnsi" w:cstheme="minorHAnsi"/>
          <w:sz w:val="20"/>
          <w:szCs w:val="20"/>
        </w:rPr>
      </w:r>
      <w:r w:rsidR="00CC448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IV.5.2</w:t>
      </w:r>
      <w:r w:rsidR="00CC448C" w:rsidRPr="00EB2E7B">
        <w:rPr>
          <w:rFonts w:asciiTheme="minorHAnsi" w:hAnsiTheme="minorHAnsi" w:cstheme="minorHAnsi"/>
          <w:sz w:val="20"/>
          <w:szCs w:val="20"/>
        </w:rPr>
        <w:fldChar w:fldCharType="end"/>
      </w:r>
      <w:r w:rsidRPr="00EB2E7B">
        <w:rPr>
          <w:rFonts w:asciiTheme="minorHAnsi" w:hAnsiTheme="minorHAnsi" w:cstheme="minorHAnsi"/>
          <w:sz w:val="20"/>
          <w:szCs w:val="20"/>
        </w:rPr>
        <w:t>., każdorazowo będą dokonywane na podstawie odrębnej umowy zawieranej pomiędzy OSP a podmiotem, któremu zostało wydane polecenie, z wyłączeniem przypadku zaakceptowania przez ten podmiot umowy o przyłączenie niegwarantującej niezawodnych dostaw energii.</w:t>
      </w:r>
    </w:p>
    <w:p w14:paraId="343207DD" w14:textId="0D6B069F" w:rsidR="0072402D" w:rsidRPr="00EB2E7B" w:rsidRDefault="0072402D"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Rozliczenia finansowe w przypadku wydania poleceń, o których mowa w pkt </w:t>
      </w:r>
      <w:r w:rsidR="00CC448C" w:rsidRPr="00EB2E7B">
        <w:rPr>
          <w:rFonts w:asciiTheme="minorHAnsi" w:hAnsiTheme="minorHAnsi" w:cstheme="minorHAnsi"/>
          <w:sz w:val="20"/>
          <w:szCs w:val="20"/>
        </w:rPr>
        <w:fldChar w:fldCharType="begin"/>
      </w:r>
      <w:r w:rsidR="00CC448C" w:rsidRPr="00EB2E7B">
        <w:rPr>
          <w:rFonts w:asciiTheme="minorHAnsi" w:hAnsiTheme="minorHAnsi" w:cstheme="minorHAnsi"/>
          <w:sz w:val="20"/>
          <w:szCs w:val="20"/>
        </w:rPr>
        <w:instrText xml:space="preserve"> REF _Ref190091393 \w \h  \* MERGEFORMAT </w:instrText>
      </w:r>
      <w:r w:rsidR="00CC448C" w:rsidRPr="00EB2E7B">
        <w:rPr>
          <w:rFonts w:asciiTheme="minorHAnsi" w:hAnsiTheme="minorHAnsi" w:cstheme="minorHAnsi"/>
          <w:sz w:val="20"/>
          <w:szCs w:val="20"/>
        </w:rPr>
      </w:r>
      <w:r w:rsidR="00CC448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IV.5.3</w:t>
      </w:r>
      <w:r w:rsidR="00CC448C" w:rsidRPr="00EB2E7B">
        <w:rPr>
          <w:rFonts w:asciiTheme="minorHAnsi" w:hAnsiTheme="minorHAnsi" w:cstheme="minorHAnsi"/>
          <w:sz w:val="20"/>
          <w:szCs w:val="20"/>
        </w:rPr>
        <w:fldChar w:fldCharType="end"/>
      </w:r>
      <w:r w:rsidRPr="00EB2E7B">
        <w:rPr>
          <w:rFonts w:asciiTheme="minorHAnsi" w:hAnsiTheme="minorHAnsi" w:cstheme="minorHAnsi"/>
          <w:sz w:val="20"/>
          <w:szCs w:val="20"/>
        </w:rPr>
        <w:t>., każdorazowo będą dokonywane na podstawie odrębnej umowy zawieranej pomiędzy ACPRO a podmiotem, któremu zostało wydane polecenie, z wyłączeniem przypadku zaakceptowania przez ten podmiot umowy o przyłączenie niegwarantującej niezawodnych dostaw energii.</w:t>
      </w:r>
    </w:p>
    <w:p w14:paraId="2061CF89" w14:textId="77777777" w:rsidR="00A54D70" w:rsidRPr="00EB2E7B" w:rsidRDefault="00A54D70" w:rsidP="006F561B">
      <w:pPr>
        <w:pStyle w:val="aprzed"/>
        <w:numPr>
          <w:ilvl w:val="0"/>
          <w:numId w:val="53"/>
        </w:numPr>
        <w:rPr>
          <w:rFonts w:asciiTheme="minorHAnsi" w:hAnsiTheme="minorHAnsi" w:cstheme="minorHAnsi"/>
          <w:sz w:val="20"/>
          <w:szCs w:val="20"/>
        </w:rPr>
      </w:pPr>
      <w:r w:rsidRPr="00EB2E7B">
        <w:rPr>
          <w:rFonts w:asciiTheme="minorHAnsi" w:hAnsiTheme="minorHAnsi" w:cstheme="minorHAnsi"/>
          <w:sz w:val="20"/>
          <w:szCs w:val="20"/>
        </w:rPr>
        <w:br w:type="page"/>
      </w:r>
    </w:p>
    <w:p w14:paraId="332D3621" w14:textId="77777777" w:rsidR="009B3C6D" w:rsidRDefault="001F7378">
      <w:pPr>
        <w:pStyle w:val="Nagwek2"/>
        <w:rPr>
          <w:rFonts w:asciiTheme="minorHAnsi" w:hAnsiTheme="minorHAnsi" w:cstheme="minorHAnsi"/>
          <w:sz w:val="20"/>
          <w:szCs w:val="20"/>
        </w:rPr>
      </w:pPr>
      <w:bookmarkStart w:id="309" w:name="_Toc239333333"/>
      <w:r>
        <w:rPr>
          <w:rFonts w:asciiTheme="minorHAnsi" w:hAnsiTheme="minorHAnsi" w:cstheme="minorHAnsi"/>
          <w:sz w:val="20"/>
          <w:szCs w:val="20"/>
        </w:rPr>
        <w:lastRenderedPageBreak/>
        <w:t>INTERWENCYJNA DOSTAWA MOCY CZYNNEJ (obowiązuje do dnia 31 grudnia 2027 r.)</w:t>
      </w:r>
      <w:bookmarkEnd w:id="309"/>
    </w:p>
    <w:p w14:paraId="688256DE" w14:textId="77777777" w:rsidR="009B3C6D" w:rsidRDefault="001F7378">
      <w:pPr>
        <w:pStyle w:val="Nagwek3"/>
        <w:ind w:left="1134" w:hanging="1134"/>
        <w:rPr>
          <w:rFonts w:asciiTheme="minorHAnsi" w:hAnsiTheme="minorHAnsi" w:cstheme="minorHAnsi"/>
          <w:b/>
          <w:bCs/>
          <w:sz w:val="20"/>
          <w:szCs w:val="20"/>
        </w:rPr>
      </w:pPr>
      <w:r>
        <w:rPr>
          <w:rFonts w:asciiTheme="minorHAnsi" w:hAnsiTheme="minorHAnsi" w:cstheme="minorHAnsi"/>
          <w:b/>
          <w:bCs/>
          <w:sz w:val="20"/>
          <w:szCs w:val="20"/>
        </w:rPr>
        <w:t>Postanowienia ogólne</w:t>
      </w:r>
    </w:p>
    <w:p w14:paraId="6B4B7C68" w14:textId="77777777" w:rsidR="009B3C6D" w:rsidRDefault="001F7378">
      <w:pPr>
        <w:pStyle w:val="Nagwek4"/>
        <w:rPr>
          <w:rFonts w:asciiTheme="minorHAnsi" w:hAnsiTheme="minorHAnsi" w:cstheme="minorHAnsi"/>
          <w:sz w:val="20"/>
          <w:szCs w:val="20"/>
        </w:rPr>
      </w:pPr>
      <w:r>
        <w:rPr>
          <w:rFonts w:asciiTheme="minorHAnsi" w:hAnsiTheme="minorHAnsi" w:cstheme="minorHAnsi"/>
          <w:sz w:val="20"/>
          <w:szCs w:val="20"/>
        </w:rPr>
        <w:t>W celu zapewnienia prawidłowego funkcjonowania systemu dystrybucyjnego, zapewnienia niezawodności pracy tego systemu lub utrzymania parametrów jakościowych energii elektrycznej, ACPRO może korzystać z interwencyjnych dostaw mocy czynnej (IDC). ACPRO wykorzystuje IDC w szczególności w przypadku, gdy są one niezbędne do osiągnięcia ww. celów.</w:t>
      </w:r>
    </w:p>
    <w:p w14:paraId="49F081FD" w14:textId="77777777" w:rsidR="009B3C6D" w:rsidRDefault="001F7378">
      <w:pPr>
        <w:pStyle w:val="Nagwek4"/>
        <w:rPr>
          <w:rFonts w:asciiTheme="minorHAnsi" w:hAnsiTheme="minorHAnsi" w:cstheme="minorHAnsi"/>
          <w:sz w:val="20"/>
          <w:szCs w:val="20"/>
        </w:rPr>
      </w:pPr>
      <w:r>
        <w:rPr>
          <w:rFonts w:asciiTheme="minorHAnsi" w:hAnsiTheme="minorHAnsi" w:cstheme="minorHAnsi"/>
          <w:sz w:val="20"/>
          <w:szCs w:val="20"/>
        </w:rPr>
        <w:t xml:space="preserve">IDC polega na zwiększeniu przez URD poboru mocy czynnej z sieci dystrybucyjnej ACPRO, w tym również ponad wartość mocy umownej określonej w umowie dystrybucji albo w umowie kompleksowej, do poziomu nieprzekraczającego maksymalnej mocy interwencyjnej określonej przez ACPRO. IDC może być realizowana przez URD przyłączonych do sieci dystrybucyjnej ACPRO w PPE, dla których zamówiona moc umowna jest wyższa niż 40 </w:t>
      </w:r>
      <w:proofErr w:type="spellStart"/>
      <w:r>
        <w:rPr>
          <w:rFonts w:asciiTheme="minorHAnsi" w:hAnsiTheme="minorHAnsi" w:cstheme="minorHAnsi"/>
          <w:sz w:val="20"/>
          <w:szCs w:val="20"/>
        </w:rPr>
        <w:t>kW.</w:t>
      </w:r>
      <w:proofErr w:type="spellEnd"/>
    </w:p>
    <w:p w14:paraId="2AB7A971" w14:textId="77777777" w:rsidR="009B3C6D" w:rsidRDefault="001F7378">
      <w:pPr>
        <w:pStyle w:val="Nagwek4"/>
        <w:rPr>
          <w:rFonts w:asciiTheme="minorHAnsi" w:hAnsiTheme="minorHAnsi" w:cstheme="minorHAnsi"/>
          <w:sz w:val="20"/>
          <w:szCs w:val="20"/>
        </w:rPr>
      </w:pPr>
      <w:r>
        <w:rPr>
          <w:rFonts w:asciiTheme="minorHAnsi" w:hAnsiTheme="minorHAnsi" w:cstheme="minorHAnsi"/>
          <w:sz w:val="20"/>
          <w:szCs w:val="20"/>
        </w:rPr>
        <w:t>Zasady realizacji IDC i współpracy w zakresie realizacji IDC pomiędzy ACPRO a URD:</w:t>
      </w:r>
    </w:p>
    <w:p w14:paraId="62EC286B"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obszar realizacji: cała sieć dystrybucyjna ACPRO,</w:t>
      </w:r>
    </w:p>
    <w:p w14:paraId="18D77EF2"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ACPRO określa dopuszczalne: maksymalną moc interwencyjną oraz czas pobierania tej mocy,</w:t>
      </w:r>
    </w:p>
    <w:p w14:paraId="1E2DB6E0"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3) ACPRO informuje URD z wyprzedzeniem (co najmniej 3-dniowym) o możliwości korzystania z IDC,</w:t>
      </w:r>
    </w:p>
    <w:p w14:paraId="5ACD6240"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4) IDC może realizować jedynie URD, który posiada elektroniczny kanał komunikacji z ACPRO.</w:t>
      </w:r>
    </w:p>
    <w:p w14:paraId="143F17E8" w14:textId="77777777" w:rsidR="009B3C6D" w:rsidRDefault="001F7378">
      <w:pPr>
        <w:pStyle w:val="Nagwek4"/>
        <w:rPr>
          <w:rFonts w:asciiTheme="minorHAnsi" w:hAnsiTheme="minorHAnsi" w:cstheme="minorHAnsi"/>
          <w:sz w:val="20"/>
          <w:szCs w:val="20"/>
        </w:rPr>
      </w:pPr>
      <w:r>
        <w:rPr>
          <w:rFonts w:asciiTheme="minorHAnsi" w:hAnsiTheme="minorHAnsi" w:cstheme="minorHAnsi"/>
          <w:sz w:val="20"/>
          <w:szCs w:val="20"/>
        </w:rPr>
        <w:t>URD nie przysługuje wynagrodzenie z tytułu realizacji IDC.</w:t>
      </w:r>
    </w:p>
    <w:p w14:paraId="5384CCE9" w14:textId="77777777" w:rsidR="009B3C6D" w:rsidRDefault="001F7378">
      <w:pPr>
        <w:pStyle w:val="Nagwek4"/>
        <w:rPr>
          <w:rFonts w:asciiTheme="minorHAnsi" w:hAnsiTheme="minorHAnsi" w:cstheme="minorHAnsi"/>
          <w:sz w:val="20"/>
          <w:szCs w:val="20"/>
        </w:rPr>
      </w:pPr>
      <w:r>
        <w:rPr>
          <w:rFonts w:asciiTheme="minorHAnsi" w:hAnsiTheme="minorHAnsi" w:cstheme="minorHAnsi"/>
          <w:sz w:val="20"/>
          <w:szCs w:val="20"/>
        </w:rPr>
        <w:t>W przypadku, gdy realizacja IDC będzie skutkować przekroczeniem przez URD mocy umownej określonej w umowie dystrybucji albo w umowie kompleksowej, wówczas w odniesieniu do okresu realizacji IDC opłaty za przekroczenie mocy umownej nie pobiera się.</w:t>
      </w:r>
    </w:p>
    <w:p w14:paraId="28B5F83D" w14:textId="77777777" w:rsidR="009B3C6D" w:rsidRDefault="001F7378">
      <w:pPr>
        <w:pStyle w:val="Nagwek4"/>
        <w:rPr>
          <w:rFonts w:asciiTheme="minorHAnsi" w:hAnsiTheme="minorHAnsi" w:cstheme="minorHAnsi"/>
          <w:sz w:val="20"/>
          <w:szCs w:val="20"/>
        </w:rPr>
      </w:pPr>
      <w:r>
        <w:rPr>
          <w:rFonts w:asciiTheme="minorHAnsi" w:hAnsiTheme="minorHAnsi" w:cstheme="minorHAnsi"/>
          <w:sz w:val="20"/>
          <w:szCs w:val="20"/>
        </w:rPr>
        <w:t>URD może realizować IDC pod warunkiem spełniania warunków technicznych, o których mowa w pkt IV.6.2.</w:t>
      </w:r>
    </w:p>
    <w:p w14:paraId="6800FDB8" w14:textId="77777777" w:rsidR="009B3C6D" w:rsidRDefault="001F7378">
      <w:pPr>
        <w:pStyle w:val="Nagwek3"/>
        <w:ind w:left="1134" w:hanging="1134"/>
        <w:rPr>
          <w:rFonts w:asciiTheme="minorHAnsi" w:hAnsiTheme="minorHAnsi" w:cstheme="minorHAnsi"/>
          <w:b/>
          <w:bCs/>
          <w:sz w:val="20"/>
          <w:szCs w:val="20"/>
        </w:rPr>
      </w:pPr>
      <w:r>
        <w:rPr>
          <w:rFonts w:asciiTheme="minorHAnsi" w:hAnsiTheme="minorHAnsi" w:cstheme="minorHAnsi"/>
          <w:b/>
          <w:bCs/>
          <w:sz w:val="20"/>
          <w:szCs w:val="20"/>
        </w:rPr>
        <w:t>Wymagania techniczne</w:t>
      </w:r>
    </w:p>
    <w:p w14:paraId="09127994" w14:textId="77777777" w:rsidR="009B3C6D" w:rsidRDefault="001F7378">
      <w:pPr>
        <w:pStyle w:val="Nagwek4"/>
        <w:rPr>
          <w:rFonts w:asciiTheme="minorHAnsi" w:hAnsiTheme="minorHAnsi" w:cstheme="minorHAnsi"/>
          <w:sz w:val="20"/>
          <w:szCs w:val="20"/>
        </w:rPr>
      </w:pPr>
      <w:r>
        <w:rPr>
          <w:rFonts w:asciiTheme="minorHAnsi" w:hAnsiTheme="minorHAnsi" w:cstheme="minorHAnsi"/>
          <w:sz w:val="20"/>
          <w:szCs w:val="20"/>
        </w:rPr>
        <w:t>URD, który realizuje IDC, powinien spełniać następujące wymagania:</w:t>
      </w:r>
    </w:p>
    <w:p w14:paraId="24CECE4D"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1) układy pomiarowo-rozliczeniowe w PPE spełniają wymagania techniczne określone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jak dla układów pomiarowo-rozliczeniowych instalowanych u URD będących odbiorcami, którzy korzystają z prawa wyboru sprzedawcy,</w:t>
      </w:r>
    </w:p>
    <w:p w14:paraId="2CCD27E8"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układy pomiarowo-rozliczeniowe w PPE posiadają funkcję automatycznej rejestracji danych pomiarowych i umożliwiają ich pozyskanie w trybie dobowym poprzez system zdalnego odczytu danych pomiarowych do LSPR ACPRO (obowiązuje do dnia poprzedzającego przystąpienie ACPRO do CSIRE),</w:t>
      </w:r>
    </w:p>
    <w:p w14:paraId="5580B124"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układy pomiarowo-rozliczeniowe w PPE posiadają funkcję automatycznej rejestracji danych pomiarowych i umożliwiają ich pozyskanie w trybie dobowym poprzez system zdalnego odczytu danych pomiarowych do systemu pomiarowego ACPRO (obowiązuje od dnia przystąpienia ACPRO do CSIRE).</w:t>
      </w:r>
    </w:p>
    <w:p w14:paraId="636371D7" w14:textId="77777777" w:rsidR="00473957" w:rsidRPr="00EB2E7B" w:rsidRDefault="0077111A" w:rsidP="00A42849">
      <w:pPr>
        <w:pStyle w:val="Nagwek1"/>
        <w:rPr>
          <w:rFonts w:asciiTheme="minorHAnsi" w:hAnsiTheme="minorHAnsi" w:cstheme="minorHAnsi"/>
          <w:sz w:val="20"/>
          <w:szCs w:val="20"/>
        </w:rPr>
      </w:pPr>
      <w:bookmarkStart w:id="310" w:name="_Toc180153740"/>
      <w:bookmarkStart w:id="311" w:name="_Toc239333334"/>
      <w:r w:rsidRPr="00EB2E7B">
        <w:rPr>
          <w:rFonts w:asciiTheme="minorHAnsi" w:hAnsiTheme="minorHAnsi" w:cstheme="minorHAnsi"/>
          <w:sz w:val="20"/>
          <w:szCs w:val="20"/>
        </w:rPr>
        <w:t xml:space="preserve">WSPÓŁPRACA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 INNYMI OPERATORAMI I PRZEKAZYWANIE INFORMACJI POMIĘDZY OPERATORAMI ORAZ OPERATORAMI A</w:t>
      </w:r>
      <w:r w:rsidR="00103B17" w:rsidRPr="00EB2E7B">
        <w:rPr>
          <w:rFonts w:asciiTheme="minorHAnsi" w:hAnsiTheme="minorHAnsi" w:cstheme="minorHAnsi"/>
          <w:sz w:val="20"/>
          <w:szCs w:val="20"/>
        </w:rPr>
        <w:t> </w:t>
      </w:r>
      <w:r w:rsidRPr="00EB2E7B">
        <w:rPr>
          <w:rFonts w:asciiTheme="minorHAnsi" w:hAnsiTheme="minorHAnsi" w:cstheme="minorHAnsi"/>
          <w:sz w:val="20"/>
          <w:szCs w:val="20"/>
        </w:rPr>
        <w:t>UŻYTKOWNIKAMI SYSTEMU</w:t>
      </w:r>
      <w:bookmarkEnd w:id="310"/>
      <w:bookmarkEnd w:id="311"/>
    </w:p>
    <w:p w14:paraId="79133259" w14:textId="7122464B" w:rsidR="00645B28" w:rsidRPr="00EB2E7B" w:rsidRDefault="00232DA9">
      <w:pPr>
        <w:pStyle w:val="Nagwek2"/>
        <w:rPr>
          <w:rFonts w:asciiTheme="minorHAnsi" w:hAnsiTheme="minorHAnsi" w:cstheme="minorHAnsi"/>
          <w:b w:val="0"/>
          <w:sz w:val="20"/>
          <w:szCs w:val="20"/>
        </w:rPr>
      </w:pPr>
      <w:bookmarkStart w:id="312" w:name="_Toc189833715"/>
      <w:bookmarkStart w:id="313" w:name="_Toc239333335"/>
      <w:r w:rsidRPr="00EB2E7B">
        <w:rPr>
          <w:rFonts w:asciiTheme="minorHAnsi" w:hAnsiTheme="minorHAnsi" w:cstheme="minorHAnsi"/>
          <w:b w:val="0"/>
          <w:sz w:val="20"/>
          <w:szCs w:val="20"/>
        </w:rPr>
        <w:t>ACPRO</w:t>
      </w:r>
      <w:r w:rsidR="0077111A" w:rsidRPr="00EB2E7B">
        <w:rPr>
          <w:rFonts w:asciiTheme="minorHAnsi" w:hAnsiTheme="minorHAnsi" w:cstheme="minorHAnsi"/>
          <w:b w:val="0"/>
          <w:sz w:val="20"/>
          <w:szCs w:val="20"/>
        </w:rPr>
        <w:t xml:space="preserve"> </w:t>
      </w:r>
      <w:r w:rsidR="006928A6" w:rsidRPr="00EB2E7B">
        <w:rPr>
          <w:rFonts w:asciiTheme="minorHAnsi" w:hAnsiTheme="minorHAnsi" w:cstheme="minorHAnsi"/>
          <w:b w:val="0"/>
          <w:sz w:val="20"/>
          <w:szCs w:val="20"/>
        </w:rPr>
        <w:t>współpracuje z następującymi podmiotami</w:t>
      </w:r>
      <w:r w:rsidR="0077111A" w:rsidRPr="00EB2E7B">
        <w:rPr>
          <w:rFonts w:asciiTheme="minorHAnsi" w:hAnsiTheme="minorHAnsi" w:cstheme="minorHAnsi"/>
          <w:b w:val="0"/>
          <w:sz w:val="20"/>
          <w:szCs w:val="20"/>
        </w:rPr>
        <w:t>:</w:t>
      </w:r>
      <w:bookmarkEnd w:id="312"/>
      <w:bookmarkEnd w:id="313"/>
    </w:p>
    <w:p w14:paraId="38881587" w14:textId="77777777" w:rsidR="00272CD2" w:rsidRPr="00EB2E7B" w:rsidRDefault="00272CD2" w:rsidP="00DF5D04">
      <w:pPr>
        <w:pStyle w:val="aprzed"/>
        <w:numPr>
          <w:ilvl w:val="0"/>
          <w:numId w:val="389"/>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OSP,</w:t>
      </w:r>
    </w:p>
    <w:p w14:paraId="238DF3A9" w14:textId="77777777" w:rsidR="00E954A0" w:rsidRDefault="00047FD1">
      <w:pPr>
        <w:pStyle w:val="aprzed"/>
        <w:numPr>
          <w:ilvl w:val="0"/>
          <w:numId w:val="389"/>
        </w:numPr>
        <w:ind w:left="1701" w:hanging="566"/>
        <w:rPr>
          <w:rFonts w:asciiTheme="minorHAnsi" w:hAnsiTheme="minorHAnsi" w:cstheme="minorHAnsi"/>
          <w:sz w:val="20"/>
          <w:szCs w:val="20"/>
        </w:rPr>
      </w:pPr>
      <w:r>
        <w:rPr>
          <w:rFonts w:asciiTheme="minorHAnsi" w:hAnsiTheme="minorHAnsi" w:cstheme="minorHAnsi"/>
          <w:sz w:val="20"/>
          <w:szCs w:val="20"/>
        </w:rPr>
        <w:t>od dnia przystąpienia ACPRO do CSIRE — OIRE,</w:t>
      </w:r>
    </w:p>
    <w:p w14:paraId="57AEA879" w14:textId="61CEFDA4" w:rsidR="00272CD2" w:rsidRPr="00EB2E7B" w:rsidRDefault="00272CD2" w:rsidP="002F2E1D">
      <w:pPr>
        <w:pStyle w:val="aprzed"/>
        <w:numPr>
          <w:ilvl w:val="0"/>
          <w:numId w:val="389"/>
        </w:numPr>
        <w:ind w:left="1701" w:hanging="566"/>
        <w:rPr>
          <w:rFonts w:asciiTheme="minorHAnsi" w:hAnsiTheme="minorHAnsi" w:cstheme="minorHAnsi"/>
          <w:sz w:val="20"/>
          <w:szCs w:val="20"/>
        </w:rPr>
      </w:pPr>
      <w:r w:rsidRPr="00EB2E7B">
        <w:rPr>
          <w:rFonts w:asciiTheme="minorHAnsi" w:hAnsiTheme="minorHAnsi" w:cstheme="minorHAnsi"/>
          <w:sz w:val="20"/>
          <w:szCs w:val="20"/>
        </w:rPr>
        <w:t>ACPRO,</w:t>
      </w:r>
    </w:p>
    <w:p w14:paraId="6281FEED" w14:textId="463280CF" w:rsidR="00272CD2" w:rsidRPr="00EB2E7B" w:rsidRDefault="00272CD2" w:rsidP="002F2E1D">
      <w:pPr>
        <w:pStyle w:val="aprzed"/>
        <w:numPr>
          <w:ilvl w:val="0"/>
          <w:numId w:val="389"/>
        </w:numPr>
        <w:ind w:left="1701" w:hanging="566"/>
        <w:rPr>
          <w:rFonts w:asciiTheme="minorHAnsi" w:hAnsiTheme="minorHAnsi" w:cstheme="minorHAnsi"/>
          <w:sz w:val="20"/>
          <w:szCs w:val="20"/>
        </w:rPr>
      </w:pPr>
      <w:r w:rsidRPr="00EB2E7B">
        <w:rPr>
          <w:rFonts w:asciiTheme="minorHAnsi" w:hAnsiTheme="minorHAnsi" w:cstheme="minorHAnsi"/>
          <w:sz w:val="20"/>
          <w:szCs w:val="20"/>
        </w:rPr>
        <w:t>sprzedawcami,</w:t>
      </w:r>
    </w:p>
    <w:p w14:paraId="301DA330" w14:textId="6526EBDA" w:rsidR="00272CD2" w:rsidRPr="00EB2E7B" w:rsidRDefault="00272CD2" w:rsidP="002F2E1D">
      <w:pPr>
        <w:pStyle w:val="aprzed"/>
        <w:numPr>
          <w:ilvl w:val="0"/>
          <w:numId w:val="389"/>
        </w:numPr>
        <w:ind w:left="1701" w:hanging="566"/>
        <w:rPr>
          <w:rFonts w:asciiTheme="minorHAnsi" w:hAnsiTheme="minorHAnsi" w:cstheme="minorHAnsi"/>
          <w:sz w:val="20"/>
          <w:szCs w:val="20"/>
        </w:rPr>
      </w:pPr>
      <w:r w:rsidRPr="00EB2E7B">
        <w:rPr>
          <w:rFonts w:asciiTheme="minorHAnsi" w:hAnsiTheme="minorHAnsi" w:cstheme="minorHAnsi"/>
          <w:sz w:val="20"/>
          <w:szCs w:val="20"/>
        </w:rPr>
        <w:t>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w:t>
      </w:r>
    </w:p>
    <w:p w14:paraId="7C0A4126" w14:textId="2F0AA744" w:rsidR="00272CD2" w:rsidRPr="00EB2E7B" w:rsidRDefault="00272CD2" w:rsidP="002F2E1D">
      <w:pPr>
        <w:pStyle w:val="aprzed"/>
        <w:numPr>
          <w:ilvl w:val="0"/>
          <w:numId w:val="389"/>
        </w:numPr>
        <w:ind w:left="1701" w:hanging="566"/>
        <w:rPr>
          <w:rFonts w:asciiTheme="minorHAnsi" w:hAnsiTheme="minorHAnsi" w:cstheme="minorHAnsi"/>
          <w:sz w:val="20"/>
          <w:szCs w:val="20"/>
        </w:rPr>
      </w:pPr>
      <w:r w:rsidRPr="00EB2E7B">
        <w:rPr>
          <w:rFonts w:asciiTheme="minorHAnsi" w:hAnsiTheme="minorHAnsi" w:cstheme="minorHAnsi"/>
          <w:sz w:val="20"/>
          <w:szCs w:val="20"/>
        </w:rPr>
        <w:t>DUB,</w:t>
      </w:r>
    </w:p>
    <w:p w14:paraId="30725168" w14:textId="77777777" w:rsidR="00272CD2" w:rsidRPr="00EB2E7B" w:rsidRDefault="00272CD2" w:rsidP="002F2E1D">
      <w:pPr>
        <w:pStyle w:val="aprzed"/>
        <w:numPr>
          <w:ilvl w:val="0"/>
          <w:numId w:val="389"/>
        </w:numPr>
        <w:ind w:left="1701" w:hanging="566"/>
        <w:rPr>
          <w:rFonts w:asciiTheme="minorHAnsi" w:hAnsiTheme="minorHAnsi" w:cstheme="minorHAnsi"/>
          <w:sz w:val="20"/>
          <w:szCs w:val="20"/>
        </w:rPr>
      </w:pPr>
      <w:r w:rsidRPr="00EB2E7B">
        <w:rPr>
          <w:rFonts w:asciiTheme="minorHAnsi" w:hAnsiTheme="minorHAnsi" w:cstheme="minorHAnsi"/>
          <w:sz w:val="20"/>
          <w:szCs w:val="20"/>
        </w:rPr>
        <w:t>OHT,</w:t>
      </w:r>
    </w:p>
    <w:p w14:paraId="2CA9CD56" w14:textId="327D15A4" w:rsidR="00272CD2" w:rsidRPr="00EB2E7B" w:rsidRDefault="00272CD2" w:rsidP="002F2E1D">
      <w:pPr>
        <w:pStyle w:val="aprzed"/>
        <w:numPr>
          <w:ilvl w:val="0"/>
          <w:numId w:val="389"/>
        </w:numPr>
        <w:ind w:left="1701" w:hanging="566"/>
        <w:rPr>
          <w:rFonts w:asciiTheme="minorHAnsi" w:hAnsiTheme="minorHAnsi" w:cstheme="minorHAnsi"/>
          <w:sz w:val="20"/>
          <w:szCs w:val="20"/>
        </w:rPr>
      </w:pPr>
      <w:r w:rsidRPr="00EB2E7B">
        <w:rPr>
          <w:rFonts w:asciiTheme="minorHAnsi" w:hAnsiTheme="minorHAnsi" w:cstheme="minorHAnsi"/>
          <w:sz w:val="20"/>
          <w:szCs w:val="20"/>
        </w:rPr>
        <w:t>OH,</w:t>
      </w:r>
    </w:p>
    <w:p w14:paraId="09372BD2" w14:textId="072468BA" w:rsidR="00272CD2" w:rsidRPr="00EB2E7B" w:rsidRDefault="00272CD2" w:rsidP="002F2E1D">
      <w:pPr>
        <w:pStyle w:val="aprzed"/>
        <w:numPr>
          <w:ilvl w:val="0"/>
          <w:numId w:val="389"/>
        </w:numPr>
        <w:ind w:left="1701" w:hanging="566"/>
        <w:rPr>
          <w:rFonts w:asciiTheme="minorHAnsi" w:hAnsiTheme="minorHAnsi" w:cstheme="minorHAnsi"/>
          <w:sz w:val="20"/>
          <w:szCs w:val="20"/>
        </w:rPr>
      </w:pPr>
      <w:r w:rsidRPr="00EB2E7B">
        <w:rPr>
          <w:rFonts w:asciiTheme="minorHAnsi" w:hAnsiTheme="minorHAnsi" w:cstheme="minorHAnsi"/>
          <w:sz w:val="20"/>
          <w:szCs w:val="20"/>
        </w:rPr>
        <w:t>OP</w:t>
      </w:r>
    </w:p>
    <w:p w14:paraId="01AF2E19" w14:textId="1B8467C8" w:rsidR="00272CD2" w:rsidRPr="00EB2E7B" w:rsidRDefault="00272CD2"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oraz innymi użytkownikami systemu, w tym odbiorcami, wytwórcami, posiadaczami magazynów energii elektrycznej oraz operatorami ogólnodostępnych stacji ładowania („OOSŁ”).</w:t>
      </w:r>
    </w:p>
    <w:p w14:paraId="53ED9D15" w14:textId="786C92FD" w:rsidR="00272CD2" w:rsidRPr="00EB2E7B" w:rsidRDefault="00272CD2">
      <w:pPr>
        <w:pStyle w:val="Nagwek2"/>
        <w:rPr>
          <w:rFonts w:asciiTheme="minorHAnsi" w:hAnsiTheme="minorHAnsi" w:cstheme="minorHAnsi"/>
          <w:b w:val="0"/>
          <w:sz w:val="20"/>
          <w:szCs w:val="20"/>
        </w:rPr>
      </w:pPr>
      <w:bookmarkStart w:id="314" w:name="_Toc239333336"/>
      <w:bookmarkStart w:id="315" w:name="_Toc189833716"/>
      <w:r w:rsidRPr="00EB2E7B">
        <w:rPr>
          <w:rFonts w:asciiTheme="minorHAnsi" w:hAnsiTheme="minorHAnsi" w:cstheme="minorHAnsi"/>
          <w:b w:val="0"/>
          <w:sz w:val="20"/>
          <w:szCs w:val="20"/>
        </w:rPr>
        <w:t xml:space="preserve">Zasady i zakres współpracy ACPRO z operatorem systemu przesyłowego są określone w niniejszej </w:t>
      </w:r>
      <w:proofErr w:type="spellStart"/>
      <w:r w:rsidRPr="00EB2E7B">
        <w:rPr>
          <w:rFonts w:asciiTheme="minorHAnsi" w:hAnsiTheme="minorHAnsi" w:cstheme="minorHAnsi"/>
          <w:b w:val="0"/>
          <w:sz w:val="20"/>
          <w:szCs w:val="20"/>
        </w:rPr>
        <w:t>IRiESD</w:t>
      </w:r>
      <w:proofErr w:type="spellEnd"/>
      <w:r w:rsidRPr="00EB2E7B">
        <w:rPr>
          <w:rFonts w:asciiTheme="minorHAnsi" w:hAnsiTheme="minorHAnsi" w:cstheme="minorHAnsi"/>
          <w:b w:val="0"/>
          <w:sz w:val="20"/>
          <w:szCs w:val="20"/>
        </w:rPr>
        <w:t xml:space="preserve"> oraz </w:t>
      </w:r>
      <w:proofErr w:type="spellStart"/>
      <w:r w:rsidRPr="00EB2E7B">
        <w:rPr>
          <w:rFonts w:asciiTheme="minorHAnsi" w:hAnsiTheme="minorHAnsi" w:cstheme="minorHAnsi"/>
          <w:b w:val="0"/>
          <w:sz w:val="20"/>
          <w:szCs w:val="20"/>
        </w:rPr>
        <w:t>IRiESP</w:t>
      </w:r>
      <w:proofErr w:type="spellEnd"/>
      <w:r w:rsidRPr="00EB2E7B">
        <w:rPr>
          <w:rFonts w:asciiTheme="minorHAnsi" w:hAnsiTheme="minorHAnsi" w:cstheme="minorHAnsi"/>
          <w:b w:val="0"/>
          <w:sz w:val="20"/>
          <w:szCs w:val="20"/>
        </w:rPr>
        <w:t>.</w:t>
      </w:r>
      <w:bookmarkEnd w:id="314"/>
      <w:r w:rsidRPr="00EB2E7B">
        <w:rPr>
          <w:rFonts w:asciiTheme="minorHAnsi" w:hAnsiTheme="minorHAnsi" w:cstheme="minorHAnsi"/>
          <w:b w:val="0"/>
          <w:sz w:val="20"/>
          <w:szCs w:val="20"/>
        </w:rPr>
        <w:t xml:space="preserve"> </w:t>
      </w:r>
      <w:bookmarkEnd w:id="315"/>
    </w:p>
    <w:p w14:paraId="68E8AB1C" w14:textId="1FDF8195" w:rsidR="00531154" w:rsidRPr="00EB2E7B" w:rsidRDefault="00531154">
      <w:pPr>
        <w:pStyle w:val="Nagwek2"/>
        <w:rPr>
          <w:rFonts w:asciiTheme="minorHAnsi" w:hAnsiTheme="minorHAnsi" w:cstheme="minorHAnsi"/>
          <w:b w:val="0"/>
          <w:sz w:val="20"/>
          <w:szCs w:val="20"/>
        </w:rPr>
      </w:pPr>
      <w:bookmarkStart w:id="316" w:name="_Ref189084661"/>
      <w:bookmarkStart w:id="317" w:name="_Toc189833717"/>
      <w:bookmarkStart w:id="318" w:name="_Toc239333337"/>
      <w:r w:rsidRPr="00EB2E7B">
        <w:rPr>
          <w:rFonts w:asciiTheme="minorHAnsi" w:hAnsiTheme="minorHAnsi" w:cstheme="minorHAnsi"/>
          <w:b w:val="0"/>
          <w:sz w:val="20"/>
          <w:szCs w:val="20"/>
        </w:rPr>
        <w:t xml:space="preserve">ACPRO oraz OSDn realizuje określone w Ustawie, </w:t>
      </w:r>
      <w:proofErr w:type="spellStart"/>
      <w:r w:rsidRPr="00EB2E7B">
        <w:rPr>
          <w:rFonts w:asciiTheme="minorHAnsi" w:hAnsiTheme="minorHAnsi" w:cstheme="minorHAnsi"/>
          <w:b w:val="0"/>
          <w:sz w:val="20"/>
          <w:szCs w:val="20"/>
        </w:rPr>
        <w:t>IRiESP</w:t>
      </w:r>
      <w:proofErr w:type="spellEnd"/>
      <w:r w:rsidRPr="00EB2E7B">
        <w:rPr>
          <w:rFonts w:asciiTheme="minorHAnsi" w:hAnsiTheme="minorHAnsi" w:cstheme="minorHAnsi"/>
          <w:b w:val="0"/>
          <w:sz w:val="20"/>
          <w:szCs w:val="20"/>
        </w:rPr>
        <w:t xml:space="preserve">, WDB oraz </w:t>
      </w:r>
      <w:proofErr w:type="spellStart"/>
      <w:r w:rsidRPr="00EB2E7B">
        <w:rPr>
          <w:rFonts w:asciiTheme="minorHAnsi" w:hAnsiTheme="minorHAnsi" w:cstheme="minorHAnsi"/>
          <w:b w:val="0"/>
          <w:sz w:val="20"/>
          <w:szCs w:val="20"/>
        </w:rPr>
        <w:t>IRiESD</w:t>
      </w:r>
      <w:proofErr w:type="spellEnd"/>
      <w:r w:rsidRPr="00EB2E7B">
        <w:rPr>
          <w:rFonts w:asciiTheme="minorHAnsi" w:hAnsiTheme="minorHAnsi" w:cstheme="minorHAnsi"/>
          <w:b w:val="0"/>
          <w:sz w:val="20"/>
          <w:szCs w:val="20"/>
        </w:rPr>
        <w:t xml:space="preserve"> obowiązki w zakresie współpracy z OSP za pośrednictwem </w:t>
      </w:r>
      <w:proofErr w:type="spellStart"/>
      <w:r w:rsidRPr="00EB2E7B">
        <w:rPr>
          <w:rFonts w:asciiTheme="minorHAnsi" w:hAnsiTheme="minorHAnsi" w:cstheme="minorHAnsi"/>
          <w:b w:val="0"/>
          <w:sz w:val="20"/>
          <w:szCs w:val="20"/>
        </w:rPr>
        <w:t>OSDp</w:t>
      </w:r>
      <w:proofErr w:type="spellEnd"/>
      <w:r w:rsidRPr="00EB2E7B">
        <w:rPr>
          <w:rFonts w:asciiTheme="minorHAnsi" w:hAnsiTheme="minorHAnsi" w:cstheme="minorHAnsi"/>
          <w:b w:val="0"/>
          <w:sz w:val="20"/>
          <w:szCs w:val="20"/>
        </w:rPr>
        <w:t>, z którego siecią jest połączony</w:t>
      </w:r>
      <w:r w:rsidR="00D27034" w:rsidRPr="00EB2E7B">
        <w:rPr>
          <w:rFonts w:asciiTheme="minorHAnsi" w:hAnsiTheme="minorHAnsi" w:cstheme="minorHAnsi"/>
          <w:b w:val="0"/>
          <w:sz w:val="20"/>
          <w:szCs w:val="20"/>
        </w:rPr>
        <w:t xml:space="preserve"> ACPRO</w:t>
      </w:r>
      <w:r w:rsidR="00AE514A" w:rsidRPr="00EB2E7B">
        <w:rPr>
          <w:rFonts w:asciiTheme="minorHAnsi" w:hAnsiTheme="minorHAnsi" w:cstheme="minorHAnsi"/>
          <w:b w:val="0"/>
          <w:sz w:val="20"/>
          <w:szCs w:val="20"/>
        </w:rPr>
        <w:t xml:space="preserve">. </w:t>
      </w:r>
      <w:proofErr w:type="spellStart"/>
      <w:r w:rsidR="00AE514A" w:rsidRPr="00EB2E7B">
        <w:rPr>
          <w:rFonts w:asciiTheme="minorHAnsi" w:hAnsiTheme="minorHAnsi" w:cstheme="minorHAnsi"/>
          <w:b w:val="0"/>
          <w:sz w:val="20"/>
          <w:szCs w:val="20"/>
        </w:rPr>
        <w:t>OSDp</w:t>
      </w:r>
      <w:proofErr w:type="spellEnd"/>
      <w:r w:rsidRPr="00EB2E7B">
        <w:rPr>
          <w:rFonts w:asciiTheme="minorHAnsi" w:hAnsiTheme="minorHAnsi" w:cstheme="minorHAnsi"/>
          <w:b w:val="0"/>
          <w:sz w:val="20"/>
          <w:szCs w:val="20"/>
        </w:rPr>
        <w:t xml:space="preserve">  jednocześnie posiada bezpośrednie połączenie z siecią przesyłową</w:t>
      </w:r>
      <w:r w:rsidRPr="00EB2E7B">
        <w:rPr>
          <w:rFonts w:asciiTheme="minorHAnsi" w:eastAsia="Arial" w:hAnsiTheme="minorHAnsi" w:cstheme="minorHAnsi"/>
          <w:b w:val="0"/>
          <w:sz w:val="20"/>
          <w:szCs w:val="20"/>
        </w:rPr>
        <w:t>.</w:t>
      </w:r>
      <w:bookmarkEnd w:id="316"/>
      <w:bookmarkEnd w:id="317"/>
      <w:bookmarkEnd w:id="318"/>
    </w:p>
    <w:p w14:paraId="1EC579FC" w14:textId="2D9237BE" w:rsidR="001A04AC" w:rsidRPr="00EB2E7B" w:rsidRDefault="001A04AC">
      <w:pPr>
        <w:pStyle w:val="Nagwek2"/>
        <w:rPr>
          <w:rFonts w:asciiTheme="minorHAnsi" w:hAnsiTheme="minorHAnsi" w:cstheme="minorHAnsi"/>
          <w:b w:val="0"/>
          <w:sz w:val="20"/>
          <w:szCs w:val="20"/>
        </w:rPr>
      </w:pPr>
      <w:bookmarkStart w:id="319" w:name="_Toc189833718"/>
      <w:bookmarkStart w:id="320" w:name="_Toc239333338"/>
      <w:r w:rsidRPr="00EB2E7B">
        <w:rPr>
          <w:rFonts w:asciiTheme="minorHAnsi" w:hAnsiTheme="minorHAnsi" w:cstheme="minorHAnsi"/>
          <w:b w:val="0"/>
          <w:sz w:val="20"/>
          <w:szCs w:val="20"/>
        </w:rPr>
        <w:t xml:space="preserve">Zasady i zakres współpracy ACPRO z OSDn oraz ACPRO z </w:t>
      </w:r>
      <w:proofErr w:type="spellStart"/>
      <w:r w:rsidRPr="00EB2E7B">
        <w:rPr>
          <w:rFonts w:asciiTheme="minorHAnsi" w:hAnsiTheme="minorHAnsi" w:cstheme="minorHAnsi"/>
          <w:b w:val="0"/>
          <w:sz w:val="20"/>
          <w:szCs w:val="20"/>
        </w:rPr>
        <w:t>OSDp</w:t>
      </w:r>
      <w:proofErr w:type="spellEnd"/>
      <w:r w:rsidRPr="00EB2E7B">
        <w:rPr>
          <w:rFonts w:asciiTheme="minorHAnsi" w:hAnsiTheme="minorHAnsi" w:cstheme="minorHAnsi"/>
          <w:b w:val="0"/>
          <w:sz w:val="20"/>
          <w:szCs w:val="20"/>
        </w:rPr>
        <w:t xml:space="preserve"> są określone w </w:t>
      </w:r>
      <w:proofErr w:type="spellStart"/>
      <w:r w:rsidRPr="00EB2E7B">
        <w:rPr>
          <w:rFonts w:asciiTheme="minorHAnsi" w:hAnsiTheme="minorHAnsi" w:cstheme="minorHAnsi"/>
          <w:b w:val="0"/>
          <w:sz w:val="20"/>
          <w:szCs w:val="20"/>
        </w:rPr>
        <w:t>IRiESP</w:t>
      </w:r>
      <w:proofErr w:type="spellEnd"/>
      <w:r w:rsidRPr="00EB2E7B">
        <w:rPr>
          <w:rFonts w:asciiTheme="minorHAnsi" w:hAnsiTheme="minorHAnsi" w:cstheme="minorHAnsi"/>
          <w:b w:val="0"/>
          <w:sz w:val="20"/>
          <w:szCs w:val="20"/>
        </w:rPr>
        <w:t xml:space="preserve">, WDB i </w:t>
      </w:r>
      <w:proofErr w:type="spellStart"/>
      <w:r w:rsidRPr="00EB2E7B">
        <w:rPr>
          <w:rFonts w:asciiTheme="minorHAnsi" w:hAnsiTheme="minorHAnsi" w:cstheme="minorHAnsi"/>
          <w:b w:val="0"/>
          <w:sz w:val="20"/>
          <w:szCs w:val="20"/>
        </w:rPr>
        <w:t>IRiESD</w:t>
      </w:r>
      <w:proofErr w:type="spellEnd"/>
      <w:r w:rsidRPr="00EB2E7B">
        <w:rPr>
          <w:rFonts w:asciiTheme="minorHAnsi" w:hAnsiTheme="minorHAnsi" w:cstheme="minorHAnsi"/>
          <w:b w:val="0"/>
          <w:sz w:val="20"/>
          <w:szCs w:val="20"/>
        </w:rPr>
        <w:t xml:space="preserve"> oraz w IWR, a także w stosownych umowach zawartych pomiędzy ACPRO a OSDn , oraz ACPRO a </w:t>
      </w:r>
      <w:proofErr w:type="spellStart"/>
      <w:r w:rsidRPr="00EB2E7B">
        <w:rPr>
          <w:rFonts w:asciiTheme="minorHAnsi" w:hAnsiTheme="minorHAnsi" w:cstheme="minorHAnsi"/>
          <w:b w:val="0"/>
          <w:sz w:val="20"/>
          <w:szCs w:val="20"/>
        </w:rPr>
        <w:t>OSDp</w:t>
      </w:r>
      <w:proofErr w:type="spellEnd"/>
      <w:r w:rsidRPr="00EB2E7B">
        <w:rPr>
          <w:rFonts w:asciiTheme="minorHAnsi" w:hAnsiTheme="minorHAnsi" w:cstheme="minorHAnsi"/>
          <w:b w:val="0"/>
          <w:sz w:val="20"/>
          <w:szCs w:val="20"/>
        </w:rPr>
        <w:t xml:space="preserve">  przy czym:</w:t>
      </w:r>
      <w:bookmarkEnd w:id="319"/>
      <w:bookmarkEnd w:id="320"/>
    </w:p>
    <w:p w14:paraId="53533115" w14:textId="47D45785" w:rsidR="001A04AC" w:rsidRPr="00EB2E7B" w:rsidRDefault="001A04AC" w:rsidP="00255D39">
      <w:pPr>
        <w:pStyle w:val="aprzed"/>
        <w:numPr>
          <w:ilvl w:val="0"/>
          <w:numId w:val="212"/>
        </w:numPr>
        <w:ind w:left="1701" w:hanging="566"/>
        <w:rPr>
          <w:rFonts w:asciiTheme="minorHAnsi" w:hAnsiTheme="minorHAnsi" w:cstheme="minorHAnsi"/>
          <w:sz w:val="20"/>
          <w:szCs w:val="20"/>
        </w:rPr>
      </w:pPr>
      <w:bookmarkStart w:id="321" w:name="_Ref190167834"/>
      <w:r w:rsidRPr="00EB2E7B">
        <w:rPr>
          <w:rFonts w:asciiTheme="minorHAnsi" w:hAnsiTheme="minorHAnsi" w:cstheme="minorHAnsi"/>
          <w:sz w:val="20"/>
          <w:szCs w:val="20"/>
        </w:rPr>
        <w:t xml:space="preserve">w przypadku, gdy OSDn oraz ACPRO będący jednocześnie OSDn posiada bezpośrednie połączenia z siecią dystrybucyjną </w:t>
      </w:r>
      <w:proofErr w:type="spellStart"/>
      <w:r w:rsidRPr="00EB2E7B">
        <w:rPr>
          <w:rFonts w:asciiTheme="minorHAnsi" w:hAnsiTheme="minorHAnsi" w:cstheme="minorHAnsi"/>
          <w:sz w:val="20"/>
          <w:szCs w:val="20"/>
        </w:rPr>
        <w:t>OSDp</w:t>
      </w:r>
      <w:proofErr w:type="spellEnd"/>
      <w:r w:rsidRPr="00EB2E7B" w:rsidDel="00517C05">
        <w:rPr>
          <w:rFonts w:asciiTheme="minorHAnsi" w:hAnsiTheme="minorHAnsi" w:cstheme="minorHAnsi"/>
          <w:sz w:val="20"/>
          <w:szCs w:val="20"/>
        </w:rPr>
        <w:t xml:space="preserve"> oraz innych </w:t>
      </w:r>
      <w:proofErr w:type="spellStart"/>
      <w:r w:rsidRPr="00EB2E7B" w:rsidDel="00517C05">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współpraca z OSP jest realizowania przez tego OSDn lub ACPRO za pośrednictwem </w:t>
      </w:r>
      <w:proofErr w:type="spellStart"/>
      <w:r w:rsidRPr="00EB2E7B">
        <w:rPr>
          <w:rFonts w:asciiTheme="minorHAnsi" w:hAnsiTheme="minorHAnsi" w:cstheme="minorHAnsi"/>
          <w:sz w:val="20"/>
          <w:szCs w:val="20"/>
        </w:rPr>
        <w:t>OSDp</w:t>
      </w:r>
      <w:proofErr w:type="spellEnd"/>
      <w:r w:rsidRPr="00EB2E7B" w:rsidDel="00753D88">
        <w:rPr>
          <w:rFonts w:asciiTheme="minorHAnsi" w:hAnsiTheme="minorHAnsi" w:cstheme="minorHAnsi"/>
          <w:sz w:val="20"/>
          <w:szCs w:val="20"/>
        </w:rPr>
        <w:t xml:space="preserve"> lub innych </w:t>
      </w:r>
      <w:proofErr w:type="spellStart"/>
      <w:r w:rsidRPr="00EB2E7B" w:rsidDel="00753D88">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odpowiednio do obszaru sieci dystrybucyjnej OSDn lub ACPRO i obszaru sieci dystrybucyjnej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 danego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bookmarkEnd w:id="321"/>
    </w:p>
    <w:p w14:paraId="0D660B20" w14:textId="6C673979" w:rsidR="001A04AC" w:rsidRPr="00EB2E7B" w:rsidRDefault="001A04AC" w:rsidP="00255D39">
      <w:pPr>
        <w:pStyle w:val="aprzed"/>
        <w:numPr>
          <w:ilvl w:val="0"/>
          <w:numId w:val="212"/>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 przypadku gdy OSDn nie posiada bezpośrednich połączeń z siecią dystrybucyjną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to taki OSDn realizuje obowiązki w zakresie współpracy z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którego sieci przyłączony jest podmiot, z którym połączona jest sieć OSDn, z uwzględnieniem postanowień lit. </w:t>
      </w:r>
      <w:r w:rsidR="00725C4C" w:rsidRPr="00EB2E7B">
        <w:rPr>
          <w:rFonts w:asciiTheme="minorHAnsi" w:hAnsiTheme="minorHAnsi" w:cstheme="minorHAnsi"/>
          <w:sz w:val="20"/>
          <w:szCs w:val="20"/>
        </w:rPr>
        <w:fldChar w:fldCharType="begin"/>
      </w:r>
      <w:r w:rsidR="00725C4C" w:rsidRPr="00EB2E7B">
        <w:rPr>
          <w:rFonts w:asciiTheme="minorHAnsi" w:hAnsiTheme="minorHAnsi" w:cstheme="minorHAnsi"/>
          <w:sz w:val="20"/>
          <w:szCs w:val="20"/>
        </w:rPr>
        <w:instrText xml:space="preserve"> REF _Ref190167834 \w \h  \* MERGEFORMAT </w:instrText>
      </w:r>
      <w:r w:rsidR="00725C4C" w:rsidRPr="00EB2E7B">
        <w:rPr>
          <w:rFonts w:asciiTheme="minorHAnsi" w:hAnsiTheme="minorHAnsi" w:cstheme="minorHAnsi"/>
          <w:sz w:val="20"/>
          <w:szCs w:val="20"/>
        </w:rPr>
      </w:r>
      <w:r w:rsidR="00725C4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725C4C"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7C0D9E6" w14:textId="725F0A1D" w:rsidR="00255D39" w:rsidRPr="00EB2E7B" w:rsidRDefault="00255D39">
      <w:pPr>
        <w:pStyle w:val="Nagwek2"/>
        <w:rPr>
          <w:rFonts w:asciiTheme="minorHAnsi" w:hAnsiTheme="minorHAnsi" w:cstheme="minorHAnsi"/>
          <w:b w:val="0"/>
          <w:sz w:val="20"/>
          <w:szCs w:val="20"/>
        </w:rPr>
      </w:pPr>
      <w:bookmarkStart w:id="322" w:name="_Toc189833719"/>
      <w:bookmarkStart w:id="323" w:name="_Toc239333339"/>
      <w:r w:rsidRPr="00EB2E7B">
        <w:rPr>
          <w:rFonts w:asciiTheme="minorHAnsi" w:hAnsiTheme="minorHAnsi" w:cstheme="minorHAnsi"/>
          <w:b w:val="0"/>
          <w:sz w:val="20"/>
          <w:szCs w:val="20"/>
        </w:rPr>
        <w:t xml:space="preserve">Szczegółowe zasady współpracy pomiędzy operatorami systemów dystrybucyjnych, oraz pomiędzy operatorami a użytkownikami systemu są określone w rozdziałach </w:t>
      </w:r>
      <w:r w:rsidRPr="00EB2E7B">
        <w:rPr>
          <w:rFonts w:asciiTheme="minorHAnsi" w:hAnsiTheme="minorHAnsi" w:cstheme="minorHAnsi"/>
          <w:b w:val="0"/>
          <w:sz w:val="20"/>
          <w:szCs w:val="20"/>
        </w:rPr>
        <w:fldChar w:fldCharType="begin"/>
      </w:r>
      <w:r w:rsidRPr="00EB2E7B">
        <w:rPr>
          <w:rFonts w:asciiTheme="minorHAnsi" w:hAnsiTheme="minorHAnsi" w:cstheme="minorHAnsi"/>
          <w:b w:val="0"/>
          <w:sz w:val="20"/>
          <w:szCs w:val="20"/>
        </w:rPr>
        <w:instrText xml:space="preserve"> REF _Ref75516589 \r \h </w:instrText>
      </w:r>
      <w:r w:rsidR="00867F52" w:rsidRPr="00EB2E7B">
        <w:rPr>
          <w:rFonts w:asciiTheme="minorHAnsi" w:hAnsiTheme="minorHAnsi" w:cstheme="minorHAnsi"/>
          <w:b w:val="0"/>
          <w:bCs/>
          <w:sz w:val="20"/>
          <w:szCs w:val="20"/>
        </w:rPr>
        <w:instrText xml:space="preserve"> \* MERGEFORMAT </w:instrText>
      </w:r>
      <w:r w:rsidRPr="00EB2E7B">
        <w:rPr>
          <w:rFonts w:asciiTheme="minorHAnsi" w:hAnsiTheme="minorHAnsi" w:cstheme="minorHAnsi"/>
          <w:b w:val="0"/>
          <w:sz w:val="20"/>
          <w:szCs w:val="20"/>
        </w:rPr>
      </w:r>
      <w:r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II</w:t>
      </w:r>
      <w:r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xml:space="preserve">, </w:t>
      </w:r>
      <w:r w:rsidRPr="00EB2E7B">
        <w:rPr>
          <w:rFonts w:asciiTheme="minorHAnsi" w:hAnsiTheme="minorHAnsi" w:cstheme="minorHAnsi"/>
          <w:b w:val="0"/>
          <w:sz w:val="20"/>
          <w:szCs w:val="20"/>
        </w:rPr>
        <w:fldChar w:fldCharType="begin"/>
      </w:r>
      <w:r w:rsidRPr="00EB2E7B">
        <w:rPr>
          <w:rFonts w:asciiTheme="minorHAnsi" w:hAnsiTheme="minorHAnsi" w:cstheme="minorHAnsi"/>
          <w:b w:val="0"/>
          <w:sz w:val="20"/>
          <w:szCs w:val="20"/>
        </w:rPr>
        <w:instrText xml:space="preserve"> REF _Ref75516612 \r \h </w:instrText>
      </w:r>
      <w:r w:rsidR="00867F52" w:rsidRPr="00EB2E7B">
        <w:rPr>
          <w:rFonts w:asciiTheme="minorHAnsi" w:hAnsiTheme="minorHAnsi" w:cstheme="minorHAnsi"/>
          <w:b w:val="0"/>
          <w:bCs/>
          <w:sz w:val="20"/>
          <w:szCs w:val="20"/>
        </w:rPr>
        <w:instrText xml:space="preserve"> \* MERGEFORMAT </w:instrText>
      </w:r>
      <w:r w:rsidRPr="00EB2E7B">
        <w:rPr>
          <w:rFonts w:asciiTheme="minorHAnsi" w:hAnsiTheme="minorHAnsi" w:cstheme="minorHAnsi"/>
          <w:b w:val="0"/>
          <w:sz w:val="20"/>
          <w:szCs w:val="20"/>
        </w:rPr>
      </w:r>
      <w:r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III</w:t>
      </w:r>
      <w:r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xml:space="preserve">, </w:t>
      </w:r>
      <w:r w:rsidRPr="00EB2E7B">
        <w:rPr>
          <w:rFonts w:asciiTheme="minorHAnsi" w:hAnsiTheme="minorHAnsi" w:cstheme="minorHAnsi"/>
          <w:b w:val="0"/>
          <w:sz w:val="20"/>
          <w:szCs w:val="20"/>
        </w:rPr>
        <w:fldChar w:fldCharType="begin"/>
      </w:r>
      <w:r w:rsidRPr="00EB2E7B">
        <w:rPr>
          <w:rFonts w:asciiTheme="minorHAnsi" w:hAnsiTheme="minorHAnsi" w:cstheme="minorHAnsi"/>
          <w:b w:val="0"/>
          <w:sz w:val="20"/>
          <w:szCs w:val="20"/>
        </w:rPr>
        <w:instrText xml:space="preserve"> REF _Ref75516626 \r \h </w:instrText>
      </w:r>
      <w:r w:rsidR="00867F52" w:rsidRPr="00EB2E7B">
        <w:rPr>
          <w:rFonts w:asciiTheme="minorHAnsi" w:hAnsiTheme="minorHAnsi" w:cstheme="minorHAnsi"/>
          <w:b w:val="0"/>
          <w:bCs/>
          <w:sz w:val="20"/>
          <w:szCs w:val="20"/>
        </w:rPr>
        <w:instrText xml:space="preserve"> \* MERGEFORMAT </w:instrText>
      </w:r>
      <w:r w:rsidRPr="00EB2E7B">
        <w:rPr>
          <w:rFonts w:asciiTheme="minorHAnsi" w:hAnsiTheme="minorHAnsi" w:cstheme="minorHAnsi"/>
          <w:b w:val="0"/>
          <w:sz w:val="20"/>
          <w:szCs w:val="20"/>
        </w:rPr>
      </w:r>
      <w:r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IV</w:t>
      </w:r>
      <w:r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xml:space="preserve"> i </w:t>
      </w:r>
      <w:r w:rsidRPr="00EB2E7B">
        <w:rPr>
          <w:rFonts w:asciiTheme="minorHAnsi" w:hAnsiTheme="minorHAnsi" w:cstheme="minorHAnsi"/>
          <w:b w:val="0"/>
          <w:sz w:val="20"/>
          <w:szCs w:val="20"/>
        </w:rPr>
        <w:fldChar w:fldCharType="begin"/>
      </w:r>
      <w:r w:rsidRPr="00EB2E7B">
        <w:rPr>
          <w:rFonts w:asciiTheme="minorHAnsi" w:hAnsiTheme="minorHAnsi" w:cstheme="minorHAnsi"/>
          <w:b w:val="0"/>
          <w:sz w:val="20"/>
          <w:szCs w:val="20"/>
        </w:rPr>
        <w:instrText xml:space="preserve"> REF _Ref75516637 \r \h </w:instrText>
      </w:r>
      <w:r w:rsidR="00867F52" w:rsidRPr="00EB2E7B">
        <w:rPr>
          <w:rFonts w:asciiTheme="minorHAnsi" w:hAnsiTheme="minorHAnsi" w:cstheme="minorHAnsi"/>
          <w:b w:val="0"/>
          <w:bCs/>
          <w:sz w:val="20"/>
          <w:szCs w:val="20"/>
        </w:rPr>
        <w:instrText xml:space="preserve"> \* MERGEFORMAT </w:instrText>
      </w:r>
      <w:r w:rsidRPr="00EB2E7B">
        <w:rPr>
          <w:rFonts w:asciiTheme="minorHAnsi" w:hAnsiTheme="minorHAnsi" w:cstheme="minorHAnsi"/>
          <w:b w:val="0"/>
          <w:sz w:val="20"/>
          <w:szCs w:val="20"/>
        </w:rPr>
      </w:r>
      <w:r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VI</w:t>
      </w:r>
      <w:r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w:t>
      </w:r>
      <w:bookmarkEnd w:id="322"/>
      <w:bookmarkEnd w:id="323"/>
      <w:r w:rsidRPr="00EB2E7B">
        <w:rPr>
          <w:rFonts w:asciiTheme="minorHAnsi" w:hAnsiTheme="minorHAnsi" w:cstheme="minorHAnsi"/>
          <w:b w:val="0"/>
          <w:sz w:val="20"/>
          <w:szCs w:val="20"/>
        </w:rPr>
        <w:t xml:space="preserve"> </w:t>
      </w:r>
    </w:p>
    <w:p w14:paraId="16C72036" w14:textId="4F590D19" w:rsidR="00255D39" w:rsidRPr="00EB2E7B" w:rsidRDefault="00982F66">
      <w:pPr>
        <w:pStyle w:val="Nagwek2"/>
        <w:rPr>
          <w:rFonts w:asciiTheme="minorHAnsi" w:hAnsiTheme="minorHAnsi" w:cstheme="minorHAnsi"/>
          <w:b w:val="0"/>
          <w:sz w:val="20"/>
          <w:szCs w:val="20"/>
        </w:rPr>
      </w:pPr>
      <w:bookmarkStart w:id="324" w:name="_Toc189833720"/>
      <w:bookmarkStart w:id="325" w:name="_Toc239333340"/>
      <w:r w:rsidRPr="00EB2E7B">
        <w:rPr>
          <w:rFonts w:asciiTheme="minorHAnsi" w:hAnsiTheme="minorHAnsi" w:cstheme="minorHAnsi"/>
          <w:b w:val="0"/>
          <w:sz w:val="20"/>
          <w:szCs w:val="20"/>
        </w:rPr>
        <w:t xml:space="preserve">Współpraca ACPRO z operatorami handlowo-technicznymi, operatorami handlowymi oraz operatorami pomiarów jest określona w części </w:t>
      </w:r>
      <w:proofErr w:type="spellStart"/>
      <w:r w:rsidRPr="00EB2E7B">
        <w:rPr>
          <w:rFonts w:asciiTheme="minorHAnsi" w:hAnsiTheme="minorHAnsi" w:cstheme="minorHAnsi"/>
          <w:b w:val="0"/>
          <w:sz w:val="20"/>
          <w:szCs w:val="20"/>
        </w:rPr>
        <w:t>IRiESD</w:t>
      </w:r>
      <w:proofErr w:type="spellEnd"/>
      <w:r w:rsidRPr="00EB2E7B">
        <w:rPr>
          <w:rFonts w:asciiTheme="minorHAnsi" w:hAnsiTheme="minorHAnsi" w:cstheme="minorHAnsi"/>
          <w:b w:val="0"/>
          <w:sz w:val="20"/>
          <w:szCs w:val="20"/>
        </w:rPr>
        <w:t>-Bilansowanie.</w:t>
      </w:r>
      <w:bookmarkEnd w:id="324"/>
      <w:bookmarkEnd w:id="325"/>
    </w:p>
    <w:p w14:paraId="493AF376" w14:textId="6535AA8F" w:rsidR="00982F66" w:rsidRPr="00EB2E7B" w:rsidRDefault="00982F66">
      <w:pPr>
        <w:pStyle w:val="Nagwek2"/>
        <w:rPr>
          <w:rFonts w:asciiTheme="minorHAnsi" w:hAnsiTheme="minorHAnsi" w:cstheme="minorHAnsi"/>
          <w:b w:val="0"/>
          <w:sz w:val="20"/>
          <w:szCs w:val="20"/>
        </w:rPr>
      </w:pPr>
      <w:bookmarkStart w:id="326" w:name="_Toc189833721"/>
      <w:bookmarkStart w:id="327" w:name="_Toc239333341"/>
      <w:r w:rsidRPr="00EB2E7B">
        <w:rPr>
          <w:rFonts w:asciiTheme="minorHAnsi" w:hAnsiTheme="minorHAnsi" w:cstheme="minorHAnsi"/>
          <w:b w:val="0"/>
          <w:sz w:val="20"/>
          <w:szCs w:val="20"/>
        </w:rPr>
        <w:t>Operatorzy handlowo-technicznymi oraz operatorzy handlowi są zobowiązani do zawarcia stosownej umowy z operatorem systemu przesyłowego oraz z właściwymi operatorami systemu dystrybucyjnego, jeżeli ich działalność dotyczy podmiotów przyłączonych do sieci dystrybucyjnej.</w:t>
      </w:r>
      <w:bookmarkEnd w:id="326"/>
      <w:bookmarkEnd w:id="327"/>
      <w:r w:rsidRPr="00EB2E7B">
        <w:rPr>
          <w:rFonts w:asciiTheme="minorHAnsi" w:hAnsiTheme="minorHAnsi" w:cstheme="minorHAnsi"/>
          <w:b w:val="0"/>
          <w:sz w:val="20"/>
          <w:szCs w:val="20"/>
        </w:rPr>
        <w:t xml:space="preserve"> </w:t>
      </w:r>
    </w:p>
    <w:p w14:paraId="1D5B4DE3" w14:textId="672E5AF8" w:rsidR="009C00FD" w:rsidRPr="00EB2E7B" w:rsidRDefault="009C00FD">
      <w:pPr>
        <w:pStyle w:val="Nagwek2"/>
        <w:rPr>
          <w:rFonts w:asciiTheme="minorHAnsi" w:hAnsiTheme="minorHAnsi" w:cstheme="minorHAnsi"/>
          <w:b w:val="0"/>
          <w:sz w:val="20"/>
          <w:szCs w:val="20"/>
        </w:rPr>
      </w:pPr>
      <w:bookmarkStart w:id="328" w:name="_Toc189833722"/>
      <w:bookmarkStart w:id="329" w:name="_Ref189835568"/>
      <w:bookmarkStart w:id="330" w:name="_Ref190429106"/>
      <w:bookmarkStart w:id="331" w:name="_Toc239333342"/>
      <w:r w:rsidRPr="00EB2E7B">
        <w:rPr>
          <w:rFonts w:asciiTheme="minorHAnsi" w:hAnsiTheme="minorHAnsi" w:cstheme="minorHAnsi"/>
          <w:b w:val="0"/>
          <w:sz w:val="20"/>
          <w:szCs w:val="20"/>
        </w:rPr>
        <w:t>Zasady współpracy własnych służb dyspozytorskich ze służbami dyspozytorskimi innych operatorów systemów dystrybucyjnych, zawarte są w umowach i/lub w</w:t>
      </w:r>
      <w:r w:rsidR="00BB3373" w:rsidRPr="00EB2E7B">
        <w:rPr>
          <w:rFonts w:asciiTheme="minorHAnsi" w:hAnsiTheme="minorHAnsi" w:cstheme="minorHAnsi"/>
          <w:b w:val="0"/>
          <w:sz w:val="20"/>
          <w:szCs w:val="20"/>
        </w:rPr>
        <w:t> </w:t>
      </w:r>
      <w:r w:rsidRPr="00EB2E7B">
        <w:rPr>
          <w:rFonts w:asciiTheme="minorHAnsi" w:hAnsiTheme="minorHAnsi" w:cstheme="minorHAnsi"/>
          <w:b w:val="0"/>
          <w:sz w:val="20"/>
          <w:szCs w:val="20"/>
        </w:rPr>
        <w:t>instrukcjach współpracy.</w:t>
      </w:r>
      <w:bookmarkEnd w:id="328"/>
      <w:bookmarkEnd w:id="329"/>
      <w:bookmarkEnd w:id="330"/>
      <w:bookmarkEnd w:id="331"/>
    </w:p>
    <w:p w14:paraId="04F33919" w14:textId="4F78594C" w:rsidR="009C00FD" w:rsidRPr="00EB2E7B" w:rsidRDefault="009C00FD">
      <w:pPr>
        <w:pStyle w:val="Nagwek2"/>
        <w:rPr>
          <w:rFonts w:asciiTheme="minorHAnsi" w:hAnsiTheme="minorHAnsi" w:cstheme="minorHAnsi"/>
          <w:b w:val="0"/>
          <w:sz w:val="20"/>
          <w:szCs w:val="20"/>
        </w:rPr>
      </w:pPr>
      <w:bookmarkStart w:id="332" w:name="_Ref183607039"/>
      <w:bookmarkStart w:id="333" w:name="_Toc189833723"/>
      <w:bookmarkStart w:id="334" w:name="_Toc239333343"/>
      <w:r w:rsidRPr="00EB2E7B">
        <w:rPr>
          <w:rFonts w:asciiTheme="minorHAnsi" w:hAnsiTheme="minorHAnsi" w:cstheme="minorHAnsi"/>
          <w:b w:val="0"/>
          <w:sz w:val="20"/>
          <w:szCs w:val="20"/>
        </w:rPr>
        <w:t>Podmioty przyłączone do sieci dystrybucyjnej ACPRO o napięciu</w:t>
      </w:r>
      <w:r w:rsidR="008156C2" w:rsidRPr="00EB2E7B">
        <w:rPr>
          <w:rFonts w:asciiTheme="minorHAnsi" w:hAnsiTheme="minorHAnsi" w:cstheme="minorHAnsi"/>
          <w:b w:val="0"/>
          <w:sz w:val="20"/>
          <w:szCs w:val="20"/>
        </w:rPr>
        <w:t xml:space="preserve"> znamionowym wyższym niż 1 </w:t>
      </w:r>
      <w:proofErr w:type="spellStart"/>
      <w:r w:rsidR="008156C2" w:rsidRPr="00EB2E7B">
        <w:rPr>
          <w:rFonts w:asciiTheme="minorHAnsi" w:hAnsiTheme="minorHAnsi" w:cstheme="minorHAnsi"/>
          <w:b w:val="0"/>
          <w:sz w:val="20"/>
          <w:szCs w:val="20"/>
        </w:rPr>
        <w:t>kV</w:t>
      </w:r>
      <w:proofErr w:type="spellEnd"/>
      <w:r w:rsidR="008156C2" w:rsidRPr="00EB2E7B">
        <w:rPr>
          <w:rFonts w:asciiTheme="minorHAnsi" w:hAnsiTheme="minorHAnsi" w:cstheme="minorHAnsi"/>
          <w:b w:val="0"/>
          <w:sz w:val="20"/>
          <w:szCs w:val="20"/>
        </w:rPr>
        <w:t xml:space="preserve"> zaliczone do I, II, III i VI grupy przyłączeniowej</w:t>
      </w:r>
      <w:r w:rsidR="008156C2" w:rsidRPr="00EB2E7B" w:rsidDel="008156C2">
        <w:rPr>
          <w:rFonts w:asciiTheme="minorHAnsi" w:hAnsiTheme="minorHAnsi" w:cstheme="minorHAnsi"/>
          <w:b w:val="0"/>
          <w:sz w:val="20"/>
          <w:szCs w:val="20"/>
        </w:rPr>
        <w:t xml:space="preserve"> </w:t>
      </w:r>
      <w:r w:rsidR="008156C2" w:rsidRPr="00EB2E7B">
        <w:rPr>
          <w:rFonts w:asciiTheme="minorHAnsi" w:hAnsiTheme="minorHAnsi" w:cstheme="minorHAnsi"/>
          <w:b w:val="0"/>
          <w:sz w:val="20"/>
          <w:szCs w:val="20"/>
        </w:rPr>
        <w:t>oraz</w:t>
      </w:r>
      <w:r w:rsidR="00264F1F" w:rsidRPr="00EB2E7B">
        <w:rPr>
          <w:rFonts w:asciiTheme="minorHAnsi" w:hAnsiTheme="minorHAnsi" w:cstheme="minorHAnsi"/>
          <w:b w:val="0"/>
          <w:sz w:val="20"/>
          <w:szCs w:val="20"/>
        </w:rPr>
        <w:t>,</w:t>
      </w:r>
      <w:r w:rsidR="002A4F3F" w:rsidRPr="00EB2E7B">
        <w:rPr>
          <w:rFonts w:asciiTheme="minorHAnsi" w:hAnsiTheme="minorHAnsi" w:cstheme="minorHAnsi"/>
          <w:b w:val="0"/>
          <w:sz w:val="20"/>
          <w:szCs w:val="20"/>
        </w:rPr>
        <w:t xml:space="preserve"> wytwórcy</w:t>
      </w:r>
      <w:r w:rsidR="00F81E2B" w:rsidRPr="00EB2E7B">
        <w:rPr>
          <w:rFonts w:asciiTheme="minorHAnsi" w:hAnsiTheme="minorHAnsi" w:cstheme="minorHAnsi"/>
          <w:b w:val="0"/>
          <w:sz w:val="20"/>
          <w:szCs w:val="20"/>
        </w:rPr>
        <w:t xml:space="preserve"> niezależnie od poziomu napięcia sieci</w:t>
      </w:r>
      <w:r w:rsidR="002A4F3F" w:rsidRPr="00EB2E7B">
        <w:rPr>
          <w:rFonts w:asciiTheme="minorHAnsi" w:hAnsiTheme="minorHAnsi" w:cstheme="minorHAnsi"/>
          <w:b w:val="0"/>
          <w:sz w:val="20"/>
          <w:szCs w:val="20"/>
        </w:rPr>
        <w:t>,</w:t>
      </w:r>
      <w:r w:rsidRPr="00EB2E7B">
        <w:rPr>
          <w:rFonts w:asciiTheme="minorHAnsi" w:hAnsiTheme="minorHAnsi" w:cstheme="minorHAnsi"/>
          <w:b w:val="0"/>
          <w:sz w:val="20"/>
          <w:szCs w:val="20"/>
        </w:rPr>
        <w:t xml:space="preserve"> </w:t>
      </w:r>
      <w:r w:rsidRPr="00EB2E7B">
        <w:rPr>
          <w:rFonts w:asciiTheme="minorHAnsi" w:hAnsiTheme="minorHAnsi" w:cstheme="minorHAnsi"/>
          <w:b w:val="0"/>
          <w:sz w:val="20"/>
          <w:szCs w:val="20"/>
        </w:rPr>
        <w:lastRenderedPageBreak/>
        <w:t xml:space="preserve">a w szczególnych przypadkach także inne podmioty wskazane przez ACPRO, opracowują i uzgadniają z ACPRO instrukcje współpracy, które powinny uwzględniać wymagania określone w </w:t>
      </w:r>
      <w:proofErr w:type="spellStart"/>
      <w:r w:rsidRPr="00EB2E7B">
        <w:rPr>
          <w:rFonts w:asciiTheme="minorHAnsi" w:hAnsiTheme="minorHAnsi" w:cstheme="minorHAnsi"/>
          <w:b w:val="0"/>
          <w:sz w:val="20"/>
          <w:szCs w:val="20"/>
        </w:rPr>
        <w:t>IRiESD</w:t>
      </w:r>
      <w:proofErr w:type="spellEnd"/>
      <w:r w:rsidRPr="00EB2E7B">
        <w:rPr>
          <w:rFonts w:asciiTheme="minorHAnsi" w:hAnsiTheme="minorHAnsi" w:cstheme="minorHAnsi"/>
          <w:b w:val="0"/>
          <w:sz w:val="20"/>
          <w:szCs w:val="20"/>
        </w:rPr>
        <w:t>.</w:t>
      </w:r>
      <w:bookmarkEnd w:id="332"/>
      <w:bookmarkEnd w:id="333"/>
      <w:bookmarkEnd w:id="334"/>
    </w:p>
    <w:p w14:paraId="13A35CE4" w14:textId="6B273ED4" w:rsidR="009C00FD" w:rsidRPr="00EB2E7B" w:rsidRDefault="009C00FD">
      <w:pPr>
        <w:pStyle w:val="Nagwek2"/>
        <w:rPr>
          <w:rFonts w:asciiTheme="minorHAnsi" w:hAnsiTheme="minorHAnsi" w:cstheme="minorHAnsi"/>
          <w:b w:val="0"/>
          <w:sz w:val="20"/>
          <w:szCs w:val="20"/>
        </w:rPr>
      </w:pPr>
      <w:bookmarkStart w:id="335" w:name="_Toc189833724"/>
      <w:bookmarkStart w:id="336" w:name="_Toc239333344"/>
      <w:r w:rsidRPr="00EB2E7B">
        <w:rPr>
          <w:rFonts w:asciiTheme="minorHAnsi" w:hAnsiTheme="minorHAnsi" w:cstheme="minorHAnsi"/>
          <w:b w:val="0"/>
          <w:sz w:val="20"/>
          <w:szCs w:val="20"/>
        </w:rPr>
        <w:t>Przedmiotem instrukcji współpracy służb dyspozytorskich ACPRO ze służbami dyspozytorskimi innych operatorów systemów dystrybucyjnych, w tym OSDn, jest w zależności od potrzeb:</w:t>
      </w:r>
      <w:bookmarkEnd w:id="335"/>
      <w:bookmarkEnd w:id="336"/>
    </w:p>
    <w:p w14:paraId="35628897" w14:textId="77777777" w:rsidR="00663AEA"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podział kompetencji i odpowiedzialności w zakresie czynności łączeniowych i regulacyjnych,</w:t>
      </w:r>
    </w:p>
    <w:p w14:paraId="201ED416" w14:textId="77777777" w:rsidR="00663AEA"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organizacja przerw i ograniczeń w dostawach energii elektrycznej,</w:t>
      </w:r>
    </w:p>
    <w:p w14:paraId="59BB118E" w14:textId="77777777" w:rsidR="00663AEA"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określenie zasad i warunków związanych z wzajemnym wykorzystaniem elementów sieci dystrybucyjnej,</w:t>
      </w:r>
    </w:p>
    <w:p w14:paraId="789D4BF3" w14:textId="706D17A5" w:rsidR="00663AEA"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szczegółowe ustalenia sposobów realizacji poszczególnych zadań wymienionych w pkt.</w:t>
      </w:r>
      <w:r w:rsidR="00FA5C27" w:rsidRPr="00EB2E7B">
        <w:rPr>
          <w:rFonts w:asciiTheme="minorHAnsi" w:hAnsiTheme="minorHAnsi" w:cstheme="minorHAnsi"/>
          <w:sz w:val="20"/>
          <w:szCs w:val="20"/>
        </w:rPr>
        <w:t xml:space="preserve"> </w:t>
      </w:r>
      <w:r w:rsidR="00FA5C27" w:rsidRPr="00EB2E7B">
        <w:rPr>
          <w:rFonts w:asciiTheme="minorHAnsi" w:hAnsiTheme="minorHAnsi" w:cstheme="minorHAnsi"/>
          <w:sz w:val="20"/>
          <w:szCs w:val="20"/>
        </w:rPr>
        <w:fldChar w:fldCharType="begin"/>
      </w:r>
      <w:r w:rsidR="00FA5C27" w:rsidRPr="00EB2E7B">
        <w:rPr>
          <w:rFonts w:asciiTheme="minorHAnsi" w:hAnsiTheme="minorHAnsi" w:cstheme="minorHAnsi"/>
          <w:sz w:val="20"/>
          <w:szCs w:val="20"/>
        </w:rPr>
        <w:instrText xml:space="preserve"> REF _Ref75517121 \w \h  \* MERGEFORMAT </w:instrText>
      </w:r>
      <w:r w:rsidR="00FA5C27" w:rsidRPr="00EB2E7B">
        <w:rPr>
          <w:rFonts w:asciiTheme="minorHAnsi" w:hAnsiTheme="minorHAnsi" w:cstheme="minorHAnsi"/>
          <w:sz w:val="20"/>
          <w:szCs w:val="20"/>
        </w:rPr>
      </w:r>
      <w:r w:rsidR="00FA5C2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VI.1</w:t>
      </w:r>
      <w:r w:rsidR="00FA5C27"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4577A18A" w14:textId="77777777" w:rsidR="00663AEA"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określenie zasad wzajemnego wykorzystywania służb dyspozytorskich,</w:t>
      </w:r>
    </w:p>
    <w:p w14:paraId="197CF324" w14:textId="4DADD065" w:rsidR="00663AEA"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koordynacja pracy elektroenergetycznej automatyki zabezpieczeniowej i sieciowej,</w:t>
      </w:r>
    </w:p>
    <w:p w14:paraId="698874E8" w14:textId="77777777" w:rsidR="00663AEA"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wykazy osób upoważnionych do prowadzenia uzgodnień,</w:t>
      </w:r>
    </w:p>
    <w:p w14:paraId="32F9D767" w14:textId="77777777" w:rsidR="00663AEA"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zakres i tryb obiegu informacji,</w:t>
      </w:r>
    </w:p>
    <w:p w14:paraId="0A7EEFB3" w14:textId="3074729F" w:rsidR="009C00FD" w:rsidRPr="00EB2E7B" w:rsidRDefault="00663AEA" w:rsidP="00620ED0">
      <w:pPr>
        <w:pStyle w:val="Akapitzlist"/>
        <w:numPr>
          <w:ilvl w:val="0"/>
          <w:numId w:val="30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określenie zasad i odpowiedzialności związanej z usuwaniem zakłóceń i awarii oraz koordynacja prac eksploatacyjnych.</w:t>
      </w:r>
    </w:p>
    <w:p w14:paraId="5D691C3C" w14:textId="411EDDDC" w:rsidR="00663AEA" w:rsidRPr="00EB2E7B" w:rsidRDefault="00663AEA">
      <w:pPr>
        <w:pStyle w:val="Nagwek2"/>
        <w:rPr>
          <w:rFonts w:asciiTheme="minorHAnsi" w:hAnsiTheme="minorHAnsi" w:cstheme="minorHAnsi"/>
          <w:b w:val="0"/>
          <w:sz w:val="20"/>
          <w:szCs w:val="20"/>
        </w:rPr>
      </w:pPr>
      <w:bookmarkStart w:id="337" w:name="_Toc189833725"/>
      <w:bookmarkStart w:id="338" w:name="_Toc239333345"/>
      <w:r w:rsidRPr="00EB2E7B">
        <w:rPr>
          <w:rFonts w:asciiTheme="minorHAnsi" w:hAnsiTheme="minorHAnsi" w:cstheme="minorHAnsi"/>
          <w:b w:val="0"/>
          <w:sz w:val="20"/>
          <w:szCs w:val="20"/>
        </w:rPr>
        <w:t>Instrukcja współpracy służb dyspozytorskich ACPRO z podmiotami przyłączonymi do sieci dystrybucyjnej ACPRO zawiera co najmniej:</w:t>
      </w:r>
      <w:bookmarkEnd w:id="337"/>
      <w:bookmarkEnd w:id="338"/>
    </w:p>
    <w:p w14:paraId="4FCA6C39" w14:textId="77777777" w:rsidR="00663AEA" w:rsidRPr="00EB2E7B" w:rsidRDefault="00663AEA" w:rsidP="00620ED0">
      <w:pPr>
        <w:pStyle w:val="Akapitzlist"/>
        <w:numPr>
          <w:ilvl w:val="0"/>
          <w:numId w:val="30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podział kompetencji i odpowiedzialności w zakresie czynności łączeniowych,</w:t>
      </w:r>
    </w:p>
    <w:p w14:paraId="23A6A318" w14:textId="77777777" w:rsidR="00663AEA" w:rsidRPr="00EB2E7B" w:rsidRDefault="00663AEA" w:rsidP="00620ED0">
      <w:pPr>
        <w:pStyle w:val="Akapitzlist"/>
        <w:numPr>
          <w:ilvl w:val="0"/>
          <w:numId w:val="30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eksploatacyjne granice stron,</w:t>
      </w:r>
    </w:p>
    <w:p w14:paraId="4ACBA822" w14:textId="77777777" w:rsidR="00663AEA" w:rsidRPr="00EB2E7B" w:rsidRDefault="00663AEA" w:rsidP="00620ED0">
      <w:pPr>
        <w:pStyle w:val="Akapitzlist"/>
        <w:numPr>
          <w:ilvl w:val="0"/>
          <w:numId w:val="30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zakres i tryb obiegu informacji,</w:t>
      </w:r>
    </w:p>
    <w:p w14:paraId="24824A96" w14:textId="09D67F61" w:rsidR="00663AEA" w:rsidRPr="00EB2E7B" w:rsidRDefault="00663AEA" w:rsidP="002F2E1D">
      <w:pPr>
        <w:pStyle w:val="Akapitzlist"/>
        <w:numPr>
          <w:ilvl w:val="0"/>
          <w:numId w:val="30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wykazy osób upoważnionych wraz z danymi teleadresowymi, które podlegają aktualizacji po każdej zmianie oraz aktualizacji corocznej w terminie określonym przez ACPRO.</w:t>
      </w:r>
    </w:p>
    <w:p w14:paraId="14B47C01" w14:textId="6E8FA8D0" w:rsidR="00E31A49" w:rsidRPr="00EB2E7B" w:rsidRDefault="00E31A49">
      <w:pPr>
        <w:pStyle w:val="Nagwek2"/>
        <w:rPr>
          <w:rFonts w:asciiTheme="minorHAnsi" w:hAnsiTheme="minorHAnsi" w:cstheme="minorHAnsi"/>
          <w:b w:val="0"/>
          <w:sz w:val="20"/>
          <w:szCs w:val="20"/>
        </w:rPr>
      </w:pPr>
      <w:bookmarkStart w:id="339" w:name="_Toc189833726"/>
      <w:bookmarkStart w:id="340" w:name="_Toc239333346"/>
      <w:r w:rsidRPr="00EB2E7B">
        <w:rPr>
          <w:rFonts w:asciiTheme="minorHAnsi" w:hAnsiTheme="minorHAnsi" w:cstheme="minorHAnsi"/>
          <w:b w:val="0"/>
          <w:sz w:val="20"/>
          <w:szCs w:val="20"/>
        </w:rPr>
        <w:t>ACPRO – przedsiębiorstwo energetyczne zajmujące się dystrybucją energii elektrycznej jest obowiązane sporządzać informacje dotyczące:</w:t>
      </w:r>
      <w:bookmarkEnd w:id="339"/>
      <w:bookmarkEnd w:id="340"/>
    </w:p>
    <w:p w14:paraId="27C484EE" w14:textId="77777777" w:rsidR="00E31A49" w:rsidRPr="00EB2E7B" w:rsidRDefault="00E31A49" w:rsidP="002F2E1D">
      <w:pPr>
        <w:pStyle w:val="Akapitzlist"/>
        <w:numPr>
          <w:ilvl w:val="0"/>
          <w:numId w:val="30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podmiotów ubiegających się o przyłączenie źródeł do sieci elektroenergetycznej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lokalizacji przyłączeń, mocy przyłączeniowej, rodzaju instalacji, dat wydania warunków przyłączenia, zawarcia umów o przyłączenie do sieci i rozpoczęcia dostarczania energii elektrycznej,</w:t>
      </w:r>
    </w:p>
    <w:p w14:paraId="619B9FA0" w14:textId="0A0D975F" w:rsidR="00E31A49" w:rsidRPr="00EB2E7B" w:rsidRDefault="00E31A49" w:rsidP="002F2E1D">
      <w:pPr>
        <w:pStyle w:val="Akapitzlist"/>
        <w:numPr>
          <w:ilvl w:val="0"/>
          <w:numId w:val="30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wartości łącznej dostępnej mocy przyłączeniowej dla źródeł, a także planowanych zmian tych wartości w okresie kolejnych 5 lat od dnia ich publikacji, dla całej sieci przedsiębiorstwa o napięciu znamionowym powyżej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z podziałem na stacje elektroenergetyczne lub ich grupy wchodzące w</w:t>
      </w:r>
      <w:r w:rsidR="00BB3373" w:rsidRPr="00EB2E7B">
        <w:rPr>
          <w:rFonts w:asciiTheme="minorHAnsi" w:hAnsiTheme="minorHAnsi" w:cstheme="minorHAnsi"/>
          <w:sz w:val="20"/>
          <w:szCs w:val="20"/>
        </w:rPr>
        <w:t> </w:t>
      </w:r>
      <w:r w:rsidRPr="00EB2E7B">
        <w:rPr>
          <w:rFonts w:asciiTheme="minorHAnsi" w:hAnsiTheme="minorHAnsi" w:cstheme="minorHAnsi"/>
          <w:sz w:val="20"/>
          <w:szCs w:val="20"/>
        </w:rPr>
        <w:t xml:space="preserve">skład sieci o napięciu znamionowym </w:t>
      </w:r>
      <w:r w:rsidR="005C75E0" w:rsidRPr="00EB2E7B">
        <w:rPr>
          <w:rFonts w:asciiTheme="minorHAnsi" w:hAnsiTheme="minorHAnsi" w:cstheme="minorHAnsi"/>
          <w:sz w:val="20"/>
          <w:szCs w:val="20"/>
        </w:rPr>
        <w:t xml:space="preserve">powyżej </w:t>
      </w:r>
      <w:r w:rsidRPr="00EB2E7B">
        <w:rPr>
          <w:rFonts w:asciiTheme="minorHAnsi" w:hAnsiTheme="minorHAnsi" w:cstheme="minorHAnsi"/>
          <w:sz w:val="20"/>
          <w:szCs w:val="20"/>
        </w:rPr>
        <w:t xml:space="preserve">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 wartość łącznej mocy przyłączeniowej jest pomniejszana o moc wynikającą z wydanych i</w:t>
      </w:r>
      <w:r w:rsidR="00BB3373" w:rsidRPr="00EB2E7B">
        <w:rPr>
          <w:rFonts w:asciiTheme="minorHAnsi" w:hAnsiTheme="minorHAnsi" w:cstheme="minorHAnsi"/>
          <w:sz w:val="20"/>
          <w:szCs w:val="20"/>
        </w:rPr>
        <w:t> </w:t>
      </w:r>
      <w:r w:rsidRPr="00EB2E7B">
        <w:rPr>
          <w:rFonts w:asciiTheme="minorHAnsi" w:hAnsiTheme="minorHAnsi" w:cstheme="minorHAnsi"/>
          <w:sz w:val="20"/>
          <w:szCs w:val="20"/>
        </w:rPr>
        <w:t>ważnych warunków przyłączenia źródeł do sieci elektroenergetycznej</w:t>
      </w:r>
    </w:p>
    <w:p w14:paraId="5AD78DB6" w14:textId="562E39C1" w:rsidR="00E31A49" w:rsidRPr="00EB2E7B" w:rsidRDefault="00E31A49" w:rsidP="006C498C">
      <w:pPr>
        <w:ind w:left="1134" w:firstLine="0"/>
        <w:rPr>
          <w:rFonts w:asciiTheme="minorHAnsi" w:hAnsiTheme="minorHAnsi" w:cstheme="minorHAnsi"/>
          <w:sz w:val="20"/>
          <w:szCs w:val="20"/>
        </w:rPr>
      </w:pPr>
      <w:r w:rsidRPr="00EB2E7B">
        <w:rPr>
          <w:rFonts w:asciiTheme="minorHAnsi" w:hAnsiTheme="minorHAnsi" w:cstheme="minorHAnsi"/>
          <w:sz w:val="20"/>
          <w:szCs w:val="20"/>
        </w:rPr>
        <w:t>– z zachowaniem przepisów o ochronie informacji niejawnych lub innych informacji prawnie chronionych. Informacje te przedsiębiorstwo aktualizuje co najmniej raz na kwartał, uwzględniając dokonaną rozbudowę i modernizację sieci oraz realizowane i będące w trakcie realizacji przyłączenia oraz zamieszcza na swojej stronie internetowej.</w:t>
      </w:r>
    </w:p>
    <w:p w14:paraId="446D3910" w14:textId="184C1D5D" w:rsidR="00473957" w:rsidRPr="00EB2E7B" w:rsidRDefault="0077111A" w:rsidP="00D068A4">
      <w:pPr>
        <w:pStyle w:val="Nagwek1"/>
        <w:rPr>
          <w:rFonts w:asciiTheme="minorHAnsi" w:hAnsiTheme="minorHAnsi" w:cstheme="minorHAnsi"/>
          <w:sz w:val="20"/>
          <w:szCs w:val="20"/>
        </w:rPr>
      </w:pPr>
      <w:bookmarkStart w:id="341" w:name="_Toc239333347"/>
      <w:bookmarkStart w:id="342" w:name="_Ref75516637"/>
      <w:bookmarkStart w:id="343" w:name="_Toc180153741"/>
      <w:r w:rsidRPr="00EB2E7B">
        <w:rPr>
          <w:rFonts w:asciiTheme="minorHAnsi" w:hAnsiTheme="minorHAnsi" w:cstheme="minorHAnsi"/>
          <w:sz w:val="20"/>
          <w:szCs w:val="20"/>
        </w:rPr>
        <w:lastRenderedPageBreak/>
        <w:t>PROWADZENIE RUCHU SIECI DYSTRYBUCYJNEJ</w:t>
      </w:r>
      <w:bookmarkEnd w:id="341"/>
      <w:r w:rsidRPr="00EB2E7B">
        <w:rPr>
          <w:rFonts w:asciiTheme="minorHAnsi" w:hAnsiTheme="minorHAnsi" w:cstheme="minorHAnsi"/>
          <w:sz w:val="20"/>
          <w:szCs w:val="20"/>
        </w:rPr>
        <w:t xml:space="preserve"> </w:t>
      </w:r>
      <w:bookmarkEnd w:id="342"/>
      <w:bookmarkEnd w:id="343"/>
    </w:p>
    <w:p w14:paraId="2D32E897" w14:textId="77777777" w:rsidR="00473957" w:rsidRPr="00EB2E7B" w:rsidRDefault="0077111A">
      <w:pPr>
        <w:pStyle w:val="Nagwek2"/>
        <w:rPr>
          <w:rFonts w:asciiTheme="minorHAnsi" w:hAnsiTheme="minorHAnsi" w:cstheme="minorHAnsi"/>
          <w:sz w:val="20"/>
          <w:szCs w:val="20"/>
        </w:rPr>
      </w:pPr>
      <w:bookmarkStart w:id="344" w:name="_Ref75517121"/>
      <w:bookmarkStart w:id="345" w:name="_Ref75517481"/>
      <w:bookmarkStart w:id="346" w:name="_Toc180153742"/>
      <w:bookmarkStart w:id="347" w:name="_Toc239333348"/>
      <w:r w:rsidRPr="00EB2E7B">
        <w:rPr>
          <w:rFonts w:asciiTheme="minorHAnsi" w:hAnsiTheme="minorHAnsi" w:cstheme="minorHAnsi"/>
          <w:sz w:val="20"/>
          <w:szCs w:val="20"/>
        </w:rPr>
        <w:t xml:space="preserve">OBOWIĄZKI </w:t>
      </w:r>
      <w:r w:rsidR="00232DA9" w:rsidRPr="00EB2E7B">
        <w:rPr>
          <w:rFonts w:asciiTheme="minorHAnsi" w:hAnsiTheme="minorHAnsi" w:cstheme="minorHAnsi"/>
          <w:sz w:val="20"/>
          <w:szCs w:val="20"/>
        </w:rPr>
        <w:t>ACPRO</w:t>
      </w:r>
      <w:bookmarkEnd w:id="344"/>
      <w:bookmarkEnd w:id="345"/>
      <w:bookmarkEnd w:id="346"/>
      <w:bookmarkEnd w:id="347"/>
    </w:p>
    <w:p w14:paraId="1511B12A" w14:textId="77777777" w:rsidR="00915136" w:rsidRPr="00EB2E7B" w:rsidRDefault="0077111A"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zakresie prowadzenia ruchu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na obszarze kierowanej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szczególności:</w:t>
      </w:r>
    </w:p>
    <w:p w14:paraId="62C65699" w14:textId="5D145F56" w:rsidR="00915136" w:rsidRPr="00EB2E7B" w:rsidRDefault="0077111A" w:rsidP="602EEE43">
      <w:pPr>
        <w:pStyle w:val="aprzed"/>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planuje pracę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tym opracowuje: programy pracy sieci, plany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oraz planuje i kieruje operacjami łączeniowymi, </w:t>
      </w:r>
    </w:p>
    <w:p w14:paraId="6DF50A37" w14:textId="35B3AC6F" w:rsidR="008232FE" w:rsidRPr="00EB2E7B" w:rsidRDefault="0077111A" w:rsidP="002F2E1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planuje i kieruje pracą jednostek wytwórczych </w:t>
      </w:r>
      <w:r w:rsidR="004A7FE4" w:rsidRPr="00EB2E7B">
        <w:rPr>
          <w:rFonts w:asciiTheme="minorHAnsi" w:hAnsiTheme="minorHAnsi" w:cstheme="minorHAnsi"/>
          <w:sz w:val="20"/>
          <w:szCs w:val="20"/>
        </w:rPr>
        <w:t xml:space="preserve">i magazynów energii elektrycznej </w:t>
      </w:r>
      <w:r w:rsidRPr="00EB2E7B">
        <w:rPr>
          <w:rFonts w:asciiTheme="minorHAnsi" w:hAnsiTheme="minorHAnsi" w:cstheme="minorHAnsi"/>
          <w:sz w:val="20"/>
          <w:szCs w:val="20"/>
        </w:rPr>
        <w:t xml:space="preserve">przyłączonych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innych niż JWCD oraz JWCK, w tym planuje techniczne możliwości pokrycia zapotrzebowania</w:t>
      </w:r>
      <w:r w:rsidR="0069525C" w:rsidRPr="00EB2E7B">
        <w:rPr>
          <w:rFonts w:asciiTheme="minorHAnsi" w:hAnsiTheme="minorHAnsi" w:cstheme="minorHAnsi"/>
          <w:sz w:val="20"/>
          <w:szCs w:val="20"/>
        </w:rPr>
        <w:t xml:space="preserve"> w ramach sporządzania koordynacyjnych planów produkcji energii elektrycznej</w:t>
      </w:r>
      <w:r w:rsidR="008232FE" w:rsidRPr="00EB2E7B">
        <w:rPr>
          <w:rFonts w:asciiTheme="minorHAnsi" w:hAnsiTheme="minorHAnsi" w:cstheme="minorHAnsi"/>
          <w:sz w:val="20"/>
          <w:szCs w:val="20"/>
        </w:rPr>
        <w:t>,</w:t>
      </w:r>
    </w:p>
    <w:p w14:paraId="6C95C9A1" w14:textId="48EAE834" w:rsidR="00473957" w:rsidRPr="00EB2E7B" w:rsidRDefault="0077111A" w:rsidP="002F2E1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monitoruje pracę sieci dystrybucyjnej </w:t>
      </w:r>
      <w:r w:rsidR="0069525C"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oraz zapobiega wystąpieniu zagroże</w:t>
      </w:r>
      <w:r w:rsidR="00A0042F" w:rsidRPr="00EB2E7B">
        <w:rPr>
          <w:rFonts w:asciiTheme="minorHAnsi" w:hAnsiTheme="minorHAnsi" w:cstheme="minorHAnsi"/>
          <w:sz w:val="20"/>
          <w:szCs w:val="20"/>
        </w:rPr>
        <w:t>ń</w:t>
      </w:r>
      <w:r w:rsidRPr="00EB2E7B">
        <w:rPr>
          <w:rFonts w:asciiTheme="minorHAnsi" w:hAnsiTheme="minorHAnsi" w:cstheme="minorHAnsi"/>
          <w:sz w:val="20"/>
          <w:szCs w:val="20"/>
        </w:rPr>
        <w:t xml:space="preserve"> dostaw energii elektrycznej, </w:t>
      </w:r>
    </w:p>
    <w:p w14:paraId="441D5A70" w14:textId="2071B219" w:rsidR="007F02ED" w:rsidRPr="00EB2E7B" w:rsidRDefault="007F02ED" w:rsidP="002F2E1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likwiduje występujące w sieci dystrybucyjnej ACPRO stany zagrożenia bezpieczeństwa dostaw energii elektrycznej, samodzielnie oraz we współpracy z OSP oraz innymi ACPRO,</w:t>
      </w:r>
    </w:p>
    <w:p w14:paraId="496503D3" w14:textId="0619CB67" w:rsidR="00473957" w:rsidRPr="00EB2E7B" w:rsidRDefault="0077111A" w:rsidP="1986D58B">
      <w:pPr>
        <w:pStyle w:val="aprzed"/>
        <w:ind w:left="1701" w:hanging="567"/>
        <w:rPr>
          <w:rFonts w:asciiTheme="minorHAnsi" w:hAnsiTheme="minorHAnsi" w:cstheme="minorHAnsi"/>
          <w:sz w:val="20"/>
          <w:szCs w:val="20"/>
        </w:rPr>
      </w:pPr>
      <w:r w:rsidRPr="00EB2E7B">
        <w:rPr>
          <w:rFonts w:asciiTheme="minorHAnsi" w:hAnsiTheme="minorHAnsi" w:cstheme="minorHAnsi"/>
          <w:sz w:val="20"/>
          <w:szCs w:val="20"/>
        </w:rPr>
        <w:t>prowadzi działania sterownicze</w:t>
      </w:r>
      <w:r w:rsidR="00A871C5" w:rsidRPr="00EB2E7B">
        <w:rPr>
          <w:rFonts w:asciiTheme="minorHAnsi" w:hAnsiTheme="minorHAnsi" w:cstheme="minorHAnsi"/>
          <w:sz w:val="20"/>
          <w:szCs w:val="20"/>
        </w:rPr>
        <w:t>,</w:t>
      </w:r>
      <w:r w:rsidR="007F02ED" w:rsidRPr="00EB2E7B">
        <w:rPr>
          <w:rFonts w:asciiTheme="minorHAnsi" w:hAnsiTheme="minorHAnsi" w:cstheme="minorHAnsi"/>
          <w:sz w:val="20"/>
          <w:szCs w:val="20"/>
        </w:rPr>
        <w:t xml:space="preserve"> </w:t>
      </w:r>
      <w:r w:rsidR="00A871C5" w:rsidRPr="00EB2E7B">
        <w:rPr>
          <w:rFonts w:asciiTheme="minorHAnsi" w:hAnsiTheme="minorHAnsi" w:cstheme="minorHAnsi"/>
          <w:sz w:val="20"/>
          <w:szCs w:val="20"/>
        </w:rPr>
        <w:t xml:space="preserve">o których mowa w pkt </w:t>
      </w:r>
      <w:r w:rsidR="005B3FB7" w:rsidRPr="00EB2E7B">
        <w:rPr>
          <w:rFonts w:asciiTheme="minorHAnsi" w:hAnsiTheme="minorHAnsi" w:cstheme="minorHAnsi"/>
          <w:sz w:val="20"/>
          <w:szCs w:val="20"/>
        </w:rPr>
        <w:fldChar w:fldCharType="begin"/>
      </w:r>
      <w:r w:rsidR="005B3FB7" w:rsidRPr="00EB2E7B">
        <w:rPr>
          <w:rFonts w:asciiTheme="minorHAnsi" w:hAnsiTheme="minorHAnsi" w:cstheme="minorHAnsi"/>
          <w:sz w:val="20"/>
          <w:szCs w:val="20"/>
        </w:rPr>
        <w:instrText xml:space="preserve"> REF _Ref75516890 \w \h </w:instrText>
      </w:r>
      <w:r w:rsidR="00BF63C4" w:rsidRPr="00EB2E7B">
        <w:rPr>
          <w:rFonts w:asciiTheme="minorHAnsi" w:hAnsiTheme="minorHAnsi" w:cstheme="minorHAnsi"/>
          <w:sz w:val="20"/>
          <w:szCs w:val="20"/>
        </w:rPr>
        <w:instrText xml:space="preserve"> \* MERGEFORMAT </w:instrText>
      </w:r>
      <w:r w:rsidR="005B3FB7" w:rsidRPr="00EB2E7B">
        <w:rPr>
          <w:rFonts w:asciiTheme="minorHAnsi" w:hAnsiTheme="minorHAnsi" w:cstheme="minorHAnsi"/>
          <w:sz w:val="20"/>
          <w:szCs w:val="20"/>
        </w:rPr>
      </w:r>
      <w:r w:rsidR="005B3FB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VI.2</w:t>
      </w:r>
      <w:r w:rsidR="005B3FB7" w:rsidRPr="00EB2E7B">
        <w:rPr>
          <w:rFonts w:asciiTheme="minorHAnsi" w:hAnsiTheme="minorHAnsi" w:cstheme="minorHAnsi"/>
          <w:sz w:val="20"/>
          <w:szCs w:val="20"/>
        </w:rPr>
        <w:fldChar w:fldCharType="end"/>
      </w:r>
      <w:r w:rsidR="00A871C5" w:rsidRPr="00EB2E7B">
        <w:rPr>
          <w:rFonts w:asciiTheme="minorHAnsi" w:hAnsiTheme="minorHAnsi" w:cstheme="minorHAnsi"/>
          <w:sz w:val="20"/>
          <w:szCs w:val="20"/>
        </w:rPr>
        <w:t>,</w:t>
      </w:r>
    </w:p>
    <w:p w14:paraId="43508381" w14:textId="614ECF23" w:rsidR="00473957" w:rsidRPr="00EB2E7B" w:rsidRDefault="00FB3AB3" w:rsidP="002F2E1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wprowadza ograniczenia pracy lub odłącza od sieci </w:t>
      </w:r>
      <w:proofErr w:type="spellStart"/>
      <w:r w:rsidRPr="00EB2E7B">
        <w:rPr>
          <w:rFonts w:asciiTheme="minorHAnsi" w:hAnsiTheme="minorHAnsi" w:cstheme="minorHAnsi"/>
          <w:sz w:val="20"/>
          <w:szCs w:val="20"/>
        </w:rPr>
        <w:t>mikroinstalacje</w:t>
      </w:r>
      <w:proofErr w:type="spellEnd"/>
      <w:r w:rsidRPr="00EB2E7B">
        <w:rPr>
          <w:rFonts w:asciiTheme="minorHAnsi" w:hAnsiTheme="minorHAnsi" w:cstheme="minorHAnsi"/>
          <w:sz w:val="20"/>
          <w:szCs w:val="20"/>
        </w:rPr>
        <w:t xml:space="preserve"> o mocy zainstalowanej większej niż 10 kW przyłączoną do sieci </w:t>
      </w:r>
      <w:r w:rsidR="003C355F"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przypadku, gdy wytwarzanie energii elektrycznej w tej mikroinstalacji stanowi zagrożenie bezpieczeństwa pracy tej sieci; uwzględniając stopień zagrożenia bezpieczeństwa pracy poszczególnych obszarów sieci, po ustaniu stanu zagrożenia bezpieczeństwa pracy sieci </w:t>
      </w:r>
      <w:r w:rsidR="002816F3"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jest obowiązana niezwłocznie przywrócić stan poprzedni</w:t>
      </w:r>
      <w:r w:rsidR="0077111A" w:rsidRPr="00EB2E7B">
        <w:rPr>
          <w:rFonts w:asciiTheme="minorHAnsi" w:hAnsiTheme="minorHAnsi" w:cstheme="minorHAnsi"/>
          <w:sz w:val="20"/>
          <w:szCs w:val="20"/>
        </w:rPr>
        <w:t xml:space="preserve">, </w:t>
      </w:r>
    </w:p>
    <w:p w14:paraId="02D1BB24" w14:textId="2A7BA8D2" w:rsidR="00473957" w:rsidRPr="00EB2E7B" w:rsidRDefault="0077111A" w:rsidP="002F2E1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zapewnia utrzymanie odpowiedniego poziomu i struktury rezerw mocy  i</w:t>
      </w:r>
      <w:r w:rsidR="00103B17" w:rsidRPr="00EB2E7B">
        <w:rPr>
          <w:rFonts w:asciiTheme="minorHAnsi" w:hAnsiTheme="minorHAnsi" w:cstheme="minorHAnsi"/>
          <w:sz w:val="20"/>
          <w:szCs w:val="20"/>
        </w:rPr>
        <w:t> </w:t>
      </w:r>
      <w:r w:rsidRPr="00EB2E7B">
        <w:rPr>
          <w:rFonts w:asciiTheme="minorHAnsi" w:hAnsiTheme="minorHAnsi" w:cstheme="minorHAnsi"/>
          <w:sz w:val="20"/>
          <w:szCs w:val="20"/>
        </w:rPr>
        <w:t xml:space="preserve">regulacyjnych usług systemowych, w celu dotrzymania standardowych parametrów jakościowych energii elektrycznej, </w:t>
      </w:r>
    </w:p>
    <w:p w14:paraId="43050E4C" w14:textId="6AAA0A56" w:rsidR="00473957" w:rsidRPr="00EB2E7B" w:rsidRDefault="00CA08D3" w:rsidP="002F2E1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wprowadza przerwy</w:t>
      </w:r>
      <w:r w:rsidR="00B7478F" w:rsidRPr="00EB2E7B">
        <w:rPr>
          <w:rFonts w:asciiTheme="minorHAnsi" w:hAnsiTheme="minorHAnsi" w:cstheme="minorHAnsi"/>
          <w:sz w:val="20"/>
          <w:szCs w:val="20"/>
        </w:rPr>
        <w:t xml:space="preserve"> i ograniczenia</w:t>
      </w:r>
      <w:r w:rsidRPr="00EB2E7B">
        <w:rPr>
          <w:rFonts w:asciiTheme="minorHAnsi" w:hAnsiTheme="minorHAnsi" w:cstheme="minorHAnsi"/>
          <w:sz w:val="20"/>
          <w:szCs w:val="20"/>
        </w:rPr>
        <w:t xml:space="preserve"> w dostarczaniu i poborze energii elektrycznej </w:t>
      </w:r>
      <w:r w:rsidR="007E4C2A" w:rsidRPr="00EB2E7B">
        <w:rPr>
          <w:rFonts w:asciiTheme="minorHAnsi" w:hAnsiTheme="minorHAnsi" w:cstheme="minorHAnsi"/>
          <w:sz w:val="20"/>
          <w:szCs w:val="20"/>
        </w:rPr>
        <w:t xml:space="preserve">na zasadach określonych w pkt. </w:t>
      </w:r>
      <w:r w:rsidR="00090F8A" w:rsidRPr="00EB2E7B">
        <w:rPr>
          <w:rFonts w:asciiTheme="minorHAnsi" w:hAnsiTheme="minorHAnsi" w:cstheme="minorHAnsi"/>
          <w:sz w:val="20"/>
          <w:szCs w:val="20"/>
        </w:rPr>
        <w:fldChar w:fldCharType="begin"/>
      </w:r>
      <w:r w:rsidR="00090F8A" w:rsidRPr="00EB2E7B">
        <w:rPr>
          <w:rFonts w:asciiTheme="minorHAnsi" w:hAnsiTheme="minorHAnsi" w:cstheme="minorHAnsi"/>
          <w:sz w:val="20"/>
          <w:szCs w:val="20"/>
        </w:rPr>
        <w:instrText xml:space="preserve"> REF _Ref190091691 \w \h </w:instrText>
      </w:r>
      <w:r w:rsidR="003C7800" w:rsidRPr="00EB2E7B">
        <w:rPr>
          <w:rFonts w:asciiTheme="minorHAnsi" w:hAnsiTheme="minorHAnsi" w:cstheme="minorHAnsi"/>
          <w:sz w:val="20"/>
          <w:szCs w:val="20"/>
        </w:rPr>
        <w:instrText xml:space="preserve"> \* MERGEFORMAT </w:instrText>
      </w:r>
      <w:r w:rsidR="00090F8A" w:rsidRPr="00EB2E7B">
        <w:rPr>
          <w:rFonts w:asciiTheme="minorHAnsi" w:hAnsiTheme="minorHAnsi" w:cstheme="minorHAnsi"/>
          <w:sz w:val="20"/>
          <w:szCs w:val="20"/>
        </w:rPr>
      </w:r>
      <w:r w:rsidR="00090F8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IV.3</w:t>
      </w:r>
      <w:r w:rsidR="00090F8A"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t>
      </w:r>
    </w:p>
    <w:p w14:paraId="3402589F" w14:textId="1B63CEB6" w:rsidR="00915136" w:rsidRPr="00EB2E7B" w:rsidRDefault="0077111A" w:rsidP="002F2E1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likwiduje występujące w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awarie sieciowe, awarie w systemie i stany zagrożenia bezpieczeństwa dostaw energii elektrycznej, samodzielnie oraz we współpracy z operatorem systemu przesyłowego oraz innymi operatorami systemów dystrybucyjnych,</w:t>
      </w:r>
    </w:p>
    <w:p w14:paraId="590EA287" w14:textId="276D52C0" w:rsidR="00473957" w:rsidRPr="00EB2E7B" w:rsidRDefault="00CA08D3" w:rsidP="002F2E1D">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zbiera i przekazuje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dane oraz informacje niezbędne dla prowadzenia ruchu sieciowego i bezpieczeństwa pracy KSE zgodnie z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w tym dane i informacje określone w kodeksie sieciowym SO GL,</w:t>
      </w:r>
      <w:r w:rsidR="002841DB"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wprowadza </w:t>
      </w:r>
      <w:proofErr w:type="spellStart"/>
      <w:r w:rsidRPr="00EB2E7B">
        <w:rPr>
          <w:rFonts w:asciiTheme="minorHAnsi" w:hAnsiTheme="minorHAnsi" w:cstheme="minorHAnsi"/>
          <w:sz w:val="20"/>
          <w:szCs w:val="20"/>
        </w:rPr>
        <w:t>redysponowanie</w:t>
      </w:r>
      <w:proofErr w:type="spellEnd"/>
      <w:r w:rsidRPr="00EB2E7B">
        <w:rPr>
          <w:rFonts w:asciiTheme="minorHAnsi" w:hAnsiTheme="minorHAnsi" w:cstheme="minorHAnsi"/>
          <w:sz w:val="20"/>
          <w:szCs w:val="20"/>
        </w:rPr>
        <w:t xml:space="preserve"> nierynkowe modułów wytwarzania energii i magazynów energii elektrycznej, które odbywa się na zasadach określonych w Ustawie oraz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w:t>
      </w:r>
    </w:p>
    <w:p w14:paraId="217DFBEC" w14:textId="280C4BD8" w:rsidR="00473957" w:rsidRPr="00EB2E7B" w:rsidRDefault="00915136" w:rsidP="002F2E1D">
      <w:pPr>
        <w:pStyle w:val="Nagwek3"/>
        <w:numPr>
          <w:ilvl w:val="2"/>
          <w:numId w:val="76"/>
        </w:numPr>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Planowanie pracy sieci dystrybucyjnej </w:t>
      </w:r>
      <w:r w:rsidR="007839B8"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odbywa się w </w:t>
      </w:r>
      <w:r w:rsidR="00F02A84" w:rsidRPr="00EB2E7B">
        <w:rPr>
          <w:rFonts w:asciiTheme="minorHAnsi" w:hAnsiTheme="minorHAnsi" w:cstheme="minorHAnsi"/>
          <w:sz w:val="20"/>
          <w:szCs w:val="20"/>
        </w:rPr>
        <w:t>okresach dobowych, tygodniowych, miesięcznych i rocznych</w:t>
      </w:r>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5CEE5905" w14:textId="51F2364D" w:rsidR="00882623" w:rsidRPr="00EB2E7B" w:rsidRDefault="00EB0224"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Podmioty uczestniczące w prowadzeniu ruchu sieciowego sporządzają w formie pisemnej wykazy osób i jednostek organizacyjnych bezpośrednio uczestniczących w prowadzeniu ruchu sieciowego w KSE. Wykazy podlegają bieżącej aktualizacji i są sobie wzajemnie przekazywane</w:t>
      </w:r>
      <w:r w:rsidR="00882623" w:rsidRPr="00EB2E7B">
        <w:rPr>
          <w:rFonts w:asciiTheme="minorHAnsi" w:hAnsiTheme="minorHAnsi" w:cstheme="minorHAnsi"/>
          <w:sz w:val="20"/>
          <w:szCs w:val="20"/>
        </w:rPr>
        <w:t>.</w:t>
      </w:r>
    </w:p>
    <w:p w14:paraId="58FA5C88" w14:textId="3E28DD4E" w:rsidR="00EB0224" w:rsidRPr="00EB2E7B" w:rsidRDefault="00882623"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Działania ACPRO w zakresie bilansowania i regulacji w obszarze sieci dystrybucyjnej ACPRO, jako części składowej KSE są </w:t>
      </w:r>
      <w:r w:rsidR="00C72A4F" w:rsidRPr="00EB2E7B">
        <w:rPr>
          <w:rFonts w:asciiTheme="minorHAnsi" w:hAnsiTheme="minorHAnsi" w:cstheme="minorHAnsi"/>
          <w:sz w:val="20"/>
          <w:szCs w:val="20"/>
        </w:rPr>
        <w:t xml:space="preserve">zawarte w części </w:t>
      </w:r>
      <w:proofErr w:type="spellStart"/>
      <w:r w:rsidR="00C72A4F" w:rsidRPr="00EB2E7B">
        <w:rPr>
          <w:rFonts w:asciiTheme="minorHAnsi" w:hAnsiTheme="minorHAnsi" w:cstheme="minorHAnsi"/>
          <w:sz w:val="20"/>
          <w:szCs w:val="20"/>
        </w:rPr>
        <w:t>IRiESD</w:t>
      </w:r>
      <w:proofErr w:type="spellEnd"/>
      <w:r w:rsidR="00C72A4F" w:rsidRPr="00EB2E7B">
        <w:rPr>
          <w:rFonts w:asciiTheme="minorHAnsi" w:hAnsiTheme="minorHAnsi" w:cstheme="minorHAnsi"/>
          <w:sz w:val="20"/>
          <w:szCs w:val="20"/>
        </w:rPr>
        <w:t>-Bilansowanie.</w:t>
      </w:r>
    </w:p>
    <w:p w14:paraId="3F939BE6" w14:textId="36EFD63A" w:rsidR="00672347" w:rsidRPr="00EB2E7B" w:rsidRDefault="00672347"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Na obszarze sieci dystrybucyjnej koordynowanej przez OSP, za której ruch odpowiada </w:t>
      </w:r>
      <w:proofErr w:type="spellStart"/>
      <w:r w:rsidR="00E64AD0"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OSP koordynuje i dostarcza wyliczone nastawienia zabezpieczeń i automatyk sieciowych oraz wyznacza miejsca uziemień punktów neutralnych transformatorów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/SN.</w:t>
      </w:r>
    </w:p>
    <w:p w14:paraId="79364F44" w14:textId="3680A906" w:rsidR="00915136" w:rsidRPr="00EB2E7B" w:rsidRDefault="007839B8"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915136" w:rsidRPr="00EB2E7B">
        <w:rPr>
          <w:rFonts w:asciiTheme="minorHAnsi" w:hAnsiTheme="minorHAnsi" w:cstheme="minorHAnsi"/>
          <w:sz w:val="20"/>
          <w:szCs w:val="20"/>
        </w:rPr>
        <w:t xml:space="preserve"> na obszarze sieci dystrybucyjnej za której ruch odpowiada, koordynuje nastawienia zabezpieczeń i automatyk sieciowych</w:t>
      </w:r>
      <w:r w:rsidR="000A7AB0" w:rsidRPr="00EB2E7B">
        <w:rPr>
          <w:rFonts w:asciiTheme="minorHAnsi" w:hAnsiTheme="minorHAnsi" w:cstheme="minorHAnsi"/>
          <w:sz w:val="20"/>
          <w:szCs w:val="20"/>
        </w:rPr>
        <w:t>,</w:t>
      </w:r>
      <w:r w:rsidR="00915136" w:rsidRPr="00EB2E7B">
        <w:rPr>
          <w:rFonts w:asciiTheme="minorHAnsi" w:hAnsiTheme="minorHAnsi" w:cstheme="minorHAnsi"/>
          <w:sz w:val="20"/>
          <w:szCs w:val="20"/>
        </w:rPr>
        <w:t xml:space="preserve"> </w:t>
      </w:r>
      <w:r w:rsidR="005D72E5" w:rsidRPr="00EB2E7B">
        <w:rPr>
          <w:rFonts w:asciiTheme="minorHAnsi" w:hAnsiTheme="minorHAnsi" w:cstheme="minorHAnsi"/>
          <w:sz w:val="20"/>
          <w:szCs w:val="20"/>
        </w:rPr>
        <w:t>sposób pracy punktu neutralnego sieci SN</w:t>
      </w:r>
      <w:r w:rsidR="000A7AB0" w:rsidRPr="00EB2E7B">
        <w:rPr>
          <w:rFonts w:asciiTheme="minorHAnsi" w:hAnsiTheme="minorHAnsi" w:cstheme="minorHAnsi"/>
          <w:sz w:val="20"/>
          <w:szCs w:val="20"/>
        </w:rPr>
        <w:t xml:space="preserve"> </w:t>
      </w:r>
      <w:r w:rsidR="00915136" w:rsidRPr="00EB2E7B">
        <w:rPr>
          <w:rFonts w:asciiTheme="minorHAnsi" w:hAnsiTheme="minorHAnsi" w:cstheme="minorHAnsi"/>
          <w:sz w:val="20"/>
          <w:szCs w:val="20"/>
        </w:rPr>
        <w:t>oraz uziemienia punktów neutralnych transformatorów, przy czym dla zapewnienia bezpiecznej pracy sieci przesyłowej i dystrybucyjnej dokonuje niezbędnych uzgodnień z</w:t>
      </w:r>
      <w:r w:rsidR="00B44D50" w:rsidRPr="00EB2E7B">
        <w:rPr>
          <w:rFonts w:asciiTheme="minorHAnsi" w:hAnsiTheme="minorHAnsi" w:cstheme="minorHAnsi"/>
          <w:sz w:val="20"/>
          <w:szCs w:val="20"/>
        </w:rPr>
        <w:t> </w:t>
      </w:r>
      <w:r w:rsidR="00915136" w:rsidRPr="00EB2E7B">
        <w:rPr>
          <w:rFonts w:asciiTheme="minorHAnsi" w:hAnsiTheme="minorHAnsi" w:cstheme="minorHAnsi"/>
          <w:sz w:val="20"/>
          <w:szCs w:val="20"/>
        </w:rPr>
        <w:t>operatorem systemu przesyłowego</w:t>
      </w:r>
      <w:r w:rsidR="00C80F4A" w:rsidRPr="00EB2E7B">
        <w:rPr>
          <w:rFonts w:asciiTheme="minorHAnsi" w:hAnsiTheme="minorHAnsi" w:cstheme="minorHAnsi"/>
          <w:sz w:val="20"/>
          <w:szCs w:val="20"/>
        </w:rPr>
        <w:t xml:space="preserve"> za pośrednictwem </w:t>
      </w:r>
      <w:proofErr w:type="spellStart"/>
      <w:r w:rsidR="00C80F4A" w:rsidRPr="00EB2E7B">
        <w:rPr>
          <w:rFonts w:asciiTheme="minorHAnsi" w:hAnsiTheme="minorHAnsi" w:cstheme="minorHAnsi"/>
          <w:sz w:val="20"/>
          <w:szCs w:val="20"/>
        </w:rPr>
        <w:t>OSDp</w:t>
      </w:r>
      <w:proofErr w:type="spellEnd"/>
      <w:r w:rsidR="00915136" w:rsidRPr="00EB2E7B">
        <w:rPr>
          <w:rFonts w:asciiTheme="minorHAnsi" w:hAnsiTheme="minorHAnsi" w:cstheme="minorHAnsi"/>
          <w:sz w:val="20"/>
          <w:szCs w:val="20"/>
        </w:rPr>
        <w:t xml:space="preserve"> </w:t>
      </w:r>
    </w:p>
    <w:p w14:paraId="338BEF4C" w14:textId="77777777" w:rsidR="00473957" w:rsidRPr="00EB2E7B" w:rsidRDefault="0077111A">
      <w:pPr>
        <w:pStyle w:val="Nagwek2"/>
        <w:rPr>
          <w:rFonts w:asciiTheme="minorHAnsi" w:hAnsiTheme="minorHAnsi" w:cstheme="minorHAnsi"/>
          <w:bCs/>
          <w:sz w:val="20"/>
          <w:szCs w:val="20"/>
        </w:rPr>
      </w:pPr>
      <w:bookmarkStart w:id="348" w:name="_Ref75516890"/>
      <w:bookmarkStart w:id="349" w:name="_Toc180153743"/>
      <w:bookmarkStart w:id="350" w:name="_Toc239333349"/>
      <w:r w:rsidRPr="00EB2E7B">
        <w:rPr>
          <w:rFonts w:asciiTheme="minorHAnsi" w:hAnsiTheme="minorHAnsi" w:cstheme="minorHAnsi"/>
          <w:sz w:val="20"/>
          <w:szCs w:val="20"/>
        </w:rPr>
        <w:t>STRUKTURA I PODZIAŁ KOMPETENCJI SŁUŻB DYSPOZYTORSKIC</w:t>
      </w:r>
      <w:r w:rsidR="00915136" w:rsidRPr="00EB2E7B">
        <w:rPr>
          <w:rFonts w:asciiTheme="minorHAnsi" w:hAnsiTheme="minorHAnsi" w:cstheme="minorHAnsi"/>
          <w:sz w:val="20"/>
          <w:szCs w:val="20"/>
        </w:rPr>
        <w:t>H OPERATORA SYSTEMU DYSTRYBUCYJNEGO</w:t>
      </w:r>
      <w:bookmarkEnd w:id="348"/>
      <w:bookmarkEnd w:id="349"/>
      <w:bookmarkEnd w:id="350"/>
    </w:p>
    <w:p w14:paraId="1A67F960" w14:textId="08522CA7" w:rsidR="00473957" w:rsidRPr="00EB2E7B" w:rsidRDefault="007E6DDB"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Dla realizacji zadań wymienionych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_Ref75517121 \r \h </w:instrText>
      </w:r>
      <w:r w:rsidR="00AC4CA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ACPRO organizuje służby dyspozytorskie i ustala zakres oraz tryb współdziałania tych służb</w:t>
      </w:r>
    </w:p>
    <w:p w14:paraId="21D68549" w14:textId="29DAF4EA" w:rsidR="00C51D34" w:rsidRPr="00EB2E7B" w:rsidRDefault="006645A4" w:rsidP="002F2E1D">
      <w:pPr>
        <w:pStyle w:val="Nagwek3"/>
        <w:ind w:left="1134" w:hanging="1134"/>
        <w:rPr>
          <w:rFonts w:asciiTheme="minorHAnsi" w:hAnsiTheme="minorHAnsi" w:cstheme="minorHAnsi"/>
          <w:sz w:val="20"/>
          <w:szCs w:val="20"/>
        </w:rPr>
      </w:pPr>
      <w:bookmarkStart w:id="351" w:name="_Ref75517206"/>
      <w:r w:rsidRPr="00EB2E7B">
        <w:rPr>
          <w:rFonts w:asciiTheme="minorHAnsi" w:hAnsiTheme="minorHAnsi" w:cstheme="minorHAnsi"/>
          <w:sz w:val="20"/>
          <w:szCs w:val="20"/>
        </w:rPr>
        <w:t>Struktura zależności służb dyspozytorskich organizowanych przez ACPRO i inne podmioty przyłączone do sieci dystrybucyjnej ACPRO ma charakter hierarchiczny, służby dyspozytorskie niższego szczebla są podporządkowane ruchowo służbom dyspozytorskim wyższego szczebla</w:t>
      </w:r>
      <w:r w:rsidR="00C51D34" w:rsidRPr="00EB2E7B">
        <w:rPr>
          <w:rFonts w:asciiTheme="minorHAnsi" w:hAnsiTheme="minorHAnsi" w:cstheme="minorHAnsi"/>
          <w:sz w:val="20"/>
          <w:szCs w:val="20"/>
        </w:rPr>
        <w:t>.</w:t>
      </w:r>
      <w:bookmarkEnd w:id="351"/>
    </w:p>
    <w:p w14:paraId="21F2E7D0" w14:textId="18C81697" w:rsidR="006645A4" w:rsidRPr="00EB2E7B" w:rsidRDefault="006645A4"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Organem koordynującym prace służb dyspozytorskich, o których mowa w pkt.</w:t>
      </w:r>
      <w:r w:rsidR="006F68EC" w:rsidRPr="00EB2E7B">
        <w:rPr>
          <w:rFonts w:asciiTheme="minorHAnsi" w:hAnsiTheme="minorHAnsi" w:cstheme="minorHAnsi"/>
          <w:sz w:val="20"/>
          <w:szCs w:val="20"/>
        </w:rPr>
        <w:t xml:space="preserve"> </w:t>
      </w:r>
      <w:r w:rsidR="00963B55" w:rsidRPr="00EB2E7B">
        <w:rPr>
          <w:rFonts w:asciiTheme="minorHAnsi" w:hAnsiTheme="minorHAnsi" w:cstheme="minorHAnsi"/>
          <w:sz w:val="20"/>
          <w:szCs w:val="20"/>
        </w:rPr>
        <w:fldChar w:fldCharType="begin"/>
      </w:r>
      <w:r w:rsidR="00963B55" w:rsidRPr="00EB2E7B">
        <w:rPr>
          <w:rFonts w:asciiTheme="minorHAnsi" w:hAnsiTheme="minorHAnsi" w:cstheme="minorHAnsi"/>
          <w:sz w:val="20"/>
          <w:szCs w:val="20"/>
        </w:rPr>
        <w:instrText xml:space="preserve"> REF _Ref75517206 \r \h </w:instrText>
      </w:r>
      <w:r w:rsidR="00CC0175" w:rsidRPr="00EB2E7B">
        <w:rPr>
          <w:rFonts w:asciiTheme="minorHAnsi" w:hAnsiTheme="minorHAnsi" w:cstheme="minorHAnsi"/>
          <w:sz w:val="20"/>
          <w:szCs w:val="20"/>
        </w:rPr>
        <w:instrText xml:space="preserve"> \* MERGEFORMAT </w:instrText>
      </w:r>
      <w:r w:rsidR="00963B55" w:rsidRPr="00EB2E7B">
        <w:rPr>
          <w:rFonts w:asciiTheme="minorHAnsi" w:hAnsiTheme="minorHAnsi" w:cstheme="minorHAnsi"/>
          <w:sz w:val="20"/>
          <w:szCs w:val="20"/>
        </w:rPr>
      </w:r>
      <w:r w:rsidR="00963B5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VI.2.2</w:t>
      </w:r>
      <w:r w:rsidR="00963B5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są właściwi operatorzy systemów dystrybucyjnych.</w:t>
      </w:r>
    </w:p>
    <w:p w14:paraId="4C4A3C8A" w14:textId="4E0EA96B" w:rsidR="006645A4" w:rsidRPr="00EB2E7B" w:rsidRDefault="006645A4" w:rsidP="002F2E1D">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Służby dyspozytorskie ACPRO działają za pośrednictwem własnego personelu dyżurnego</w:t>
      </w:r>
      <w:r w:rsidR="00481ECF" w:rsidRPr="00EB2E7B">
        <w:rPr>
          <w:rFonts w:asciiTheme="minorHAnsi" w:hAnsiTheme="minorHAnsi" w:cstheme="minorHAnsi"/>
          <w:sz w:val="20"/>
          <w:szCs w:val="20"/>
        </w:rPr>
        <w:t xml:space="preserve">, </w:t>
      </w:r>
      <w:r w:rsidRPr="00EB2E7B">
        <w:rPr>
          <w:rFonts w:asciiTheme="minorHAnsi" w:hAnsiTheme="minorHAnsi" w:cstheme="minorHAnsi"/>
          <w:sz w:val="20"/>
          <w:szCs w:val="20"/>
        </w:rPr>
        <w:t>lub personelu dyżurnego innych podmiotów, na podstawie umów oraz instrukcji, o których mowa w pkt.</w:t>
      </w:r>
      <w:r w:rsidR="00BB0BE2" w:rsidRPr="00EB2E7B">
        <w:rPr>
          <w:rFonts w:asciiTheme="minorHAnsi" w:hAnsiTheme="minorHAnsi" w:cstheme="minorHAnsi"/>
          <w:sz w:val="20"/>
          <w:szCs w:val="20"/>
        </w:rPr>
        <w:t xml:space="preserve"> </w:t>
      </w:r>
      <w:r w:rsidR="007F1E91" w:rsidRPr="00EB2E7B">
        <w:rPr>
          <w:rFonts w:asciiTheme="minorHAnsi" w:hAnsiTheme="minorHAnsi" w:cstheme="minorHAnsi"/>
          <w:sz w:val="20"/>
          <w:szCs w:val="20"/>
        </w:rPr>
        <w:fldChar w:fldCharType="begin"/>
      </w:r>
      <w:r w:rsidR="007F1E91" w:rsidRPr="00EB2E7B">
        <w:rPr>
          <w:rFonts w:asciiTheme="minorHAnsi" w:hAnsiTheme="minorHAnsi" w:cstheme="minorHAnsi"/>
          <w:sz w:val="20"/>
          <w:szCs w:val="20"/>
        </w:rPr>
        <w:instrText xml:space="preserve"> REF _Ref190429106 \r \h  \* MERGEFORMAT </w:instrText>
      </w:r>
      <w:r w:rsidR="007F1E91" w:rsidRPr="00EB2E7B">
        <w:rPr>
          <w:rFonts w:asciiTheme="minorHAnsi" w:hAnsiTheme="minorHAnsi" w:cstheme="minorHAnsi"/>
          <w:sz w:val="20"/>
          <w:szCs w:val="20"/>
        </w:rPr>
      </w:r>
      <w:r w:rsidR="007F1E9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V.8</w:t>
      </w:r>
      <w:r w:rsidR="007F1E91" w:rsidRPr="00EB2E7B">
        <w:rPr>
          <w:rFonts w:asciiTheme="minorHAnsi" w:hAnsiTheme="minorHAnsi" w:cstheme="minorHAnsi"/>
          <w:sz w:val="20"/>
          <w:szCs w:val="20"/>
        </w:rPr>
        <w:fldChar w:fldCharType="end"/>
      </w:r>
    </w:p>
    <w:p w14:paraId="175FEB74" w14:textId="1B88D182" w:rsidR="006645A4" w:rsidRPr="00EB2E7B" w:rsidRDefault="006645A4" w:rsidP="00ED3AF8">
      <w:pPr>
        <w:pStyle w:val="Nagwek3"/>
        <w:ind w:left="1134" w:hanging="1134"/>
        <w:rPr>
          <w:rFonts w:asciiTheme="minorHAnsi" w:hAnsiTheme="minorHAnsi" w:cstheme="minorHAnsi"/>
          <w:sz w:val="20"/>
          <w:szCs w:val="20"/>
        </w:rPr>
      </w:pPr>
      <w:bookmarkStart w:id="352" w:name="_Ref148088537"/>
      <w:r w:rsidRPr="00EB2E7B">
        <w:rPr>
          <w:rFonts w:asciiTheme="minorHAnsi" w:hAnsiTheme="minorHAnsi" w:cstheme="minorHAnsi"/>
          <w:sz w:val="20"/>
          <w:szCs w:val="20"/>
        </w:rPr>
        <w:t xml:space="preserve">ACPRO </w:t>
      </w:r>
      <w:r w:rsidR="0034568C" w:rsidRPr="00EB2E7B">
        <w:rPr>
          <w:rFonts w:asciiTheme="minorHAnsi" w:hAnsiTheme="minorHAnsi" w:cstheme="minorHAnsi"/>
          <w:sz w:val="20"/>
          <w:szCs w:val="20"/>
        </w:rPr>
        <w:t>przy pomocy służb dyspozytorskich, na obszarze sieci dystrybucyjnej za której ruch odpowiada, operatywnie kieruje</w:t>
      </w:r>
      <w:r w:rsidRPr="00EB2E7B">
        <w:rPr>
          <w:rFonts w:asciiTheme="minorHAnsi" w:hAnsiTheme="minorHAnsi" w:cstheme="minorHAnsi"/>
          <w:sz w:val="20"/>
          <w:szCs w:val="20"/>
        </w:rPr>
        <w:t>:</w:t>
      </w:r>
      <w:bookmarkEnd w:id="352"/>
    </w:p>
    <w:p w14:paraId="3668DD09" w14:textId="77777777" w:rsidR="0034568C" w:rsidRPr="00EB2E7B" w:rsidRDefault="0034568C" w:rsidP="00393E78">
      <w:pPr>
        <w:pStyle w:val="apo"/>
        <w:numPr>
          <w:ilvl w:val="0"/>
          <w:numId w:val="163"/>
        </w:numPr>
        <w:ind w:left="1701" w:hanging="567"/>
        <w:rPr>
          <w:rFonts w:asciiTheme="minorHAnsi" w:hAnsiTheme="minorHAnsi" w:cstheme="minorHAnsi"/>
          <w:sz w:val="20"/>
          <w:szCs w:val="20"/>
        </w:rPr>
      </w:pPr>
      <w:r w:rsidRPr="00EB2E7B">
        <w:rPr>
          <w:rFonts w:asciiTheme="minorHAnsi" w:hAnsiTheme="minorHAnsi" w:cstheme="minorHAnsi"/>
          <w:sz w:val="20"/>
          <w:szCs w:val="20"/>
        </w:rPr>
        <w:t>układami pracy sieci dystrybucyjnej ACPRO,</w:t>
      </w:r>
    </w:p>
    <w:p w14:paraId="170C5393" w14:textId="1E5D4C38" w:rsidR="00D85D71" w:rsidRPr="00EB2E7B" w:rsidRDefault="0034568C" w:rsidP="00393E78">
      <w:pPr>
        <w:pStyle w:val="apo"/>
        <w:numPr>
          <w:ilvl w:val="0"/>
          <w:numId w:val="163"/>
        </w:numPr>
        <w:ind w:left="1701" w:hanging="567"/>
        <w:rPr>
          <w:rFonts w:asciiTheme="minorHAnsi" w:hAnsiTheme="minorHAnsi" w:cstheme="minorHAnsi"/>
          <w:sz w:val="20"/>
          <w:szCs w:val="20"/>
        </w:rPr>
      </w:pPr>
      <w:r w:rsidRPr="00EB2E7B">
        <w:rPr>
          <w:rFonts w:asciiTheme="minorHAnsi" w:hAnsiTheme="minorHAnsi" w:cstheme="minorHAnsi"/>
          <w:sz w:val="20"/>
          <w:szCs w:val="20"/>
        </w:rPr>
        <w:t>pracą modułów wytwarzania energii</w:t>
      </w:r>
      <w:r w:rsidR="00E31405" w:rsidRPr="00EB2E7B">
        <w:rPr>
          <w:rFonts w:asciiTheme="minorHAnsi" w:hAnsiTheme="minorHAnsi" w:cstheme="minorHAnsi"/>
          <w:sz w:val="20"/>
          <w:szCs w:val="20"/>
        </w:rPr>
        <w:t xml:space="preserve"> </w:t>
      </w:r>
      <w:proofErr w:type="spellStart"/>
      <w:r w:rsidR="00E31405" w:rsidRPr="00EB2E7B">
        <w:rPr>
          <w:rFonts w:asciiTheme="minorHAnsi" w:hAnsiTheme="minorHAnsi" w:cstheme="minorHAnsi"/>
          <w:sz w:val="20"/>
          <w:szCs w:val="20"/>
        </w:rPr>
        <w:t>nJWCD</w:t>
      </w:r>
      <w:proofErr w:type="spellEnd"/>
      <w:r w:rsidRPr="00EB2E7B">
        <w:rPr>
          <w:rFonts w:asciiTheme="minorHAnsi" w:hAnsiTheme="minorHAnsi" w:cstheme="minorHAnsi"/>
          <w:sz w:val="20"/>
          <w:szCs w:val="20"/>
        </w:rPr>
        <w:t xml:space="preserve"> przyłączonych do sieci dystrybucyjnej ACPRO,</w:t>
      </w:r>
      <w:r w:rsidR="00CB24C8" w:rsidRPr="00EB2E7B">
        <w:rPr>
          <w:rFonts w:asciiTheme="minorHAnsi" w:hAnsiTheme="minorHAnsi" w:cstheme="minorHAnsi"/>
          <w:sz w:val="20"/>
          <w:szCs w:val="20"/>
        </w:rPr>
        <w:t xml:space="preserve"> w tym JWCK w zakresie określonym w </w:t>
      </w:r>
      <w:proofErr w:type="spellStart"/>
      <w:r w:rsidR="00CB24C8" w:rsidRPr="00EB2E7B">
        <w:rPr>
          <w:rFonts w:asciiTheme="minorHAnsi" w:hAnsiTheme="minorHAnsi" w:cstheme="minorHAnsi"/>
          <w:sz w:val="20"/>
          <w:szCs w:val="20"/>
        </w:rPr>
        <w:t>IRiE</w:t>
      </w:r>
      <w:r w:rsidR="00D85D71" w:rsidRPr="00EB2E7B">
        <w:rPr>
          <w:rFonts w:asciiTheme="minorHAnsi" w:hAnsiTheme="minorHAnsi" w:cstheme="minorHAnsi"/>
          <w:sz w:val="20"/>
          <w:szCs w:val="20"/>
        </w:rPr>
        <w:t>S</w:t>
      </w:r>
      <w:r w:rsidR="00CB24C8" w:rsidRPr="00EB2E7B">
        <w:rPr>
          <w:rFonts w:asciiTheme="minorHAnsi" w:hAnsiTheme="minorHAnsi" w:cstheme="minorHAnsi"/>
          <w:sz w:val="20"/>
          <w:szCs w:val="20"/>
        </w:rPr>
        <w:t>P</w:t>
      </w:r>
      <w:proofErr w:type="spellEnd"/>
      <w:r w:rsidR="00851390" w:rsidRPr="00EB2E7B">
        <w:rPr>
          <w:rFonts w:asciiTheme="minorHAnsi" w:hAnsiTheme="minorHAnsi" w:cstheme="minorHAnsi"/>
          <w:sz w:val="20"/>
          <w:szCs w:val="20"/>
        </w:rPr>
        <w:t>,</w:t>
      </w:r>
    </w:p>
    <w:p w14:paraId="6FF485FF" w14:textId="28FEB8D7" w:rsidR="0034568C" w:rsidRPr="00EB2E7B" w:rsidRDefault="005128B9" w:rsidP="00393E78">
      <w:pPr>
        <w:pStyle w:val="apo"/>
        <w:numPr>
          <w:ilvl w:val="0"/>
          <w:numId w:val="163"/>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źródłami energii elektrycznej czynnej i biernej, w tym </w:t>
      </w:r>
      <w:r w:rsidR="006405E5" w:rsidRPr="00EB2E7B">
        <w:rPr>
          <w:rFonts w:asciiTheme="minorHAnsi" w:hAnsiTheme="minorHAnsi" w:cstheme="minorHAnsi"/>
          <w:sz w:val="20"/>
          <w:szCs w:val="20"/>
        </w:rPr>
        <w:t>pracą jednostek wytwórczych</w:t>
      </w:r>
      <w:r w:rsidR="0000621B" w:rsidRPr="00EB2E7B">
        <w:rPr>
          <w:rFonts w:asciiTheme="minorHAnsi" w:hAnsiTheme="minorHAnsi" w:cstheme="minorHAnsi"/>
          <w:sz w:val="20"/>
          <w:szCs w:val="20"/>
        </w:rPr>
        <w:t xml:space="preserve"> przyłączonych do sieci ACPRO</w:t>
      </w:r>
      <w:r w:rsidR="0034568C" w:rsidRPr="00EB2E7B">
        <w:rPr>
          <w:rFonts w:asciiTheme="minorHAnsi" w:hAnsiTheme="minorHAnsi" w:cstheme="minorHAnsi"/>
          <w:sz w:val="20"/>
          <w:szCs w:val="20"/>
        </w:rPr>
        <w:t xml:space="preserve"> innych niż JWCD</w:t>
      </w:r>
      <w:r w:rsidR="005A131B" w:rsidRPr="00EB2E7B">
        <w:rPr>
          <w:rFonts w:asciiTheme="minorHAnsi" w:hAnsiTheme="minorHAnsi" w:cstheme="minorHAnsi"/>
          <w:sz w:val="20"/>
          <w:szCs w:val="20"/>
        </w:rPr>
        <w:t>,</w:t>
      </w:r>
      <w:r w:rsidR="002841DB" w:rsidRPr="00EB2E7B">
        <w:rPr>
          <w:rFonts w:asciiTheme="minorHAnsi" w:hAnsiTheme="minorHAnsi" w:cstheme="minorHAnsi"/>
          <w:sz w:val="20"/>
          <w:szCs w:val="20"/>
        </w:rPr>
        <w:t xml:space="preserve"> </w:t>
      </w:r>
      <w:r w:rsidR="0034568C" w:rsidRPr="00EB2E7B">
        <w:rPr>
          <w:rFonts w:asciiTheme="minorHAnsi" w:hAnsiTheme="minorHAnsi" w:cstheme="minorHAnsi"/>
          <w:sz w:val="20"/>
          <w:szCs w:val="20"/>
        </w:rPr>
        <w:t>JWCK,</w:t>
      </w:r>
    </w:p>
    <w:p w14:paraId="12C57EC7" w14:textId="77777777" w:rsidR="0034568C" w:rsidRPr="00EB2E7B" w:rsidRDefault="0034568C" w:rsidP="00393E78">
      <w:pPr>
        <w:pStyle w:val="apo"/>
        <w:numPr>
          <w:ilvl w:val="0"/>
          <w:numId w:val="163"/>
        </w:numPr>
        <w:ind w:left="1701" w:hanging="567"/>
        <w:rPr>
          <w:rFonts w:asciiTheme="minorHAnsi" w:hAnsiTheme="minorHAnsi" w:cstheme="minorHAnsi"/>
          <w:sz w:val="20"/>
          <w:szCs w:val="20"/>
        </w:rPr>
      </w:pPr>
      <w:r w:rsidRPr="00EB2E7B">
        <w:rPr>
          <w:rFonts w:asciiTheme="minorHAnsi" w:hAnsiTheme="minorHAnsi" w:cstheme="minorHAnsi"/>
          <w:sz w:val="20"/>
          <w:szCs w:val="20"/>
        </w:rPr>
        <w:t>urządzeniami sieci dystrybucyjnej ACPRO,</w:t>
      </w:r>
    </w:p>
    <w:p w14:paraId="3D9D4493" w14:textId="29511430" w:rsidR="0034568C" w:rsidRPr="00EB2E7B" w:rsidRDefault="0034568C" w:rsidP="00393E78">
      <w:pPr>
        <w:pStyle w:val="apo"/>
        <w:numPr>
          <w:ilvl w:val="0"/>
          <w:numId w:val="163"/>
        </w:numPr>
        <w:ind w:left="1701" w:hanging="567"/>
        <w:rPr>
          <w:rFonts w:asciiTheme="minorHAnsi" w:hAnsiTheme="minorHAnsi" w:cstheme="minorHAnsi"/>
          <w:sz w:val="20"/>
          <w:szCs w:val="20"/>
        </w:rPr>
      </w:pPr>
      <w:r w:rsidRPr="00EB2E7B">
        <w:rPr>
          <w:rFonts w:asciiTheme="minorHAnsi" w:hAnsiTheme="minorHAnsi" w:cstheme="minorHAnsi"/>
          <w:sz w:val="20"/>
          <w:szCs w:val="20"/>
        </w:rPr>
        <w:t>liniami wymiany z siecią dystrybucyjną, za której ruch odpowiadają inni operatorzy systemów dystrybucyjnych, na podstawie zawartych umów,</w:t>
      </w:r>
    </w:p>
    <w:p w14:paraId="6CACA49E" w14:textId="005AC4BB" w:rsidR="006645A4" w:rsidRPr="00EB2E7B" w:rsidRDefault="0034568C" w:rsidP="00393E78">
      <w:pPr>
        <w:pStyle w:val="apo"/>
        <w:numPr>
          <w:ilvl w:val="0"/>
          <w:numId w:val="163"/>
        </w:numPr>
        <w:ind w:left="1701" w:hanging="567"/>
        <w:rPr>
          <w:rFonts w:asciiTheme="minorHAnsi" w:hAnsiTheme="minorHAnsi" w:cstheme="minorHAnsi"/>
          <w:sz w:val="20"/>
          <w:szCs w:val="20"/>
        </w:rPr>
      </w:pPr>
      <w:r w:rsidRPr="00EB2E7B">
        <w:rPr>
          <w:rFonts w:asciiTheme="minorHAnsi" w:hAnsiTheme="minorHAnsi" w:cstheme="minorHAnsi"/>
          <w:sz w:val="20"/>
          <w:szCs w:val="20"/>
        </w:rPr>
        <w:t>czynnościami łączeniowymi</w:t>
      </w:r>
      <w:r w:rsidR="005A131B" w:rsidRPr="00EB2E7B">
        <w:rPr>
          <w:rFonts w:asciiTheme="minorHAnsi" w:hAnsiTheme="minorHAnsi" w:cstheme="minorHAnsi"/>
          <w:sz w:val="20"/>
          <w:szCs w:val="20"/>
        </w:rPr>
        <w:t xml:space="preserve"> i regulacyjnymi wykonywanymi przez podległe służby dyspozytorskie lub personel dyżurny</w:t>
      </w:r>
      <w:r w:rsidRPr="00EB2E7B">
        <w:rPr>
          <w:rFonts w:asciiTheme="minorHAnsi" w:hAnsiTheme="minorHAnsi" w:cstheme="minorHAnsi"/>
          <w:sz w:val="20"/>
          <w:szCs w:val="20"/>
        </w:rPr>
        <w:t xml:space="preserve"> wg podziału kompetencji</w:t>
      </w:r>
      <w:r w:rsidR="006645A4" w:rsidRPr="00EB2E7B">
        <w:rPr>
          <w:rFonts w:asciiTheme="minorHAnsi" w:hAnsiTheme="minorHAnsi" w:cstheme="minorHAnsi"/>
          <w:sz w:val="20"/>
          <w:szCs w:val="20"/>
        </w:rPr>
        <w:t>.</w:t>
      </w:r>
    </w:p>
    <w:p w14:paraId="2EC35F14" w14:textId="73E3E6FB" w:rsidR="006645A4" w:rsidRPr="00EB2E7B" w:rsidRDefault="006645A4" w:rsidP="00393E7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Służby dyspozytorskie o których mowa w pkt.</w:t>
      </w:r>
      <w:r w:rsidR="00963B55" w:rsidRPr="00EB2E7B">
        <w:rPr>
          <w:rFonts w:asciiTheme="minorHAnsi" w:hAnsiTheme="minorHAnsi" w:cstheme="minorHAnsi"/>
          <w:sz w:val="20"/>
          <w:szCs w:val="20"/>
        </w:rPr>
        <w:fldChar w:fldCharType="begin"/>
      </w:r>
      <w:r w:rsidR="00963B55" w:rsidRPr="00EB2E7B">
        <w:rPr>
          <w:rFonts w:asciiTheme="minorHAnsi" w:hAnsiTheme="minorHAnsi" w:cstheme="minorHAnsi"/>
          <w:sz w:val="20"/>
          <w:szCs w:val="20"/>
        </w:rPr>
        <w:instrText xml:space="preserve"> REF _Ref148088537 \r \h </w:instrText>
      </w:r>
      <w:r w:rsidR="00445A98" w:rsidRPr="00EB2E7B">
        <w:rPr>
          <w:rFonts w:asciiTheme="minorHAnsi" w:hAnsiTheme="minorHAnsi" w:cstheme="minorHAnsi"/>
          <w:sz w:val="20"/>
          <w:szCs w:val="20"/>
        </w:rPr>
        <w:instrText xml:space="preserve"> \* MERGEFORMAT </w:instrText>
      </w:r>
      <w:r w:rsidR="00963B55" w:rsidRPr="00EB2E7B">
        <w:rPr>
          <w:rFonts w:asciiTheme="minorHAnsi" w:hAnsiTheme="minorHAnsi" w:cstheme="minorHAnsi"/>
          <w:sz w:val="20"/>
          <w:szCs w:val="20"/>
        </w:rPr>
      </w:r>
      <w:r w:rsidR="00963B5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VI.2.5</w:t>
      </w:r>
      <w:r w:rsidR="00963B55" w:rsidRPr="00EB2E7B">
        <w:rPr>
          <w:rFonts w:asciiTheme="minorHAnsi" w:hAnsiTheme="minorHAnsi" w:cstheme="minorHAnsi"/>
          <w:sz w:val="20"/>
          <w:szCs w:val="20"/>
        </w:rPr>
        <w:fldChar w:fldCharType="end"/>
      </w:r>
      <w:r w:rsidRPr="00EB2E7B">
        <w:rPr>
          <w:rFonts w:asciiTheme="minorHAnsi" w:hAnsiTheme="minorHAnsi" w:cstheme="minorHAnsi"/>
          <w:sz w:val="20"/>
          <w:szCs w:val="20"/>
        </w:rPr>
        <w:t>., sprawują operatywne kierownictwo nad urządzeniami systemu dystrybucyjnego, polegające w szczególności na:</w:t>
      </w:r>
    </w:p>
    <w:p w14:paraId="42744AC6" w14:textId="77777777" w:rsidR="006645A4" w:rsidRPr="00EB2E7B" w:rsidRDefault="006645A4" w:rsidP="00393E78">
      <w:pPr>
        <w:pStyle w:val="apo"/>
        <w:numPr>
          <w:ilvl w:val="0"/>
          <w:numId w:val="164"/>
        </w:numPr>
        <w:ind w:left="1701" w:hanging="567"/>
        <w:rPr>
          <w:rFonts w:asciiTheme="minorHAnsi" w:hAnsiTheme="minorHAnsi" w:cstheme="minorHAnsi"/>
          <w:sz w:val="20"/>
          <w:szCs w:val="20"/>
        </w:rPr>
      </w:pPr>
      <w:r w:rsidRPr="00EB2E7B">
        <w:rPr>
          <w:rFonts w:asciiTheme="minorHAnsi" w:hAnsiTheme="minorHAnsi" w:cstheme="minorHAnsi"/>
          <w:sz w:val="20"/>
          <w:szCs w:val="20"/>
        </w:rPr>
        <w:t>monitorowaniu pracy urządzeń,</w:t>
      </w:r>
    </w:p>
    <w:p w14:paraId="02656DD8" w14:textId="15BDCA09" w:rsidR="006645A4" w:rsidRPr="00EB2E7B" w:rsidRDefault="006645A4" w:rsidP="00393E78">
      <w:pPr>
        <w:pStyle w:val="apo"/>
        <w:numPr>
          <w:ilvl w:val="0"/>
          <w:numId w:val="164"/>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dokonywaniu operacji ruchowych, bądź wydawaniu poleceń dokonywania operacji ruchowych – z tym że dla elementów sieci innych podmiotów na podstawie zawartych umów</w:t>
      </w:r>
      <w:r w:rsidR="00E42547" w:rsidRPr="00EB2E7B">
        <w:rPr>
          <w:rFonts w:asciiTheme="minorHAnsi" w:hAnsiTheme="minorHAnsi" w:cstheme="minorHAnsi"/>
          <w:sz w:val="20"/>
          <w:szCs w:val="20"/>
        </w:rPr>
        <w:t xml:space="preserve"> i instrukcji współpracy</w:t>
      </w:r>
      <w:r w:rsidRPr="00EB2E7B">
        <w:rPr>
          <w:rFonts w:asciiTheme="minorHAnsi" w:hAnsiTheme="minorHAnsi" w:cstheme="minorHAnsi"/>
          <w:sz w:val="20"/>
          <w:szCs w:val="20"/>
        </w:rPr>
        <w:t>,</w:t>
      </w:r>
    </w:p>
    <w:p w14:paraId="083397C4" w14:textId="77777777" w:rsidR="006645A4" w:rsidRPr="00EB2E7B" w:rsidRDefault="006645A4" w:rsidP="00393E78">
      <w:pPr>
        <w:pStyle w:val="apo"/>
        <w:numPr>
          <w:ilvl w:val="0"/>
          <w:numId w:val="164"/>
        </w:numPr>
        <w:ind w:left="1701" w:hanging="567"/>
        <w:rPr>
          <w:rFonts w:asciiTheme="minorHAnsi" w:hAnsiTheme="minorHAnsi" w:cstheme="minorHAnsi"/>
          <w:sz w:val="20"/>
          <w:szCs w:val="20"/>
        </w:rPr>
      </w:pPr>
      <w:r w:rsidRPr="00EB2E7B">
        <w:rPr>
          <w:rFonts w:asciiTheme="minorHAnsi" w:hAnsiTheme="minorHAnsi" w:cstheme="minorHAnsi"/>
          <w:sz w:val="20"/>
          <w:szCs w:val="20"/>
        </w:rPr>
        <w:t>rejestrowaniu stanów pracy urządzeń,</w:t>
      </w:r>
    </w:p>
    <w:p w14:paraId="238D50B6" w14:textId="37A532E3" w:rsidR="006645A4" w:rsidRPr="00EB2E7B" w:rsidRDefault="006645A4" w:rsidP="00393E78">
      <w:pPr>
        <w:pStyle w:val="apo"/>
        <w:numPr>
          <w:ilvl w:val="0"/>
          <w:numId w:val="164"/>
        </w:numPr>
        <w:ind w:left="1701" w:hanging="567"/>
        <w:rPr>
          <w:rFonts w:asciiTheme="minorHAnsi" w:hAnsiTheme="minorHAnsi" w:cstheme="minorHAnsi"/>
          <w:sz w:val="20"/>
          <w:szCs w:val="20"/>
        </w:rPr>
      </w:pPr>
      <w:r w:rsidRPr="00EB2E7B">
        <w:rPr>
          <w:rFonts w:asciiTheme="minorHAnsi" w:hAnsiTheme="minorHAnsi" w:cstheme="minorHAnsi"/>
          <w:sz w:val="20"/>
          <w:szCs w:val="20"/>
        </w:rPr>
        <w:t>prowadzeniu analiz z pracy urządzeń systemu dystrybucyjnego.</w:t>
      </w:r>
    </w:p>
    <w:p w14:paraId="579DF353" w14:textId="2CFC6D19" w:rsidR="006645A4" w:rsidRPr="00EB2E7B" w:rsidRDefault="006645A4" w:rsidP="00393E78">
      <w:pPr>
        <w:pStyle w:val="Nagwek3"/>
        <w:ind w:left="1134" w:hanging="1134"/>
        <w:rPr>
          <w:rFonts w:asciiTheme="minorHAnsi" w:hAnsiTheme="minorHAnsi" w:cstheme="minorHAnsi"/>
          <w:sz w:val="20"/>
          <w:szCs w:val="20"/>
        </w:rPr>
      </w:pPr>
      <w:bookmarkStart w:id="353" w:name="_Ref148088547"/>
      <w:r w:rsidRPr="00EB2E7B">
        <w:rPr>
          <w:rFonts w:asciiTheme="minorHAnsi" w:hAnsiTheme="minorHAnsi" w:cstheme="minorHAnsi"/>
          <w:sz w:val="20"/>
          <w:szCs w:val="20"/>
        </w:rPr>
        <w:t>Służby dyspozytorskie ACPRO na obszarze sieci dystrybucyjnej, za której ruch odpowiada</w:t>
      </w:r>
      <w:r w:rsidR="001E0FFE" w:rsidRPr="00EB2E7B">
        <w:rPr>
          <w:rFonts w:asciiTheme="minorHAnsi" w:hAnsiTheme="minorHAnsi" w:cstheme="minorHAnsi"/>
          <w:sz w:val="20"/>
          <w:szCs w:val="20"/>
        </w:rPr>
        <w:t>ją</w:t>
      </w:r>
      <w:r w:rsidRPr="00EB2E7B">
        <w:rPr>
          <w:rFonts w:asciiTheme="minorHAnsi" w:hAnsiTheme="minorHAnsi" w:cstheme="minorHAnsi"/>
          <w:sz w:val="20"/>
          <w:szCs w:val="20"/>
        </w:rPr>
        <w:t>,</w:t>
      </w:r>
      <w:r w:rsidR="00AC426B" w:rsidRPr="00EB2E7B">
        <w:rPr>
          <w:rFonts w:asciiTheme="minorHAnsi" w:hAnsiTheme="minorHAnsi" w:cstheme="minorHAnsi"/>
          <w:sz w:val="20"/>
          <w:szCs w:val="20"/>
        </w:rPr>
        <w:t xml:space="preserve"> zgodnie z ustalonym podziałem kompetencji </w:t>
      </w:r>
      <w:r w:rsidRPr="00EB2E7B">
        <w:rPr>
          <w:rFonts w:asciiTheme="minorHAnsi" w:hAnsiTheme="minorHAnsi" w:cstheme="minorHAnsi"/>
          <w:sz w:val="20"/>
          <w:szCs w:val="20"/>
        </w:rPr>
        <w:t>sprawują operatywny nadzór nad:</w:t>
      </w:r>
      <w:bookmarkEnd w:id="353"/>
    </w:p>
    <w:p w14:paraId="00183CC7" w14:textId="6AF229E7" w:rsidR="006645A4" w:rsidRPr="00EB2E7B" w:rsidRDefault="006645A4" w:rsidP="00393E78">
      <w:pPr>
        <w:pStyle w:val="apo"/>
        <w:numPr>
          <w:ilvl w:val="0"/>
          <w:numId w:val="165"/>
        </w:numPr>
        <w:ind w:left="1701" w:hanging="567"/>
        <w:rPr>
          <w:rFonts w:asciiTheme="minorHAnsi" w:hAnsiTheme="minorHAnsi" w:cstheme="minorHAnsi"/>
          <w:sz w:val="20"/>
          <w:szCs w:val="20"/>
        </w:rPr>
      </w:pPr>
      <w:r w:rsidRPr="00EB2E7B">
        <w:rPr>
          <w:rFonts w:asciiTheme="minorHAnsi" w:hAnsiTheme="minorHAnsi" w:cstheme="minorHAnsi"/>
          <w:sz w:val="20"/>
          <w:szCs w:val="20"/>
        </w:rPr>
        <w:t>układami pracy sieci dystrybucyjnej ACPRO,</w:t>
      </w:r>
    </w:p>
    <w:p w14:paraId="3CE05CC9" w14:textId="4F05E30D" w:rsidR="006645A4" w:rsidRPr="00EB2E7B" w:rsidRDefault="006645A4" w:rsidP="00393E78">
      <w:pPr>
        <w:pStyle w:val="apo"/>
        <w:numPr>
          <w:ilvl w:val="0"/>
          <w:numId w:val="165"/>
        </w:numPr>
        <w:ind w:left="1701" w:hanging="567"/>
        <w:rPr>
          <w:rFonts w:asciiTheme="minorHAnsi" w:hAnsiTheme="minorHAnsi" w:cstheme="minorHAnsi"/>
          <w:sz w:val="20"/>
          <w:szCs w:val="20"/>
        </w:rPr>
      </w:pPr>
      <w:r w:rsidRPr="00EB2E7B">
        <w:rPr>
          <w:rFonts w:asciiTheme="minorHAnsi" w:hAnsiTheme="minorHAnsi" w:cstheme="minorHAnsi"/>
          <w:sz w:val="20"/>
          <w:szCs w:val="20"/>
        </w:rPr>
        <w:t>urządzeniami sieci dystrybucyjnej ACPRO,</w:t>
      </w:r>
    </w:p>
    <w:p w14:paraId="0654513C" w14:textId="4339F8CF" w:rsidR="006645A4" w:rsidRPr="00EB2E7B" w:rsidRDefault="006645A4" w:rsidP="00393E78">
      <w:pPr>
        <w:pStyle w:val="apo"/>
        <w:numPr>
          <w:ilvl w:val="0"/>
          <w:numId w:val="165"/>
        </w:numPr>
        <w:ind w:left="1701" w:hanging="567"/>
        <w:rPr>
          <w:rFonts w:asciiTheme="minorHAnsi" w:hAnsiTheme="minorHAnsi" w:cstheme="minorHAnsi"/>
          <w:sz w:val="20"/>
          <w:szCs w:val="20"/>
        </w:rPr>
      </w:pPr>
      <w:r w:rsidRPr="00EB2E7B">
        <w:rPr>
          <w:rFonts w:asciiTheme="minorHAnsi" w:hAnsiTheme="minorHAnsi" w:cstheme="minorHAnsi"/>
          <w:sz w:val="20"/>
          <w:szCs w:val="20"/>
        </w:rPr>
        <w:t>czynnościami łączeniowymi i regulacyjnymi wykonywanymi przez podległe mu służby dyspozytorskie lub personel dyżurny wg podziału kompetencji,</w:t>
      </w:r>
    </w:p>
    <w:p w14:paraId="26DEEFD5" w14:textId="314DA268" w:rsidR="006645A4" w:rsidRPr="00EB2E7B" w:rsidRDefault="00EF1E2A" w:rsidP="00393E78">
      <w:pPr>
        <w:pStyle w:val="apo"/>
        <w:numPr>
          <w:ilvl w:val="0"/>
          <w:numId w:val="16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źródłami energii elektrycznej czynnej i biernej, w tym pracą jednostek wytwórczych przyłączonych do sieci dystrybucyjnej </w:t>
      </w:r>
      <w:r w:rsidR="00D50896" w:rsidRPr="00EB2E7B">
        <w:rPr>
          <w:rFonts w:asciiTheme="minorHAnsi" w:hAnsiTheme="minorHAnsi" w:cstheme="minorHAnsi"/>
          <w:sz w:val="20"/>
          <w:szCs w:val="20"/>
        </w:rPr>
        <w:t>ACPRO</w:t>
      </w:r>
      <w:r w:rsidRPr="00EB2E7B">
        <w:rPr>
          <w:rFonts w:asciiTheme="minorHAnsi" w:hAnsiTheme="minorHAnsi" w:cstheme="minorHAnsi"/>
          <w:sz w:val="20"/>
          <w:szCs w:val="20"/>
        </w:rPr>
        <w:t>, innych niż JWCD i JWCK</w:t>
      </w:r>
      <w:r w:rsidR="00FA01DA" w:rsidRPr="00EB2E7B">
        <w:rPr>
          <w:rFonts w:asciiTheme="minorHAnsi" w:hAnsiTheme="minorHAnsi" w:cstheme="minorHAnsi"/>
          <w:sz w:val="20"/>
          <w:szCs w:val="20"/>
        </w:rPr>
        <w:t xml:space="preserve"> </w:t>
      </w:r>
      <w:r w:rsidR="006645A4" w:rsidRPr="00EB2E7B">
        <w:rPr>
          <w:rFonts w:asciiTheme="minorHAnsi" w:hAnsiTheme="minorHAnsi" w:cstheme="minorHAnsi"/>
          <w:sz w:val="20"/>
          <w:szCs w:val="20"/>
        </w:rPr>
        <w:t>operatywnie kierowanymi przez podległe mu służby dyspozytorskie.</w:t>
      </w:r>
    </w:p>
    <w:p w14:paraId="742EAE78" w14:textId="57EC2DC0" w:rsidR="00963B55" w:rsidRPr="00EB2E7B" w:rsidRDefault="00963B55" w:rsidP="00393E78">
      <w:pPr>
        <w:pStyle w:val="Nagwek3"/>
        <w:ind w:left="1134" w:hanging="1134"/>
        <w:rPr>
          <w:rFonts w:asciiTheme="minorHAnsi" w:hAnsiTheme="minorHAnsi" w:cstheme="minorHAnsi"/>
          <w:sz w:val="20"/>
          <w:szCs w:val="20"/>
        </w:rPr>
      </w:pPr>
      <w:bookmarkStart w:id="354" w:name="_Ref148088562"/>
      <w:r w:rsidRPr="00EB2E7B">
        <w:rPr>
          <w:rFonts w:asciiTheme="minorHAnsi" w:hAnsiTheme="minorHAnsi" w:cstheme="minorHAnsi"/>
          <w:sz w:val="20"/>
          <w:szCs w:val="20"/>
        </w:rPr>
        <w:t>Służby dyspozytorskie o których mowa w pkt.</w:t>
      </w:r>
      <w:r w:rsidR="00493523"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_Ref148088547 \r \h </w:instrText>
      </w:r>
      <w:r w:rsidR="0044643C"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VI.2.7</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sprawują operatywny nadzór nad określonymi urządzeniami systemu dystrybucyjnego ACPRO, polegający w szczególności na:</w:t>
      </w:r>
      <w:bookmarkEnd w:id="354"/>
    </w:p>
    <w:p w14:paraId="72FC286E" w14:textId="77777777" w:rsidR="00963B55" w:rsidRPr="00EB2E7B" w:rsidRDefault="00963B55" w:rsidP="00393E78">
      <w:pPr>
        <w:pStyle w:val="apo"/>
        <w:numPr>
          <w:ilvl w:val="0"/>
          <w:numId w:val="166"/>
        </w:numPr>
        <w:ind w:left="1701" w:hanging="567"/>
        <w:rPr>
          <w:rFonts w:asciiTheme="minorHAnsi" w:hAnsiTheme="minorHAnsi" w:cstheme="minorHAnsi"/>
          <w:sz w:val="20"/>
          <w:szCs w:val="20"/>
        </w:rPr>
      </w:pPr>
      <w:r w:rsidRPr="00EB2E7B">
        <w:rPr>
          <w:rFonts w:asciiTheme="minorHAnsi" w:hAnsiTheme="minorHAnsi" w:cstheme="minorHAnsi"/>
          <w:sz w:val="20"/>
          <w:szCs w:val="20"/>
        </w:rPr>
        <w:t>bieżącym uzyskiwaniu informacji o stanie pracy urządzeń,</w:t>
      </w:r>
    </w:p>
    <w:p w14:paraId="4EA7F028" w14:textId="77777777" w:rsidR="00963B55" w:rsidRPr="00EB2E7B" w:rsidRDefault="00963B55" w:rsidP="00393E78">
      <w:pPr>
        <w:pStyle w:val="apo"/>
        <w:numPr>
          <w:ilvl w:val="0"/>
          <w:numId w:val="166"/>
        </w:numPr>
        <w:ind w:left="1701" w:hanging="567"/>
        <w:rPr>
          <w:rFonts w:asciiTheme="minorHAnsi" w:hAnsiTheme="minorHAnsi" w:cstheme="minorHAnsi"/>
          <w:sz w:val="20"/>
          <w:szCs w:val="20"/>
        </w:rPr>
      </w:pPr>
      <w:r w:rsidRPr="00EB2E7B">
        <w:rPr>
          <w:rFonts w:asciiTheme="minorHAnsi" w:hAnsiTheme="minorHAnsi" w:cstheme="minorHAnsi"/>
          <w:sz w:val="20"/>
          <w:szCs w:val="20"/>
        </w:rPr>
        <w:t>przejmowaniu w uzasadnionych przypadkach operatywnego kierownictwa nad urządzeniami,</w:t>
      </w:r>
    </w:p>
    <w:p w14:paraId="2E81775F" w14:textId="2CA82062" w:rsidR="00963B55" w:rsidRPr="00EB2E7B" w:rsidRDefault="00963B55" w:rsidP="00393E78">
      <w:pPr>
        <w:pStyle w:val="apo"/>
        <w:numPr>
          <w:ilvl w:val="0"/>
          <w:numId w:val="166"/>
        </w:numPr>
        <w:ind w:left="1701" w:hanging="567"/>
        <w:rPr>
          <w:rFonts w:asciiTheme="minorHAnsi" w:hAnsiTheme="minorHAnsi" w:cstheme="minorHAnsi"/>
          <w:sz w:val="20"/>
          <w:szCs w:val="20"/>
        </w:rPr>
      </w:pPr>
      <w:r w:rsidRPr="00EB2E7B">
        <w:rPr>
          <w:rFonts w:asciiTheme="minorHAnsi" w:hAnsiTheme="minorHAnsi" w:cstheme="minorHAnsi"/>
          <w:sz w:val="20"/>
          <w:szCs w:val="20"/>
        </w:rPr>
        <w:t>wydawaniu zgody na wykonanie czynności ruchowych.</w:t>
      </w:r>
    </w:p>
    <w:p w14:paraId="65BA8421" w14:textId="3F3F73CE" w:rsidR="00317194" w:rsidRPr="00EB2E7B" w:rsidRDefault="00963B55" w:rsidP="00393E7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Wszystkie rozmowy telefoniczne prowadzone przez służby dyspozytorskie ACPRO w ramach wykonywania funkcji określonych w pkt.</w:t>
      </w:r>
      <w:r w:rsidR="00071BC0"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_Ref148088537 \r \h </w:instrText>
      </w:r>
      <w:r w:rsidR="00960A68"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VI.2.5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_Ref148088562 \r \h </w:instrText>
      </w:r>
      <w:r w:rsidR="00960A68"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VI.2.8</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FC4E4D" w:rsidRPr="00EB2E7B">
        <w:rPr>
          <w:rFonts w:asciiTheme="minorHAnsi" w:hAnsiTheme="minorHAnsi" w:cstheme="minorHAnsi"/>
          <w:sz w:val="20"/>
          <w:szCs w:val="20"/>
        </w:rPr>
        <w:t>są</w:t>
      </w:r>
      <w:r w:rsidRPr="00EB2E7B">
        <w:rPr>
          <w:rFonts w:asciiTheme="minorHAnsi" w:hAnsiTheme="minorHAnsi" w:cstheme="minorHAnsi"/>
          <w:sz w:val="20"/>
          <w:szCs w:val="20"/>
        </w:rPr>
        <w:t xml:space="preserve"> rejestrowane na nośniku magnetycznym lub cyfrowym</w:t>
      </w:r>
      <w:r w:rsidR="00FC4E4D" w:rsidRPr="00EB2E7B">
        <w:rPr>
          <w:rFonts w:asciiTheme="minorHAnsi" w:hAnsiTheme="minorHAnsi" w:cstheme="minorHAnsi"/>
          <w:sz w:val="20"/>
          <w:szCs w:val="20"/>
        </w:rPr>
        <w:t>.</w:t>
      </w:r>
      <w:r w:rsidRPr="00EB2E7B">
        <w:rPr>
          <w:rFonts w:asciiTheme="minorHAnsi" w:hAnsiTheme="minorHAnsi" w:cstheme="minorHAnsi"/>
          <w:sz w:val="20"/>
          <w:szCs w:val="20"/>
        </w:rPr>
        <w:t xml:space="preserve"> ACPRO ustala okres ich przechowywania</w:t>
      </w:r>
    </w:p>
    <w:p w14:paraId="6A93117D" w14:textId="5733D5C7" w:rsidR="00963B55" w:rsidRPr="00EB2E7B" w:rsidRDefault="007D50E2" w:rsidP="00393E7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W przypadku wystąpienia awarii w sieci dystrybucyjnej, ACPRO w uzasadnionych przypadkach powołuje komisję, która ustala przebieg awarii i przyczyny jej powstania, a także proponuje działania zapobiegawcze.</w:t>
      </w:r>
    </w:p>
    <w:p w14:paraId="3DC3F7D8" w14:textId="77777777" w:rsidR="00473957" w:rsidRPr="00EB2E7B" w:rsidRDefault="0077111A">
      <w:pPr>
        <w:pStyle w:val="Nagwek2"/>
        <w:rPr>
          <w:rFonts w:asciiTheme="minorHAnsi" w:hAnsiTheme="minorHAnsi" w:cstheme="minorHAnsi"/>
          <w:bCs/>
          <w:sz w:val="20"/>
          <w:szCs w:val="20"/>
        </w:rPr>
      </w:pPr>
      <w:bookmarkStart w:id="355" w:name="_Ref75518613"/>
      <w:bookmarkStart w:id="356" w:name="_Toc180153744"/>
      <w:bookmarkStart w:id="357" w:name="_Toc239333350"/>
      <w:r w:rsidRPr="00EB2E7B">
        <w:rPr>
          <w:rFonts w:asciiTheme="minorHAnsi" w:hAnsiTheme="minorHAnsi" w:cstheme="minorHAnsi"/>
          <w:sz w:val="20"/>
          <w:szCs w:val="20"/>
        </w:rPr>
        <w:t>PLANOWANIE PRODUKCJI ENERGII ELEKTRYCZNEJ</w:t>
      </w:r>
      <w:bookmarkEnd w:id="355"/>
      <w:bookmarkEnd w:id="356"/>
      <w:bookmarkEnd w:id="357"/>
    </w:p>
    <w:p w14:paraId="2207E765" w14:textId="6370D7F0" w:rsidR="00C51D34" w:rsidRPr="00EB2E7B" w:rsidRDefault="00232DA9" w:rsidP="00393E78">
      <w:pPr>
        <w:pStyle w:val="Nagwek3"/>
        <w:ind w:left="1134" w:hanging="1134"/>
        <w:rPr>
          <w:rFonts w:asciiTheme="minorHAnsi" w:hAnsiTheme="minorHAnsi" w:cstheme="minorHAnsi"/>
          <w:sz w:val="20"/>
          <w:szCs w:val="20"/>
        </w:rPr>
      </w:pPr>
      <w:bookmarkStart w:id="358" w:name="_Ref75517629"/>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r w:rsidR="0034568C" w:rsidRPr="00EB2E7B">
        <w:rPr>
          <w:rFonts w:asciiTheme="minorHAnsi" w:hAnsiTheme="minorHAnsi" w:cstheme="minorHAnsi"/>
          <w:sz w:val="20"/>
          <w:szCs w:val="20"/>
        </w:rPr>
        <w:t xml:space="preserve">sporządza koordynacyjne plany pracy </w:t>
      </w:r>
      <w:r w:rsidR="00E53ADA" w:rsidRPr="00EB2E7B">
        <w:rPr>
          <w:rFonts w:asciiTheme="minorHAnsi" w:hAnsiTheme="minorHAnsi" w:cstheme="minorHAnsi"/>
          <w:sz w:val="20"/>
          <w:szCs w:val="20"/>
        </w:rPr>
        <w:t>jednostek wytwórczych</w:t>
      </w:r>
      <w:r w:rsidR="0034568C" w:rsidRPr="00EB2E7B">
        <w:rPr>
          <w:rFonts w:asciiTheme="minorHAnsi" w:hAnsiTheme="minorHAnsi" w:cstheme="minorHAnsi"/>
          <w:sz w:val="20"/>
          <w:szCs w:val="20"/>
        </w:rPr>
        <w:t xml:space="preserve"> i magazynów energii elektrycznej, zgodnie z postanowieniami TCM</w:t>
      </w:r>
      <w:r w:rsidR="002841DB" w:rsidRPr="00EB2E7B">
        <w:rPr>
          <w:rFonts w:asciiTheme="minorHAnsi" w:hAnsiTheme="minorHAnsi" w:cstheme="minorHAnsi"/>
          <w:sz w:val="20"/>
          <w:szCs w:val="20"/>
        </w:rPr>
        <w:t xml:space="preserve"> </w:t>
      </w:r>
      <w:r w:rsidR="0034568C" w:rsidRPr="00EB2E7B">
        <w:rPr>
          <w:rFonts w:asciiTheme="minorHAnsi" w:hAnsiTheme="minorHAnsi" w:cstheme="minorHAnsi"/>
          <w:sz w:val="20"/>
          <w:szCs w:val="20"/>
        </w:rPr>
        <w:t>- zakres wymienianych danych opracowany przez OSP</w:t>
      </w:r>
      <w:r w:rsidR="0077111A" w:rsidRPr="00EB2E7B">
        <w:rPr>
          <w:rFonts w:asciiTheme="minorHAnsi" w:hAnsiTheme="minorHAnsi" w:cstheme="minorHAnsi"/>
          <w:sz w:val="20"/>
          <w:szCs w:val="20"/>
        </w:rPr>
        <w:t>.</w:t>
      </w:r>
      <w:bookmarkEnd w:id="358"/>
    </w:p>
    <w:p w14:paraId="2444E3F0" w14:textId="1EE2E3CB" w:rsidR="00473957" w:rsidRPr="00EB2E7B" w:rsidRDefault="00232DA9" w:rsidP="00393E78">
      <w:pPr>
        <w:pStyle w:val="Nagwek3"/>
        <w:numPr>
          <w:ilvl w:val="2"/>
          <w:numId w:val="76"/>
        </w:numPr>
        <w:ind w:left="1134" w:hanging="1134"/>
        <w:rPr>
          <w:rFonts w:asciiTheme="minorHAnsi" w:hAnsiTheme="minorHAnsi" w:cstheme="minorHAnsi"/>
          <w:sz w:val="20"/>
          <w:szCs w:val="20"/>
        </w:rPr>
      </w:pPr>
      <w:bookmarkStart w:id="359" w:name="_Ref190092901"/>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t>
      </w:r>
      <w:r w:rsidR="0093627C" w:rsidRPr="00EB2E7B">
        <w:rPr>
          <w:rFonts w:asciiTheme="minorHAnsi" w:hAnsiTheme="minorHAnsi" w:cstheme="minorHAnsi"/>
          <w:sz w:val="20"/>
          <w:szCs w:val="20"/>
        </w:rPr>
        <w:t>w uzgodnieniu z OSP</w:t>
      </w:r>
      <w:r w:rsidR="00FA567A" w:rsidRPr="00EB2E7B">
        <w:rPr>
          <w:rFonts w:asciiTheme="minorHAnsi" w:hAnsiTheme="minorHAnsi" w:cstheme="minorHAnsi"/>
          <w:sz w:val="20"/>
          <w:szCs w:val="20"/>
        </w:rPr>
        <w:t xml:space="preserve"> za pośrednictwem </w:t>
      </w:r>
      <w:proofErr w:type="spellStart"/>
      <w:r w:rsidR="00FA567A" w:rsidRPr="00EB2E7B">
        <w:rPr>
          <w:rFonts w:asciiTheme="minorHAnsi" w:hAnsiTheme="minorHAnsi" w:cstheme="minorHAnsi"/>
          <w:sz w:val="20"/>
          <w:szCs w:val="20"/>
        </w:rPr>
        <w:t>OSDp</w:t>
      </w:r>
      <w:proofErr w:type="spellEnd"/>
      <w:r w:rsidR="0093627C" w:rsidRPr="00EB2E7B">
        <w:rPr>
          <w:rFonts w:asciiTheme="minorHAnsi" w:hAnsiTheme="minorHAnsi" w:cstheme="minorHAnsi"/>
          <w:sz w:val="20"/>
          <w:szCs w:val="20"/>
        </w:rPr>
        <w:t xml:space="preserve"> sporządza </w:t>
      </w:r>
      <w:r w:rsidR="006B6234" w:rsidRPr="00EB2E7B">
        <w:rPr>
          <w:rFonts w:asciiTheme="minorHAnsi" w:hAnsiTheme="minorHAnsi" w:cstheme="minorHAnsi"/>
          <w:sz w:val="20"/>
          <w:szCs w:val="20"/>
        </w:rPr>
        <w:t>średnioterminowe oraz dobowe plany prac</w:t>
      </w:r>
      <w:r w:rsidR="008C5435" w:rsidRPr="00EB2E7B">
        <w:rPr>
          <w:rFonts w:asciiTheme="minorHAnsi" w:hAnsiTheme="minorHAnsi" w:cstheme="minorHAnsi"/>
          <w:sz w:val="20"/>
          <w:szCs w:val="20"/>
        </w:rPr>
        <w:t>y</w:t>
      </w:r>
      <w:r w:rsidR="006B6234" w:rsidRPr="00EB2E7B">
        <w:rPr>
          <w:rFonts w:asciiTheme="minorHAnsi" w:hAnsiTheme="minorHAnsi" w:cstheme="minorHAnsi"/>
          <w:sz w:val="20"/>
          <w:szCs w:val="20"/>
        </w:rPr>
        <w:t xml:space="preserve"> jednostek wytwórczych </w:t>
      </w:r>
      <w:r w:rsidR="00E94AD3" w:rsidRPr="00EB2E7B">
        <w:rPr>
          <w:rFonts w:asciiTheme="minorHAnsi" w:hAnsiTheme="minorHAnsi" w:cstheme="minorHAnsi"/>
          <w:sz w:val="20"/>
          <w:szCs w:val="20"/>
        </w:rPr>
        <w:t xml:space="preserve">i </w:t>
      </w:r>
      <w:r w:rsidR="006B6234" w:rsidRPr="00EB2E7B">
        <w:rPr>
          <w:rFonts w:asciiTheme="minorHAnsi" w:hAnsiTheme="minorHAnsi" w:cstheme="minorHAnsi"/>
          <w:sz w:val="20"/>
          <w:szCs w:val="20"/>
        </w:rPr>
        <w:t xml:space="preserve">magazynów energii elektrycznej przyłączonych do sieci dystrybucyjnej ACPRO zgodnie z postanowieniami TCM. </w:t>
      </w:r>
      <w:bookmarkEnd w:id="359"/>
    </w:p>
    <w:p w14:paraId="4CCBCEFF" w14:textId="58271ED6" w:rsidR="00E42F0F" w:rsidRPr="00EB2E7B" w:rsidRDefault="00AD4299" w:rsidP="005B775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Użytkownicy systemu przyłączeni do sieci dystrybucyjnej </w:t>
      </w:r>
      <w:r w:rsidR="00D50896"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uczestniczący w rynku bilansującym podlegają procesowi planowania technicznych możliwości pokrycia zapotrzebowania na moc i energię elektryczną, w tym sporządzania </w:t>
      </w:r>
      <w:r w:rsidR="00D16EEC" w:rsidRPr="00EB2E7B">
        <w:rPr>
          <w:rFonts w:asciiTheme="minorHAnsi" w:hAnsiTheme="minorHAnsi" w:cstheme="minorHAnsi"/>
          <w:sz w:val="20"/>
          <w:szCs w:val="20"/>
        </w:rPr>
        <w:t xml:space="preserve">dobowych planów pracy jednostek wytwórczych, realizowanemu przez </w:t>
      </w:r>
      <w:r w:rsidR="00BE6B5A" w:rsidRPr="00EB2E7B">
        <w:rPr>
          <w:rFonts w:asciiTheme="minorHAnsi" w:hAnsiTheme="minorHAnsi" w:cstheme="minorHAnsi"/>
          <w:sz w:val="20"/>
          <w:szCs w:val="20"/>
        </w:rPr>
        <w:t>OS</w:t>
      </w:r>
      <w:r w:rsidR="00F3576C" w:rsidRPr="00EB2E7B">
        <w:rPr>
          <w:rFonts w:asciiTheme="minorHAnsi" w:hAnsiTheme="minorHAnsi" w:cstheme="minorHAnsi"/>
          <w:sz w:val="20"/>
          <w:szCs w:val="20"/>
        </w:rPr>
        <w:t>P</w:t>
      </w:r>
      <w:r w:rsidR="00D16EEC" w:rsidRPr="00EB2E7B">
        <w:rPr>
          <w:rFonts w:asciiTheme="minorHAnsi" w:hAnsiTheme="minorHAnsi" w:cstheme="minorHAnsi"/>
          <w:sz w:val="20"/>
          <w:szCs w:val="20"/>
        </w:rPr>
        <w:t>. Użytkowników systemu obowiązują w tym zakresie zapisy</w:t>
      </w:r>
      <w:r w:rsidR="00135B46" w:rsidRPr="00EB2E7B">
        <w:rPr>
          <w:rFonts w:asciiTheme="minorHAnsi" w:hAnsiTheme="minorHAnsi" w:cstheme="minorHAnsi"/>
          <w:sz w:val="20"/>
          <w:szCs w:val="20"/>
        </w:rPr>
        <w:t xml:space="preserve"> </w:t>
      </w:r>
      <w:proofErr w:type="spellStart"/>
      <w:r w:rsidR="00135B46" w:rsidRPr="00EB2E7B">
        <w:rPr>
          <w:rFonts w:asciiTheme="minorHAnsi" w:hAnsiTheme="minorHAnsi" w:cstheme="minorHAnsi"/>
          <w:sz w:val="20"/>
          <w:szCs w:val="20"/>
        </w:rPr>
        <w:t>IRiESP</w:t>
      </w:r>
      <w:proofErr w:type="spellEnd"/>
      <w:r w:rsidR="00135B46" w:rsidRPr="00EB2E7B">
        <w:rPr>
          <w:rFonts w:asciiTheme="minorHAnsi" w:hAnsiTheme="minorHAnsi" w:cstheme="minorHAnsi"/>
          <w:sz w:val="20"/>
          <w:szCs w:val="20"/>
        </w:rPr>
        <w:t xml:space="preserve">. </w:t>
      </w:r>
    </w:p>
    <w:p w14:paraId="37D81834" w14:textId="135B6C42" w:rsidR="00E42F0F" w:rsidRPr="00EB2E7B" w:rsidRDefault="00E52648" w:rsidP="00393E7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ACPRO</w:t>
      </w:r>
      <w:r w:rsidR="00E42F0F" w:rsidRPr="00EB2E7B">
        <w:rPr>
          <w:rFonts w:asciiTheme="minorHAnsi" w:hAnsiTheme="minorHAnsi" w:cstheme="minorHAnsi"/>
          <w:sz w:val="20"/>
          <w:szCs w:val="20"/>
        </w:rPr>
        <w:t xml:space="preserve"> ustala sposób udostępniania planów, o których mowa w pkt</w:t>
      </w:r>
      <w:r w:rsidR="00E04ED0" w:rsidRPr="00EB2E7B">
        <w:rPr>
          <w:rFonts w:asciiTheme="minorHAnsi" w:hAnsiTheme="minorHAnsi" w:cstheme="minorHAnsi"/>
          <w:sz w:val="20"/>
          <w:szCs w:val="20"/>
        </w:rPr>
        <w:t xml:space="preserve"> </w:t>
      </w:r>
      <w:r w:rsidR="00157BEC" w:rsidRPr="00EB2E7B">
        <w:rPr>
          <w:rFonts w:asciiTheme="minorHAnsi" w:hAnsiTheme="minorHAnsi" w:cstheme="minorHAnsi"/>
          <w:sz w:val="20"/>
          <w:szCs w:val="20"/>
        </w:rPr>
        <w:fldChar w:fldCharType="begin"/>
      </w:r>
      <w:r w:rsidR="00157BEC" w:rsidRPr="00EB2E7B">
        <w:rPr>
          <w:rFonts w:asciiTheme="minorHAnsi" w:hAnsiTheme="minorHAnsi" w:cstheme="minorHAnsi"/>
          <w:sz w:val="20"/>
          <w:szCs w:val="20"/>
        </w:rPr>
        <w:instrText xml:space="preserve"> REF _Ref75517629 \w \h </w:instrText>
      </w:r>
      <w:r w:rsidR="003150C5" w:rsidRPr="00EB2E7B">
        <w:rPr>
          <w:rFonts w:asciiTheme="minorHAnsi" w:hAnsiTheme="minorHAnsi" w:cstheme="minorHAnsi"/>
          <w:sz w:val="20"/>
          <w:szCs w:val="20"/>
        </w:rPr>
        <w:instrText xml:space="preserve"> \* MERGEFORMAT </w:instrText>
      </w:r>
      <w:r w:rsidR="00157BEC" w:rsidRPr="00EB2E7B">
        <w:rPr>
          <w:rFonts w:asciiTheme="minorHAnsi" w:hAnsiTheme="minorHAnsi" w:cstheme="minorHAnsi"/>
          <w:sz w:val="20"/>
          <w:szCs w:val="20"/>
        </w:rPr>
      </w:r>
      <w:r w:rsidR="00157BE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VI.3.1</w:t>
      </w:r>
      <w:r w:rsidR="00157BEC" w:rsidRPr="00EB2E7B">
        <w:rPr>
          <w:rFonts w:asciiTheme="minorHAnsi" w:hAnsiTheme="minorHAnsi" w:cstheme="minorHAnsi"/>
          <w:sz w:val="20"/>
          <w:szCs w:val="20"/>
        </w:rPr>
        <w:fldChar w:fldCharType="end"/>
      </w:r>
      <w:r w:rsidR="00E42F0F" w:rsidRPr="00EB2E7B">
        <w:rPr>
          <w:rFonts w:asciiTheme="minorHAnsi" w:hAnsiTheme="minorHAnsi" w:cstheme="minorHAnsi"/>
          <w:sz w:val="20"/>
          <w:szCs w:val="20"/>
        </w:rPr>
        <w:t xml:space="preserve">. i </w:t>
      </w:r>
      <w:r w:rsidR="003150C5" w:rsidRPr="00EB2E7B">
        <w:rPr>
          <w:rFonts w:asciiTheme="minorHAnsi" w:hAnsiTheme="minorHAnsi" w:cstheme="minorHAnsi"/>
          <w:sz w:val="20"/>
          <w:szCs w:val="20"/>
        </w:rPr>
        <w:fldChar w:fldCharType="begin"/>
      </w:r>
      <w:r w:rsidR="003150C5" w:rsidRPr="00EB2E7B">
        <w:rPr>
          <w:rFonts w:asciiTheme="minorHAnsi" w:hAnsiTheme="minorHAnsi" w:cstheme="minorHAnsi"/>
          <w:sz w:val="20"/>
          <w:szCs w:val="20"/>
        </w:rPr>
        <w:instrText xml:space="preserve"> REF _Ref190092901 \w \h  \* MERGEFORMAT </w:instrText>
      </w:r>
      <w:r w:rsidR="003150C5" w:rsidRPr="00EB2E7B">
        <w:rPr>
          <w:rFonts w:asciiTheme="minorHAnsi" w:hAnsiTheme="minorHAnsi" w:cstheme="minorHAnsi"/>
          <w:sz w:val="20"/>
          <w:szCs w:val="20"/>
        </w:rPr>
      </w:r>
      <w:r w:rsidR="003150C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VI.3.2</w:t>
      </w:r>
      <w:r w:rsidR="003150C5" w:rsidRPr="00EB2E7B">
        <w:rPr>
          <w:rFonts w:asciiTheme="minorHAnsi" w:hAnsiTheme="minorHAnsi" w:cstheme="minorHAnsi"/>
          <w:sz w:val="20"/>
          <w:szCs w:val="20"/>
        </w:rPr>
        <w:fldChar w:fldCharType="end"/>
      </w:r>
      <w:r w:rsidR="00E42F0F" w:rsidRPr="00EB2E7B">
        <w:rPr>
          <w:rFonts w:asciiTheme="minorHAnsi" w:hAnsiTheme="minorHAnsi" w:cstheme="minorHAnsi"/>
          <w:sz w:val="20"/>
          <w:szCs w:val="20"/>
        </w:rPr>
        <w:t>. Natomiast dane do tworzenia planów, w zakresie oraz terminach</w:t>
      </w:r>
      <w:r w:rsidR="00E04ED0" w:rsidRPr="00EB2E7B">
        <w:rPr>
          <w:rFonts w:asciiTheme="minorHAnsi" w:hAnsiTheme="minorHAnsi" w:cstheme="minorHAnsi"/>
          <w:sz w:val="20"/>
          <w:szCs w:val="20"/>
        </w:rPr>
        <w:t xml:space="preserve"> </w:t>
      </w:r>
      <w:r w:rsidR="00E42F0F" w:rsidRPr="00EB2E7B">
        <w:rPr>
          <w:rFonts w:asciiTheme="minorHAnsi" w:hAnsiTheme="minorHAnsi" w:cstheme="minorHAnsi"/>
          <w:sz w:val="20"/>
          <w:szCs w:val="20"/>
        </w:rPr>
        <w:t xml:space="preserve">określonych w </w:t>
      </w:r>
      <w:proofErr w:type="spellStart"/>
      <w:r w:rsidR="00E42F0F" w:rsidRPr="00EB2E7B">
        <w:rPr>
          <w:rFonts w:asciiTheme="minorHAnsi" w:hAnsiTheme="minorHAnsi" w:cstheme="minorHAnsi"/>
          <w:sz w:val="20"/>
          <w:szCs w:val="20"/>
        </w:rPr>
        <w:t>IRiESP</w:t>
      </w:r>
      <w:proofErr w:type="spellEnd"/>
      <w:r w:rsidR="00E42F0F" w:rsidRPr="00EB2E7B">
        <w:rPr>
          <w:rFonts w:asciiTheme="minorHAnsi" w:hAnsiTheme="minorHAnsi" w:cstheme="minorHAnsi"/>
          <w:sz w:val="20"/>
          <w:szCs w:val="20"/>
        </w:rPr>
        <w:t xml:space="preserve">, są przekazywane do </w:t>
      </w:r>
      <w:r w:rsidR="00770369" w:rsidRPr="00EB2E7B">
        <w:rPr>
          <w:rFonts w:asciiTheme="minorHAnsi" w:hAnsiTheme="minorHAnsi" w:cstheme="minorHAnsi"/>
          <w:sz w:val="20"/>
          <w:szCs w:val="20"/>
        </w:rPr>
        <w:t>OSP</w:t>
      </w:r>
      <w:r w:rsidR="00915D34" w:rsidRPr="00EB2E7B">
        <w:rPr>
          <w:rFonts w:asciiTheme="minorHAnsi" w:hAnsiTheme="minorHAnsi" w:cstheme="minorHAnsi"/>
          <w:sz w:val="20"/>
          <w:szCs w:val="20"/>
        </w:rPr>
        <w:t xml:space="preserve"> za pośredn</w:t>
      </w:r>
      <w:r w:rsidR="0079182A" w:rsidRPr="00EB2E7B">
        <w:rPr>
          <w:rFonts w:asciiTheme="minorHAnsi" w:hAnsiTheme="minorHAnsi" w:cstheme="minorHAnsi"/>
          <w:sz w:val="20"/>
          <w:szCs w:val="20"/>
        </w:rPr>
        <w:t xml:space="preserve">ictwem </w:t>
      </w:r>
      <w:proofErr w:type="spellStart"/>
      <w:r w:rsidR="0079182A" w:rsidRPr="00EB2E7B">
        <w:rPr>
          <w:rFonts w:asciiTheme="minorHAnsi" w:hAnsiTheme="minorHAnsi" w:cstheme="minorHAnsi"/>
          <w:sz w:val="20"/>
          <w:szCs w:val="20"/>
        </w:rPr>
        <w:t>OSDp</w:t>
      </w:r>
      <w:proofErr w:type="spellEnd"/>
      <w:r w:rsidR="00E42F0F" w:rsidRPr="00EB2E7B">
        <w:rPr>
          <w:rFonts w:asciiTheme="minorHAnsi" w:hAnsiTheme="minorHAnsi" w:cstheme="minorHAnsi"/>
          <w:sz w:val="20"/>
          <w:szCs w:val="20"/>
        </w:rPr>
        <w:t>.</w:t>
      </w:r>
    </w:p>
    <w:p w14:paraId="1F3D6F89" w14:textId="7516F419" w:rsidR="00E42F0F" w:rsidRPr="00EB2E7B" w:rsidRDefault="00E42F0F" w:rsidP="00393E78">
      <w:pPr>
        <w:pStyle w:val="Nagwek3"/>
        <w:ind w:left="1134" w:hanging="1134"/>
        <w:rPr>
          <w:rFonts w:asciiTheme="minorHAnsi" w:hAnsiTheme="minorHAnsi" w:cstheme="minorHAnsi"/>
          <w:sz w:val="20"/>
          <w:szCs w:val="20"/>
        </w:rPr>
      </w:pPr>
      <w:bookmarkStart w:id="360" w:name="_Ref190092966"/>
      <w:r w:rsidRPr="00EB2E7B">
        <w:rPr>
          <w:rFonts w:asciiTheme="minorHAnsi" w:hAnsiTheme="minorHAnsi" w:cstheme="minorHAnsi"/>
          <w:sz w:val="20"/>
          <w:szCs w:val="20"/>
        </w:rPr>
        <w:t>Przekazanie planów przez posiadaczy jednostek wytwórczych i magazynów energii</w:t>
      </w:r>
      <w:r w:rsidR="00B82F15"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elektrycznej do </w:t>
      </w:r>
      <w:r w:rsidR="00B82F15" w:rsidRPr="00EB2E7B">
        <w:rPr>
          <w:rFonts w:asciiTheme="minorHAnsi" w:hAnsiTheme="minorHAnsi" w:cstheme="minorHAnsi"/>
          <w:sz w:val="20"/>
          <w:szCs w:val="20"/>
        </w:rPr>
        <w:t>ACPRO</w:t>
      </w:r>
      <w:r w:rsidRPr="00EB2E7B">
        <w:rPr>
          <w:rFonts w:asciiTheme="minorHAnsi" w:hAnsiTheme="minorHAnsi" w:cstheme="minorHAnsi"/>
          <w:sz w:val="20"/>
          <w:szCs w:val="20"/>
        </w:rPr>
        <w:t>, powinno być realizowane w następujących</w:t>
      </w:r>
      <w:r w:rsidR="00F14082" w:rsidRPr="00EB2E7B">
        <w:rPr>
          <w:rFonts w:asciiTheme="minorHAnsi" w:hAnsiTheme="minorHAnsi" w:cstheme="minorHAnsi"/>
          <w:sz w:val="20"/>
          <w:szCs w:val="20"/>
        </w:rPr>
        <w:t xml:space="preserve"> </w:t>
      </w:r>
      <w:r w:rsidRPr="00EB2E7B">
        <w:rPr>
          <w:rFonts w:asciiTheme="minorHAnsi" w:hAnsiTheme="minorHAnsi" w:cstheme="minorHAnsi"/>
          <w:sz w:val="20"/>
          <w:szCs w:val="20"/>
        </w:rPr>
        <w:t>terminach:</w:t>
      </w:r>
      <w:bookmarkEnd w:id="360"/>
    </w:p>
    <w:p w14:paraId="1AD0A87B" w14:textId="7138E64F" w:rsidR="00E42F0F" w:rsidRPr="00EB2E7B" w:rsidRDefault="00E42F0F"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plany średnioterminowe – dane do planów średnioterminowych, obejmujących 5</w:t>
      </w:r>
      <w:r w:rsidR="00B82F15" w:rsidRPr="00EB2E7B">
        <w:rPr>
          <w:rFonts w:asciiTheme="minorHAnsi" w:hAnsiTheme="minorHAnsi" w:cstheme="minorHAnsi"/>
          <w:sz w:val="20"/>
          <w:szCs w:val="20"/>
        </w:rPr>
        <w:t xml:space="preserve"> </w:t>
      </w:r>
      <w:r w:rsidRPr="00EB2E7B">
        <w:rPr>
          <w:rFonts w:asciiTheme="minorHAnsi" w:hAnsiTheme="minorHAnsi" w:cstheme="minorHAnsi"/>
          <w:sz w:val="20"/>
          <w:szCs w:val="20"/>
        </w:rPr>
        <w:t>- letni horyzont planowania powinny zostać przekazane co najmniej raz w</w:t>
      </w:r>
      <w:r w:rsidR="00B82F15" w:rsidRPr="00EB2E7B">
        <w:rPr>
          <w:rFonts w:asciiTheme="minorHAnsi" w:hAnsiTheme="minorHAnsi" w:cstheme="minorHAnsi"/>
          <w:sz w:val="20"/>
          <w:szCs w:val="20"/>
        </w:rPr>
        <w:t xml:space="preserve"> </w:t>
      </w:r>
      <w:r w:rsidRPr="00EB2E7B">
        <w:rPr>
          <w:rFonts w:asciiTheme="minorHAnsi" w:hAnsiTheme="minorHAnsi" w:cstheme="minorHAnsi"/>
          <w:sz w:val="20"/>
          <w:szCs w:val="20"/>
        </w:rPr>
        <w:t>miesiącu do 15 dnia kalendarzowego każdego miesiąca, na okres kolejnych 60</w:t>
      </w:r>
      <w:r w:rsidR="00B82F15" w:rsidRPr="00EB2E7B">
        <w:rPr>
          <w:rFonts w:asciiTheme="minorHAnsi" w:hAnsiTheme="minorHAnsi" w:cstheme="minorHAnsi"/>
          <w:sz w:val="20"/>
          <w:szCs w:val="20"/>
        </w:rPr>
        <w:t xml:space="preserve"> </w:t>
      </w:r>
      <w:r w:rsidRPr="00EB2E7B">
        <w:rPr>
          <w:rFonts w:asciiTheme="minorHAnsi" w:hAnsiTheme="minorHAnsi" w:cstheme="minorHAnsi"/>
          <w:sz w:val="20"/>
          <w:szCs w:val="20"/>
        </w:rPr>
        <w:t>miesięcy, przy czym dane dotyczące pierwszych 59 miesięcy są aktualizacją</w:t>
      </w:r>
      <w:r w:rsidR="00B82F15" w:rsidRPr="00EB2E7B">
        <w:rPr>
          <w:rFonts w:asciiTheme="minorHAnsi" w:hAnsiTheme="minorHAnsi" w:cstheme="minorHAnsi"/>
          <w:sz w:val="20"/>
          <w:szCs w:val="20"/>
        </w:rPr>
        <w:t xml:space="preserve"> </w:t>
      </w:r>
      <w:r w:rsidRPr="00EB2E7B">
        <w:rPr>
          <w:rFonts w:asciiTheme="minorHAnsi" w:hAnsiTheme="minorHAnsi" w:cstheme="minorHAnsi"/>
          <w:sz w:val="20"/>
          <w:szCs w:val="20"/>
        </w:rPr>
        <w:t>danych wcześniej przekazanych,</w:t>
      </w:r>
    </w:p>
    <w:p w14:paraId="0445A3DA" w14:textId="621905DD" w:rsidR="00E42F0F" w:rsidRPr="00EB2E7B" w:rsidRDefault="00E42F0F"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plany dobowe – dane do planów dobowych, obejmujących 9 kolejnych dni</w:t>
      </w:r>
      <w:r w:rsidR="00B82F15" w:rsidRPr="00EB2E7B">
        <w:rPr>
          <w:rFonts w:asciiTheme="minorHAnsi" w:hAnsiTheme="minorHAnsi" w:cstheme="minorHAnsi"/>
          <w:sz w:val="20"/>
          <w:szCs w:val="20"/>
        </w:rPr>
        <w:t xml:space="preserve"> </w:t>
      </w:r>
      <w:r w:rsidRPr="00EB2E7B">
        <w:rPr>
          <w:rFonts w:asciiTheme="minorHAnsi" w:hAnsiTheme="minorHAnsi" w:cstheme="minorHAnsi"/>
          <w:sz w:val="20"/>
          <w:szCs w:val="20"/>
        </w:rPr>
        <w:t>kalendarzowych powinny być przekazane przynajmniej raz dziennie do godziny</w:t>
      </w:r>
      <w:r w:rsidR="00B82F15" w:rsidRPr="00EB2E7B">
        <w:rPr>
          <w:rFonts w:asciiTheme="minorHAnsi" w:hAnsiTheme="minorHAnsi" w:cstheme="minorHAnsi"/>
          <w:sz w:val="20"/>
          <w:szCs w:val="20"/>
        </w:rPr>
        <w:t xml:space="preserve"> </w:t>
      </w:r>
      <w:r w:rsidRPr="00EB2E7B">
        <w:rPr>
          <w:rFonts w:asciiTheme="minorHAnsi" w:hAnsiTheme="minorHAnsi" w:cstheme="minorHAnsi"/>
          <w:sz w:val="20"/>
          <w:szCs w:val="20"/>
        </w:rPr>
        <w:t>09.00 na okres kolejnych 9 dni kalendarzowych, przy czym dane dotyczące</w:t>
      </w:r>
      <w:r w:rsidR="00255F52" w:rsidRPr="00EB2E7B">
        <w:rPr>
          <w:rFonts w:asciiTheme="minorHAnsi" w:hAnsiTheme="minorHAnsi" w:cstheme="minorHAnsi"/>
          <w:sz w:val="20"/>
          <w:szCs w:val="20"/>
        </w:rPr>
        <w:t xml:space="preserve"> </w:t>
      </w:r>
      <w:r w:rsidRPr="00EB2E7B">
        <w:rPr>
          <w:rFonts w:asciiTheme="minorHAnsi" w:hAnsiTheme="minorHAnsi" w:cstheme="minorHAnsi"/>
          <w:sz w:val="20"/>
          <w:szCs w:val="20"/>
        </w:rPr>
        <w:t>pierwszych 8 dni kalendarzowych są aktualizacją danych wcześniej</w:t>
      </w:r>
      <w:r w:rsidR="00255F52" w:rsidRPr="00EB2E7B">
        <w:rPr>
          <w:rFonts w:asciiTheme="minorHAnsi" w:hAnsiTheme="minorHAnsi" w:cstheme="minorHAnsi"/>
          <w:sz w:val="20"/>
          <w:szCs w:val="20"/>
        </w:rPr>
        <w:t xml:space="preserve"> </w:t>
      </w:r>
      <w:r w:rsidRPr="00EB2E7B">
        <w:rPr>
          <w:rFonts w:asciiTheme="minorHAnsi" w:hAnsiTheme="minorHAnsi" w:cstheme="minorHAnsi"/>
          <w:sz w:val="20"/>
          <w:szCs w:val="20"/>
        </w:rPr>
        <w:t>przekazanych.</w:t>
      </w:r>
    </w:p>
    <w:p w14:paraId="67D3AD83" w14:textId="12D65417" w:rsidR="00E42F0F" w:rsidRPr="00EB2E7B" w:rsidRDefault="00E42F0F" w:rsidP="00393E7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Dane planistyczne, o których mowa w TCM oraz w pkt </w:t>
      </w:r>
      <w:r w:rsidR="003F2173" w:rsidRPr="00EB2E7B">
        <w:rPr>
          <w:rFonts w:asciiTheme="minorHAnsi" w:hAnsiTheme="minorHAnsi" w:cstheme="minorHAnsi"/>
          <w:sz w:val="20"/>
          <w:szCs w:val="20"/>
        </w:rPr>
        <w:fldChar w:fldCharType="begin"/>
      </w:r>
      <w:r w:rsidR="003F2173" w:rsidRPr="00EB2E7B">
        <w:rPr>
          <w:rFonts w:asciiTheme="minorHAnsi" w:hAnsiTheme="minorHAnsi" w:cstheme="minorHAnsi"/>
          <w:sz w:val="20"/>
          <w:szCs w:val="20"/>
        </w:rPr>
        <w:instrText xml:space="preserve"> REF _Ref190092966 \w \h  \* MERGEFORMAT </w:instrText>
      </w:r>
      <w:r w:rsidR="003F2173" w:rsidRPr="00EB2E7B">
        <w:rPr>
          <w:rFonts w:asciiTheme="minorHAnsi" w:hAnsiTheme="minorHAnsi" w:cstheme="minorHAnsi"/>
          <w:sz w:val="20"/>
          <w:szCs w:val="20"/>
        </w:rPr>
      </w:r>
      <w:r w:rsidR="003F217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VI.3.5</w:t>
      </w:r>
      <w:r w:rsidR="003F217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są przekazywane do</w:t>
      </w:r>
      <w:r w:rsidR="00D47BCB" w:rsidRPr="00EB2E7B">
        <w:rPr>
          <w:rFonts w:asciiTheme="minorHAnsi" w:hAnsiTheme="minorHAnsi" w:cstheme="minorHAnsi"/>
          <w:sz w:val="20"/>
          <w:szCs w:val="20"/>
        </w:rPr>
        <w:t xml:space="preserve"> </w:t>
      </w:r>
      <w:r w:rsidR="008427B5"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trybie ciągłym, co oznacza, że powinny być aktualizowane po</w:t>
      </w:r>
      <w:r w:rsidR="00D47BCB" w:rsidRPr="00EB2E7B">
        <w:rPr>
          <w:rFonts w:asciiTheme="minorHAnsi" w:hAnsiTheme="minorHAnsi" w:cstheme="minorHAnsi"/>
          <w:sz w:val="20"/>
          <w:szCs w:val="20"/>
        </w:rPr>
        <w:t xml:space="preserve"> </w:t>
      </w:r>
      <w:r w:rsidRPr="00EB2E7B">
        <w:rPr>
          <w:rFonts w:asciiTheme="minorHAnsi" w:hAnsiTheme="minorHAnsi" w:cstheme="minorHAnsi"/>
          <w:sz w:val="20"/>
          <w:szCs w:val="20"/>
        </w:rPr>
        <w:t>każdej ich zmianie.</w:t>
      </w:r>
    </w:p>
    <w:p w14:paraId="2402C516" w14:textId="1C73C68A" w:rsidR="00E42F0F" w:rsidRPr="00EB2E7B" w:rsidRDefault="008427B5" w:rsidP="00393E7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E42F0F" w:rsidRPr="00EB2E7B">
        <w:rPr>
          <w:rFonts w:asciiTheme="minorHAnsi" w:hAnsiTheme="minorHAnsi" w:cstheme="minorHAnsi"/>
          <w:sz w:val="20"/>
          <w:szCs w:val="20"/>
        </w:rPr>
        <w:t>, na podstawie wykonanych analiz technicznych, określa</w:t>
      </w:r>
      <w:r w:rsidR="00D47BCB" w:rsidRPr="00EB2E7B">
        <w:rPr>
          <w:rFonts w:asciiTheme="minorHAnsi" w:hAnsiTheme="minorHAnsi" w:cstheme="minorHAnsi"/>
          <w:sz w:val="20"/>
          <w:szCs w:val="20"/>
        </w:rPr>
        <w:t xml:space="preserve"> </w:t>
      </w:r>
      <w:r w:rsidR="00E42F0F" w:rsidRPr="00EB2E7B">
        <w:rPr>
          <w:rFonts w:asciiTheme="minorHAnsi" w:hAnsiTheme="minorHAnsi" w:cstheme="minorHAnsi"/>
          <w:sz w:val="20"/>
          <w:szCs w:val="20"/>
        </w:rPr>
        <w:t>ograniczenia sieciowe oraz ich zakres dla pracy jednostek wytwórczych przyłączonych</w:t>
      </w:r>
      <w:r w:rsidR="00D47BCB" w:rsidRPr="00EB2E7B">
        <w:rPr>
          <w:rFonts w:asciiTheme="minorHAnsi" w:hAnsiTheme="minorHAnsi" w:cstheme="minorHAnsi"/>
          <w:sz w:val="20"/>
          <w:szCs w:val="20"/>
        </w:rPr>
        <w:t xml:space="preserve"> </w:t>
      </w:r>
      <w:r w:rsidR="00E42F0F" w:rsidRPr="00EB2E7B">
        <w:rPr>
          <w:rFonts w:asciiTheme="minorHAnsi" w:hAnsiTheme="minorHAnsi" w:cstheme="minorHAnsi"/>
          <w:sz w:val="20"/>
          <w:szCs w:val="20"/>
        </w:rPr>
        <w:t xml:space="preserve">do sieci dystrybucyjnej </w:t>
      </w:r>
      <w:r w:rsidRPr="00EB2E7B">
        <w:rPr>
          <w:rFonts w:asciiTheme="minorHAnsi" w:hAnsiTheme="minorHAnsi" w:cstheme="minorHAnsi"/>
          <w:sz w:val="20"/>
          <w:szCs w:val="20"/>
        </w:rPr>
        <w:t>ACPRO</w:t>
      </w:r>
      <w:r w:rsidR="00E42F0F" w:rsidRPr="00EB2E7B">
        <w:rPr>
          <w:rFonts w:asciiTheme="minorHAnsi" w:hAnsiTheme="minorHAnsi" w:cstheme="minorHAnsi"/>
          <w:sz w:val="20"/>
          <w:szCs w:val="20"/>
        </w:rPr>
        <w:t>.</w:t>
      </w:r>
    </w:p>
    <w:p w14:paraId="2C94C206" w14:textId="77777777" w:rsidR="00473957" w:rsidRPr="00EB2E7B" w:rsidRDefault="0077111A">
      <w:pPr>
        <w:pStyle w:val="Nagwek2"/>
        <w:rPr>
          <w:rFonts w:asciiTheme="minorHAnsi" w:hAnsiTheme="minorHAnsi" w:cstheme="minorHAnsi"/>
          <w:bCs/>
          <w:sz w:val="20"/>
          <w:szCs w:val="20"/>
        </w:rPr>
      </w:pPr>
      <w:bookmarkStart w:id="361" w:name="_Toc180153745"/>
      <w:bookmarkStart w:id="362" w:name="_Toc239333351"/>
      <w:r w:rsidRPr="00EB2E7B">
        <w:rPr>
          <w:rFonts w:asciiTheme="minorHAnsi" w:hAnsiTheme="minorHAnsi" w:cstheme="minorHAnsi"/>
          <w:sz w:val="20"/>
          <w:szCs w:val="20"/>
        </w:rPr>
        <w:t>PROGNOZOWANIE ZAPOTRZEBOWANIA NA MOC I ENE</w:t>
      </w:r>
      <w:r w:rsidR="005068B1" w:rsidRPr="00EB2E7B">
        <w:rPr>
          <w:rFonts w:asciiTheme="minorHAnsi" w:hAnsiTheme="minorHAnsi" w:cstheme="minorHAnsi"/>
          <w:sz w:val="20"/>
          <w:szCs w:val="20"/>
        </w:rPr>
        <w:t>RGIĘ ELEKTRYCZNĄ</w:t>
      </w:r>
      <w:bookmarkEnd w:id="361"/>
      <w:bookmarkEnd w:id="362"/>
    </w:p>
    <w:p w14:paraId="1E6845CD" w14:textId="78F7A753" w:rsidR="00C778CF" w:rsidRPr="00EB2E7B" w:rsidRDefault="00232DA9" w:rsidP="00393E78">
      <w:pPr>
        <w:pStyle w:val="Nagwek3"/>
        <w:ind w:left="1134" w:hanging="1134"/>
        <w:rPr>
          <w:rFonts w:asciiTheme="minorHAnsi" w:hAnsiTheme="minorHAnsi" w:cstheme="minorHAnsi"/>
          <w:sz w:val="20"/>
          <w:szCs w:val="20"/>
        </w:rPr>
      </w:pPr>
      <w:bookmarkStart w:id="363" w:name="_Ref190093025"/>
      <w:bookmarkStart w:id="364" w:name="_Ref75517774"/>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sporządza prognozy zapotrzebowania na moc i energię elektryczną w sieci dystrybucyjnej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w:t>
      </w:r>
      <w:bookmarkEnd w:id="363"/>
      <w:r w:rsidR="0077111A" w:rsidRPr="00EB2E7B">
        <w:rPr>
          <w:rFonts w:asciiTheme="minorHAnsi" w:hAnsiTheme="minorHAnsi" w:cstheme="minorHAnsi"/>
          <w:sz w:val="20"/>
          <w:szCs w:val="20"/>
        </w:rPr>
        <w:t xml:space="preserve"> </w:t>
      </w:r>
    </w:p>
    <w:p w14:paraId="3C284A39" w14:textId="4673D50F" w:rsidR="00006472" w:rsidRPr="00EB2E7B" w:rsidRDefault="00AC0392" w:rsidP="00393E78">
      <w:pPr>
        <w:pStyle w:val="Nagwek3"/>
        <w:numPr>
          <w:ilvl w:val="2"/>
          <w:numId w:val="76"/>
        </w:numPr>
        <w:ind w:left="1134" w:hanging="1134"/>
        <w:rPr>
          <w:rFonts w:asciiTheme="minorHAnsi" w:hAnsiTheme="minorHAnsi" w:cstheme="minorHAnsi"/>
          <w:sz w:val="20"/>
          <w:szCs w:val="20"/>
        </w:rPr>
      </w:pPr>
      <w:bookmarkStart w:id="365" w:name="_Ref190093027"/>
      <w:bookmarkEnd w:id="365"/>
      <w:r>
        <w:rPr>
          <w:rFonts w:asciiTheme="minorHAnsi" w:hAnsiTheme="minorHAnsi" w:cstheme="minorHAnsi"/>
          <w:sz w:val="20"/>
          <w:szCs w:val="20"/>
        </w:rPr>
        <w:t xml:space="preserve">ACPRO planuje wymianę mocy i energii elektrycznej do innych operatorów realizowaną poprzez sieć dystrybucyjną ACPRO ze wskazaniem wymiany realizowanej sieciami SN i </w:t>
      </w:r>
      <w:proofErr w:type="spellStart"/>
      <w:r>
        <w:rPr>
          <w:rFonts w:asciiTheme="minorHAnsi" w:hAnsiTheme="minorHAnsi" w:cstheme="minorHAnsi"/>
          <w:sz w:val="20"/>
          <w:szCs w:val="20"/>
        </w:rPr>
        <w:t>nN</w:t>
      </w:r>
      <w:proofErr w:type="spellEnd"/>
      <w:r>
        <w:rPr>
          <w:rFonts w:asciiTheme="minorHAnsi" w:hAnsiTheme="minorHAnsi" w:cstheme="minorHAnsi"/>
          <w:sz w:val="20"/>
          <w:szCs w:val="20"/>
        </w:rPr>
        <w:t xml:space="preserve"> łącznie.</w:t>
      </w:r>
    </w:p>
    <w:p w14:paraId="61E41AD9" w14:textId="69CA7E87" w:rsidR="00473957" w:rsidRPr="00EB2E7B" w:rsidRDefault="0077111A" w:rsidP="00393E7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Prognozy zapotrzebowania na moc i energię elektryczną</w:t>
      </w:r>
      <w:r w:rsidR="00580319" w:rsidRPr="00EB2E7B">
        <w:rPr>
          <w:rFonts w:asciiTheme="minorHAnsi" w:hAnsiTheme="minorHAnsi" w:cstheme="minorHAnsi"/>
          <w:sz w:val="20"/>
          <w:szCs w:val="20"/>
        </w:rPr>
        <w:t xml:space="preserve"> oraz plany wymiany, o których mowa w pk</w:t>
      </w:r>
      <w:r w:rsidR="00E24E45" w:rsidRPr="00EB2E7B">
        <w:rPr>
          <w:rFonts w:asciiTheme="minorHAnsi" w:hAnsiTheme="minorHAnsi" w:cstheme="minorHAnsi"/>
          <w:sz w:val="20"/>
          <w:szCs w:val="20"/>
        </w:rPr>
        <w:t>t</w:t>
      </w:r>
      <w:r w:rsidR="00580319" w:rsidRPr="00EB2E7B">
        <w:rPr>
          <w:rFonts w:asciiTheme="minorHAnsi" w:hAnsiTheme="minorHAnsi" w:cstheme="minorHAnsi"/>
          <w:sz w:val="20"/>
          <w:szCs w:val="20"/>
        </w:rPr>
        <w:t xml:space="preserve"> </w:t>
      </w:r>
      <w:r w:rsidR="00BC43F4" w:rsidRPr="00EB2E7B">
        <w:rPr>
          <w:rFonts w:asciiTheme="minorHAnsi" w:hAnsiTheme="minorHAnsi" w:cstheme="minorHAnsi"/>
          <w:sz w:val="20"/>
          <w:szCs w:val="20"/>
        </w:rPr>
        <w:fldChar w:fldCharType="begin"/>
      </w:r>
      <w:r w:rsidR="00BC43F4" w:rsidRPr="00EB2E7B">
        <w:rPr>
          <w:rFonts w:asciiTheme="minorHAnsi" w:hAnsiTheme="minorHAnsi" w:cstheme="minorHAnsi"/>
          <w:sz w:val="20"/>
          <w:szCs w:val="20"/>
        </w:rPr>
        <w:instrText xml:space="preserve"> REF _Ref190093025 \w \h  \* MERGEFORMAT </w:instrText>
      </w:r>
      <w:r w:rsidR="00BC43F4" w:rsidRPr="00EB2E7B">
        <w:rPr>
          <w:rFonts w:asciiTheme="minorHAnsi" w:hAnsiTheme="minorHAnsi" w:cstheme="minorHAnsi"/>
          <w:sz w:val="20"/>
          <w:szCs w:val="20"/>
        </w:rPr>
      </w:r>
      <w:r w:rsidR="00BC43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VI.4.1</w:t>
      </w:r>
      <w:r w:rsidR="00BC43F4" w:rsidRPr="00EB2E7B">
        <w:rPr>
          <w:rFonts w:asciiTheme="minorHAnsi" w:hAnsiTheme="minorHAnsi" w:cstheme="minorHAnsi"/>
          <w:sz w:val="20"/>
          <w:szCs w:val="20"/>
        </w:rPr>
        <w:fldChar w:fldCharType="end"/>
      </w:r>
      <w:r w:rsidR="00580319" w:rsidRPr="00EB2E7B">
        <w:rPr>
          <w:rFonts w:asciiTheme="minorHAnsi" w:hAnsiTheme="minorHAnsi" w:cstheme="minorHAnsi"/>
          <w:sz w:val="20"/>
          <w:szCs w:val="20"/>
        </w:rPr>
        <w:t xml:space="preserve"> i </w:t>
      </w:r>
      <w:r w:rsidR="00BC43F4" w:rsidRPr="00EB2E7B">
        <w:rPr>
          <w:rFonts w:asciiTheme="minorHAnsi" w:hAnsiTheme="minorHAnsi" w:cstheme="minorHAnsi"/>
          <w:sz w:val="20"/>
          <w:szCs w:val="20"/>
        </w:rPr>
        <w:fldChar w:fldCharType="begin"/>
      </w:r>
      <w:r w:rsidR="00BC43F4" w:rsidRPr="00EB2E7B">
        <w:rPr>
          <w:rFonts w:asciiTheme="minorHAnsi" w:hAnsiTheme="minorHAnsi" w:cstheme="minorHAnsi"/>
          <w:sz w:val="20"/>
          <w:szCs w:val="20"/>
        </w:rPr>
        <w:instrText xml:space="preserve"> REF _Ref190093027 \w \h  \* MERGEFORMAT </w:instrText>
      </w:r>
      <w:r w:rsidR="00BC43F4" w:rsidRPr="00EB2E7B">
        <w:rPr>
          <w:rFonts w:asciiTheme="minorHAnsi" w:hAnsiTheme="minorHAnsi" w:cstheme="minorHAnsi"/>
          <w:sz w:val="20"/>
          <w:szCs w:val="20"/>
        </w:rPr>
      </w:r>
      <w:r w:rsidR="00BC43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VI.4.2</w:t>
      </w:r>
      <w:r w:rsidR="00BC43F4" w:rsidRPr="00EB2E7B">
        <w:rPr>
          <w:rFonts w:asciiTheme="minorHAnsi" w:hAnsiTheme="minorHAnsi" w:cstheme="minorHAnsi"/>
          <w:sz w:val="20"/>
          <w:szCs w:val="20"/>
        </w:rPr>
        <w:fldChar w:fldCharType="end"/>
      </w:r>
      <w:r w:rsidR="00580319" w:rsidRPr="00EB2E7B">
        <w:rPr>
          <w:rFonts w:asciiTheme="minorHAnsi" w:hAnsiTheme="minorHAnsi" w:cstheme="minorHAnsi"/>
          <w:sz w:val="20"/>
          <w:szCs w:val="20"/>
        </w:rPr>
        <w:t>.</w:t>
      </w:r>
      <w:r w:rsidRPr="00EB2E7B">
        <w:rPr>
          <w:rFonts w:asciiTheme="minorHAnsi" w:hAnsiTheme="minorHAnsi" w:cstheme="minorHAnsi"/>
          <w:sz w:val="20"/>
          <w:szCs w:val="20"/>
        </w:rPr>
        <w:t xml:space="preserve">, są przekazywane do </w:t>
      </w:r>
      <w:r w:rsidR="00E24E45" w:rsidRPr="00EB2E7B">
        <w:rPr>
          <w:rFonts w:asciiTheme="minorHAnsi" w:hAnsiTheme="minorHAnsi" w:cstheme="minorHAnsi"/>
          <w:sz w:val="20"/>
          <w:szCs w:val="20"/>
        </w:rPr>
        <w:t>OSP</w:t>
      </w:r>
      <w:r w:rsidR="00AE69A3" w:rsidRPr="00EB2E7B">
        <w:rPr>
          <w:rFonts w:asciiTheme="minorHAnsi" w:hAnsiTheme="minorHAnsi" w:cstheme="minorHAnsi"/>
          <w:sz w:val="20"/>
          <w:szCs w:val="20"/>
        </w:rPr>
        <w:t xml:space="preserve"> za pośrednictwem </w:t>
      </w:r>
      <w:proofErr w:type="spellStart"/>
      <w:r w:rsidR="00AE69A3"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bookmarkEnd w:id="364"/>
      <w:r w:rsidRPr="00EB2E7B">
        <w:rPr>
          <w:rFonts w:asciiTheme="minorHAnsi" w:hAnsiTheme="minorHAnsi" w:cstheme="minorHAnsi"/>
          <w:sz w:val="20"/>
          <w:szCs w:val="20"/>
        </w:rPr>
        <w:t xml:space="preserve"> </w:t>
      </w:r>
      <w:r w:rsidR="00645C28" w:rsidRPr="00EB2E7B">
        <w:rPr>
          <w:rFonts w:asciiTheme="minorHAnsi" w:hAnsiTheme="minorHAnsi" w:cstheme="minorHAnsi"/>
          <w:sz w:val="20"/>
          <w:szCs w:val="20"/>
        </w:rPr>
        <w:t>Sposób przekazywania danych ustalany jest w trybie roboczym z OSP.</w:t>
      </w:r>
    </w:p>
    <w:p w14:paraId="06E6D94B" w14:textId="77777777" w:rsidR="00473957" w:rsidRPr="00EB2E7B" w:rsidRDefault="0077111A" w:rsidP="00393E7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Prognozy zapotrzebowania na moc i energię elektryczną sporządzone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uwzględniają prognozy przygotowane przez podmioty uczestniczące w</w:t>
      </w:r>
      <w:r w:rsidR="00103B17" w:rsidRPr="00EB2E7B">
        <w:rPr>
          <w:rFonts w:asciiTheme="minorHAnsi" w:hAnsiTheme="minorHAnsi" w:cstheme="minorHAnsi"/>
          <w:sz w:val="20"/>
          <w:szCs w:val="20"/>
        </w:rPr>
        <w:t> </w:t>
      </w:r>
      <w:r w:rsidRPr="00EB2E7B">
        <w:rPr>
          <w:rFonts w:asciiTheme="minorHAnsi" w:hAnsiTheme="minorHAnsi" w:cstheme="minorHAnsi"/>
          <w:sz w:val="20"/>
          <w:szCs w:val="20"/>
        </w:rPr>
        <w:t xml:space="preserve">rynku lokalnym. </w:t>
      </w:r>
    </w:p>
    <w:p w14:paraId="612AB948" w14:textId="2B5B02A7" w:rsidR="00473957" w:rsidRPr="00EB2E7B" w:rsidRDefault="001E6CD9">
      <w:pPr>
        <w:pStyle w:val="Nagwek2"/>
        <w:rPr>
          <w:rFonts w:asciiTheme="minorHAnsi" w:hAnsiTheme="minorHAnsi" w:cstheme="minorHAnsi"/>
          <w:bCs/>
          <w:sz w:val="20"/>
          <w:szCs w:val="20"/>
        </w:rPr>
      </w:pPr>
      <w:bookmarkStart w:id="366" w:name="_Toc180153746"/>
      <w:bookmarkStart w:id="367" w:name="_Toc239333352"/>
      <w:r w:rsidRPr="00EB2E7B">
        <w:rPr>
          <w:rFonts w:asciiTheme="minorHAnsi" w:hAnsiTheme="minorHAnsi" w:cstheme="minorHAnsi"/>
          <w:sz w:val="20"/>
          <w:szCs w:val="20"/>
        </w:rPr>
        <w:t xml:space="preserve">UKŁAD NORMALNY </w:t>
      </w:r>
      <w:r w:rsidR="0077111A" w:rsidRPr="00EB2E7B">
        <w:rPr>
          <w:rFonts w:asciiTheme="minorHAnsi" w:hAnsiTheme="minorHAnsi" w:cstheme="minorHAnsi"/>
          <w:sz w:val="20"/>
          <w:szCs w:val="20"/>
        </w:rPr>
        <w:t xml:space="preserve"> PRACY SIECI DYSTRYBUCYJNEJ</w:t>
      </w:r>
      <w:bookmarkEnd w:id="366"/>
      <w:bookmarkEnd w:id="367"/>
    </w:p>
    <w:p w14:paraId="3F12F159" w14:textId="0389189F" w:rsidR="00473957" w:rsidRPr="00EB2E7B" w:rsidRDefault="0077111A" w:rsidP="00CD736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Ruch elektroenergetycznej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jest prowadzony na podstawie </w:t>
      </w:r>
      <w:r w:rsidR="00115519" w:rsidRPr="00EB2E7B">
        <w:rPr>
          <w:rFonts w:asciiTheme="minorHAnsi" w:hAnsiTheme="minorHAnsi" w:cstheme="minorHAnsi"/>
          <w:sz w:val="20"/>
          <w:szCs w:val="20"/>
        </w:rPr>
        <w:t xml:space="preserve">układu normalnego </w:t>
      </w:r>
      <w:r w:rsidRPr="00EB2E7B">
        <w:rPr>
          <w:rFonts w:asciiTheme="minorHAnsi" w:hAnsiTheme="minorHAnsi" w:cstheme="minorHAnsi"/>
          <w:sz w:val="20"/>
          <w:szCs w:val="20"/>
        </w:rPr>
        <w:t xml:space="preserve">pracy sieci. Dla poszczególnych części elektroenergetycznej sieci dystrybucyjnej mogą być opracowane odrębne </w:t>
      </w:r>
      <w:r w:rsidR="006A3FEA" w:rsidRPr="00EB2E7B">
        <w:rPr>
          <w:rFonts w:asciiTheme="minorHAnsi" w:hAnsiTheme="minorHAnsi" w:cstheme="minorHAnsi"/>
          <w:sz w:val="20"/>
          <w:szCs w:val="20"/>
        </w:rPr>
        <w:t xml:space="preserve">układy normalne </w:t>
      </w:r>
      <w:r w:rsidRPr="00EB2E7B">
        <w:rPr>
          <w:rFonts w:asciiTheme="minorHAnsi" w:hAnsiTheme="minorHAnsi" w:cstheme="minorHAnsi"/>
          <w:sz w:val="20"/>
          <w:szCs w:val="20"/>
        </w:rPr>
        <w:t xml:space="preserve">pracy. </w:t>
      </w:r>
    </w:p>
    <w:p w14:paraId="54C1B647" w14:textId="3D823725" w:rsidR="005068B1" w:rsidRPr="00EB2E7B" w:rsidRDefault="00106156" w:rsidP="00CD736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5068B1" w:rsidRPr="00EB2E7B">
        <w:rPr>
          <w:rFonts w:asciiTheme="minorHAnsi" w:hAnsiTheme="minorHAnsi" w:cstheme="minorHAnsi"/>
          <w:sz w:val="20"/>
          <w:szCs w:val="20"/>
        </w:rPr>
        <w:t xml:space="preserve"> określa przypadki, dla których występuje konieczność opracowania </w:t>
      </w:r>
      <w:r w:rsidR="006A3FEA" w:rsidRPr="00EB2E7B">
        <w:rPr>
          <w:rFonts w:asciiTheme="minorHAnsi" w:hAnsiTheme="minorHAnsi" w:cstheme="minorHAnsi"/>
          <w:sz w:val="20"/>
          <w:szCs w:val="20"/>
        </w:rPr>
        <w:t xml:space="preserve">układów normalnych </w:t>
      </w:r>
      <w:r w:rsidR="005068B1" w:rsidRPr="00EB2E7B">
        <w:rPr>
          <w:rFonts w:asciiTheme="minorHAnsi" w:hAnsiTheme="minorHAnsi" w:cstheme="minorHAnsi"/>
          <w:sz w:val="20"/>
          <w:szCs w:val="20"/>
        </w:rPr>
        <w:t xml:space="preserve">pracy sieci o napięciu znamionowym niższym niż 1 </w:t>
      </w:r>
      <w:proofErr w:type="spellStart"/>
      <w:r w:rsidR="005068B1" w:rsidRPr="00EB2E7B">
        <w:rPr>
          <w:rFonts w:asciiTheme="minorHAnsi" w:hAnsiTheme="minorHAnsi" w:cstheme="minorHAnsi"/>
          <w:sz w:val="20"/>
          <w:szCs w:val="20"/>
        </w:rPr>
        <w:t>kV</w:t>
      </w:r>
      <w:proofErr w:type="spellEnd"/>
      <w:r w:rsidR="005068B1" w:rsidRPr="00EB2E7B">
        <w:rPr>
          <w:rFonts w:asciiTheme="minorHAnsi" w:hAnsiTheme="minorHAnsi" w:cstheme="minorHAnsi"/>
          <w:sz w:val="20"/>
          <w:szCs w:val="20"/>
        </w:rPr>
        <w:t>.</w:t>
      </w:r>
    </w:p>
    <w:p w14:paraId="267A9E8E" w14:textId="478A66CD" w:rsidR="005068B1" w:rsidRPr="00EB2E7B" w:rsidRDefault="00C2426B" w:rsidP="00CD736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U</w:t>
      </w:r>
      <w:r w:rsidR="006A3FEA" w:rsidRPr="00EB2E7B">
        <w:rPr>
          <w:rFonts w:asciiTheme="minorHAnsi" w:hAnsiTheme="minorHAnsi" w:cstheme="minorHAnsi"/>
          <w:sz w:val="20"/>
          <w:szCs w:val="20"/>
        </w:rPr>
        <w:t>kład normalny</w:t>
      </w:r>
      <w:r w:rsidR="006A3FEA" w:rsidRPr="00EB2E7B" w:rsidDel="006A3FEA">
        <w:rPr>
          <w:rFonts w:asciiTheme="minorHAnsi" w:hAnsiTheme="minorHAnsi" w:cstheme="minorHAnsi"/>
          <w:sz w:val="20"/>
          <w:szCs w:val="20"/>
        </w:rPr>
        <w:t xml:space="preserve"> </w:t>
      </w:r>
      <w:r w:rsidR="0034568C" w:rsidRPr="00EB2E7B">
        <w:rPr>
          <w:rFonts w:asciiTheme="minorHAnsi" w:hAnsiTheme="minorHAnsi" w:cstheme="minorHAnsi"/>
          <w:sz w:val="20"/>
          <w:szCs w:val="20"/>
        </w:rPr>
        <w:t>pracy sieci elektroenergetycznej, w zależności od potrzeb i poziomu napięcia obejmuje:</w:t>
      </w:r>
    </w:p>
    <w:p w14:paraId="6E0AFEE1" w14:textId="77777777" w:rsidR="0034568C" w:rsidRPr="00EB2E7B" w:rsidRDefault="0034568C" w:rsidP="00CD736F">
      <w:pPr>
        <w:pStyle w:val="aprzed"/>
        <w:numPr>
          <w:ilvl w:val="0"/>
          <w:numId w:val="213"/>
        </w:numPr>
        <w:ind w:left="1701" w:hanging="566"/>
        <w:rPr>
          <w:rFonts w:asciiTheme="minorHAnsi" w:hAnsiTheme="minorHAnsi" w:cstheme="minorHAnsi"/>
          <w:sz w:val="20"/>
          <w:szCs w:val="20"/>
        </w:rPr>
      </w:pPr>
      <w:r w:rsidRPr="00EB2E7B">
        <w:rPr>
          <w:rFonts w:asciiTheme="minorHAnsi" w:hAnsiTheme="minorHAnsi" w:cstheme="minorHAnsi"/>
          <w:sz w:val="20"/>
          <w:szCs w:val="20"/>
        </w:rPr>
        <w:t>układy połączeń sieci dla ruchu w warunkach normalnych i w wybranych stanach szczególnych,</w:t>
      </w:r>
    </w:p>
    <w:p w14:paraId="36E0E85D" w14:textId="77777777" w:rsidR="0034568C"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wymagane poziomy napięcia,</w:t>
      </w:r>
    </w:p>
    <w:p w14:paraId="6D3EFD8A" w14:textId="77777777" w:rsidR="0034568C"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wartości mocy zwarciowych,</w:t>
      </w:r>
    </w:p>
    <w:p w14:paraId="24919B75" w14:textId="77777777" w:rsidR="0034568C"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rozpływy mocy czynnej i biernej w charakterystycznych stanach pracy sieci,</w:t>
      </w:r>
    </w:p>
    <w:p w14:paraId="0105A8F5" w14:textId="77777777" w:rsidR="0034568C"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dopuszczalne obciążenia,</w:t>
      </w:r>
    </w:p>
    <w:p w14:paraId="512F5D20" w14:textId="77777777" w:rsidR="0034568C"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wykaz i warunki uruchomienia urządzeń rezerwowych i źródeł mocy biernej,</w:t>
      </w:r>
    </w:p>
    <w:p w14:paraId="27FB6713" w14:textId="7B190AAB" w:rsidR="0034568C" w:rsidRPr="00EB2E7B" w:rsidRDefault="008B2F39"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 nastawienia zabezpieczeń oraz automatyki łączeniowej i regulacyjnej,</w:t>
      </w:r>
      <w:r w:rsidR="002841DB" w:rsidRPr="00EB2E7B">
        <w:rPr>
          <w:rFonts w:asciiTheme="minorHAnsi" w:hAnsiTheme="minorHAnsi" w:cstheme="minorHAnsi"/>
          <w:sz w:val="20"/>
          <w:szCs w:val="20"/>
        </w:rPr>
        <w:t xml:space="preserve"> </w:t>
      </w:r>
      <w:r w:rsidR="0034568C" w:rsidRPr="00EB2E7B">
        <w:rPr>
          <w:rFonts w:asciiTheme="minorHAnsi" w:hAnsiTheme="minorHAnsi" w:cstheme="minorHAnsi"/>
          <w:sz w:val="20"/>
          <w:szCs w:val="20"/>
        </w:rPr>
        <w:t>nastawienia zaczepów dławików gaszących,</w:t>
      </w:r>
    </w:p>
    <w:p w14:paraId="72AE126D" w14:textId="77777777" w:rsidR="0034568C"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ograniczenia poboru mocy elektrycznej,</w:t>
      </w:r>
    </w:p>
    <w:p w14:paraId="1B05C73A" w14:textId="77777777" w:rsidR="0034568C"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miejsca uziemienia punktów gwiazdowych transformatorów,</w:t>
      </w:r>
    </w:p>
    <w:p w14:paraId="47B8B7A3" w14:textId="77777777" w:rsidR="0034568C"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harmonogram pracy transformatorów,</w:t>
      </w:r>
    </w:p>
    <w:p w14:paraId="1C94362B" w14:textId="7378B0F8" w:rsidR="005068B1" w:rsidRPr="00EB2E7B" w:rsidRDefault="0034568C" w:rsidP="00CD736F">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wykaz jednostek wytwórczych przyłączonych do sieci</w:t>
      </w:r>
      <w:r w:rsidR="005068B1" w:rsidRPr="00EB2E7B">
        <w:rPr>
          <w:rFonts w:asciiTheme="minorHAnsi" w:hAnsiTheme="minorHAnsi" w:cstheme="minorHAnsi"/>
          <w:sz w:val="20"/>
          <w:szCs w:val="20"/>
        </w:rPr>
        <w:t>.</w:t>
      </w:r>
    </w:p>
    <w:p w14:paraId="7CEECB09" w14:textId="77777777" w:rsidR="00473957" w:rsidRPr="00EB2E7B" w:rsidRDefault="0077111A">
      <w:pPr>
        <w:pStyle w:val="Nagwek2"/>
        <w:rPr>
          <w:rFonts w:asciiTheme="minorHAnsi" w:hAnsiTheme="minorHAnsi" w:cstheme="minorHAnsi"/>
          <w:bCs/>
          <w:sz w:val="20"/>
          <w:szCs w:val="20"/>
        </w:rPr>
      </w:pPr>
      <w:bookmarkStart w:id="368" w:name="_Ref75514860"/>
      <w:bookmarkStart w:id="369" w:name="_Ref75514924"/>
      <w:bookmarkStart w:id="370" w:name="_Toc180153747"/>
      <w:bookmarkStart w:id="371" w:name="_Toc239333353"/>
      <w:r w:rsidRPr="00EB2E7B">
        <w:rPr>
          <w:rFonts w:asciiTheme="minorHAnsi" w:hAnsiTheme="minorHAnsi" w:cstheme="minorHAnsi"/>
          <w:sz w:val="20"/>
          <w:szCs w:val="20"/>
        </w:rPr>
        <w:t>PLANY WYŁĄCZEŃ ELEMENTÓW SIECI DYSTRYBUCYJNEJ</w:t>
      </w:r>
      <w:bookmarkEnd w:id="368"/>
      <w:bookmarkEnd w:id="369"/>
      <w:bookmarkEnd w:id="370"/>
      <w:bookmarkEnd w:id="371"/>
    </w:p>
    <w:p w14:paraId="6FF01A0B" w14:textId="0ADCB486" w:rsidR="005068B1" w:rsidRPr="00EB2E7B" w:rsidRDefault="00106156" w:rsidP="00CD736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w:t>
      </w:r>
      <w:r w:rsidR="005068B1" w:rsidRPr="00EB2E7B">
        <w:rPr>
          <w:rFonts w:asciiTheme="minorHAnsi" w:hAnsiTheme="minorHAnsi" w:cstheme="minorHAnsi"/>
          <w:sz w:val="20"/>
          <w:szCs w:val="20"/>
        </w:rPr>
        <w:t xml:space="preserve"> opracowuje </w:t>
      </w:r>
      <w:r w:rsidR="00FE5C2F" w:rsidRPr="00EB2E7B">
        <w:rPr>
          <w:rFonts w:asciiTheme="minorHAnsi" w:hAnsiTheme="minorHAnsi" w:cstheme="minorHAnsi"/>
          <w:sz w:val="20"/>
          <w:szCs w:val="20"/>
        </w:rPr>
        <w:t xml:space="preserve">roczny, miesięczny, tygodniowy i dobowy </w:t>
      </w:r>
      <w:r w:rsidR="005068B1" w:rsidRPr="00EB2E7B">
        <w:rPr>
          <w:rFonts w:asciiTheme="minorHAnsi" w:hAnsiTheme="minorHAnsi" w:cstheme="minorHAnsi"/>
          <w:sz w:val="20"/>
          <w:szCs w:val="20"/>
        </w:rPr>
        <w:t xml:space="preserve">plan </w:t>
      </w:r>
      <w:proofErr w:type="spellStart"/>
      <w:r w:rsidR="005068B1" w:rsidRPr="00EB2E7B">
        <w:rPr>
          <w:rFonts w:asciiTheme="minorHAnsi" w:hAnsiTheme="minorHAnsi" w:cstheme="minorHAnsi"/>
          <w:sz w:val="20"/>
          <w:szCs w:val="20"/>
        </w:rPr>
        <w:t>wyłączeń</w:t>
      </w:r>
      <w:proofErr w:type="spellEnd"/>
      <w:r w:rsidR="005068B1" w:rsidRPr="00EB2E7B">
        <w:rPr>
          <w:rFonts w:asciiTheme="minorHAnsi" w:hAnsiTheme="minorHAnsi" w:cstheme="minorHAnsi"/>
          <w:sz w:val="20"/>
          <w:szCs w:val="20"/>
        </w:rPr>
        <w:t xml:space="preserve"> elementów sieci dystrybucyjnej </w:t>
      </w:r>
      <w:r w:rsidR="00E81BBE" w:rsidRPr="00EB2E7B">
        <w:rPr>
          <w:rFonts w:asciiTheme="minorHAnsi" w:hAnsiTheme="minorHAnsi" w:cstheme="minorHAnsi"/>
          <w:sz w:val="20"/>
          <w:szCs w:val="20"/>
        </w:rPr>
        <w:t>ACPRO</w:t>
      </w:r>
      <w:r w:rsidR="005068B1" w:rsidRPr="00EB2E7B">
        <w:rPr>
          <w:rFonts w:asciiTheme="minorHAnsi" w:hAnsiTheme="minorHAnsi" w:cstheme="minorHAnsi"/>
          <w:sz w:val="20"/>
          <w:szCs w:val="20"/>
        </w:rPr>
        <w:t>.</w:t>
      </w:r>
    </w:p>
    <w:p w14:paraId="7C6FCBEC" w14:textId="3088B75B" w:rsidR="000E3B21" w:rsidRPr="00EB2E7B" w:rsidRDefault="000C1103" w:rsidP="00CD736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Użytkownicy systemu zgłaszają do ACPRO propozycję wyłączenia elementu sieci dystrybucyjnej co najmniej na 14 dni kalendarzowych przed planowaną datą wyłączenia</w:t>
      </w:r>
      <w:r w:rsidR="00F46274"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p w14:paraId="0D08B17B" w14:textId="6E1F128B" w:rsidR="00B822F8" w:rsidRPr="00EB2E7B" w:rsidRDefault="00B822F8" w:rsidP="00CD736F">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Użytkownicy systemu zgłaszający do ACPRO, propozycję wyłączenia elementu sieci dystrybucyjnej określają:</w:t>
      </w:r>
    </w:p>
    <w:p w14:paraId="1ED8A3AD" w14:textId="46629E13" w:rsidR="00B822F8" w:rsidRPr="00EB2E7B" w:rsidRDefault="00B822F8" w:rsidP="00CD736F">
      <w:pPr>
        <w:pStyle w:val="aprzed"/>
        <w:numPr>
          <w:ilvl w:val="0"/>
          <w:numId w:val="214"/>
        </w:numPr>
        <w:ind w:left="1701" w:hanging="566"/>
        <w:rPr>
          <w:rFonts w:asciiTheme="minorHAnsi" w:hAnsiTheme="minorHAnsi" w:cstheme="minorHAnsi"/>
          <w:sz w:val="20"/>
          <w:szCs w:val="20"/>
        </w:rPr>
      </w:pPr>
      <w:r w:rsidRPr="00EB2E7B">
        <w:rPr>
          <w:rFonts w:asciiTheme="minorHAnsi" w:hAnsiTheme="minorHAnsi" w:cstheme="minorHAnsi"/>
          <w:sz w:val="20"/>
          <w:szCs w:val="20"/>
        </w:rPr>
        <w:t>nazwę rozdzielni i elementu,</w:t>
      </w:r>
    </w:p>
    <w:p w14:paraId="780BF268" w14:textId="153C1CB9" w:rsidR="00B822F8" w:rsidRPr="00EB2E7B" w:rsidRDefault="00B822F8" w:rsidP="00CD736F">
      <w:pPr>
        <w:pStyle w:val="aprzed"/>
        <w:numPr>
          <w:ilvl w:val="0"/>
          <w:numId w:val="214"/>
        </w:numPr>
        <w:ind w:left="1701" w:hanging="566"/>
        <w:rPr>
          <w:rFonts w:asciiTheme="minorHAnsi" w:hAnsiTheme="minorHAnsi" w:cstheme="minorHAnsi"/>
          <w:sz w:val="20"/>
          <w:szCs w:val="20"/>
        </w:rPr>
      </w:pPr>
      <w:r w:rsidRPr="00EB2E7B">
        <w:rPr>
          <w:rFonts w:asciiTheme="minorHAnsi" w:hAnsiTheme="minorHAnsi" w:cstheme="minorHAnsi"/>
          <w:sz w:val="20"/>
          <w:szCs w:val="20"/>
        </w:rPr>
        <w:t>inicjatora prac</w:t>
      </w:r>
    </w:p>
    <w:p w14:paraId="7D5F7E12" w14:textId="77777777" w:rsidR="00B822F8" w:rsidRPr="00EB2E7B" w:rsidRDefault="00B822F8" w:rsidP="00CD736F">
      <w:pPr>
        <w:pStyle w:val="aprzed"/>
        <w:numPr>
          <w:ilvl w:val="0"/>
          <w:numId w:val="214"/>
        </w:numPr>
        <w:ind w:left="1701" w:hanging="566"/>
        <w:rPr>
          <w:rFonts w:asciiTheme="minorHAnsi" w:hAnsiTheme="minorHAnsi" w:cstheme="minorHAnsi"/>
          <w:sz w:val="20"/>
          <w:szCs w:val="20"/>
        </w:rPr>
      </w:pPr>
      <w:r w:rsidRPr="00EB2E7B">
        <w:rPr>
          <w:rFonts w:asciiTheme="minorHAnsi" w:hAnsiTheme="minorHAnsi" w:cstheme="minorHAnsi"/>
          <w:sz w:val="20"/>
          <w:szCs w:val="20"/>
        </w:rPr>
        <w:t>proponowany termin wyłączenia,</w:t>
      </w:r>
    </w:p>
    <w:p w14:paraId="53746B8E" w14:textId="4A81889F" w:rsidR="00B822F8" w:rsidRPr="00EB2E7B" w:rsidRDefault="00B822F8" w:rsidP="00CD736F">
      <w:pPr>
        <w:pStyle w:val="aprzed"/>
        <w:numPr>
          <w:ilvl w:val="0"/>
          <w:numId w:val="214"/>
        </w:numPr>
        <w:ind w:left="1701" w:hanging="566"/>
        <w:rPr>
          <w:rFonts w:asciiTheme="minorHAnsi" w:hAnsiTheme="minorHAnsi" w:cstheme="minorHAnsi"/>
          <w:sz w:val="20"/>
          <w:szCs w:val="20"/>
        </w:rPr>
      </w:pPr>
      <w:r w:rsidRPr="00EB2E7B">
        <w:rPr>
          <w:rFonts w:asciiTheme="minorHAnsi" w:hAnsiTheme="minorHAnsi" w:cstheme="minorHAnsi"/>
          <w:sz w:val="20"/>
          <w:szCs w:val="20"/>
        </w:rPr>
        <w:t>operatywną gotowość – rozumianą jako czas potrzebny użytkownikowi systemu na przygotowanie urządzeń do podania napięcia po wydaniu polecenia ruchowego na przerwanie/zakończenie prowadzonych prac,</w:t>
      </w:r>
    </w:p>
    <w:p w14:paraId="344EF988" w14:textId="77777777" w:rsidR="00B822F8" w:rsidRPr="00EB2E7B" w:rsidRDefault="00B822F8" w:rsidP="00CD736F">
      <w:pPr>
        <w:pStyle w:val="aprzed"/>
        <w:numPr>
          <w:ilvl w:val="0"/>
          <w:numId w:val="214"/>
        </w:numPr>
        <w:ind w:left="1701" w:hanging="566"/>
        <w:rPr>
          <w:rFonts w:asciiTheme="minorHAnsi" w:hAnsiTheme="minorHAnsi" w:cstheme="minorHAnsi"/>
          <w:sz w:val="20"/>
          <w:szCs w:val="20"/>
        </w:rPr>
      </w:pPr>
      <w:r w:rsidRPr="00EB2E7B">
        <w:rPr>
          <w:rFonts w:asciiTheme="minorHAnsi" w:hAnsiTheme="minorHAnsi" w:cstheme="minorHAnsi"/>
          <w:sz w:val="20"/>
          <w:szCs w:val="20"/>
        </w:rPr>
        <w:t>typ wyłączenia (np.: trwałe, codzienne),</w:t>
      </w:r>
    </w:p>
    <w:p w14:paraId="54C7B32B" w14:textId="77777777" w:rsidR="00B822F8" w:rsidRPr="00EB2E7B" w:rsidRDefault="00B822F8" w:rsidP="00CD736F">
      <w:pPr>
        <w:pStyle w:val="aprzed"/>
        <w:numPr>
          <w:ilvl w:val="0"/>
          <w:numId w:val="214"/>
        </w:numPr>
        <w:ind w:left="1701" w:hanging="566"/>
        <w:rPr>
          <w:rFonts w:asciiTheme="minorHAnsi" w:hAnsiTheme="minorHAnsi" w:cstheme="minorHAnsi"/>
          <w:sz w:val="20"/>
          <w:szCs w:val="20"/>
        </w:rPr>
      </w:pPr>
      <w:r w:rsidRPr="00EB2E7B">
        <w:rPr>
          <w:rFonts w:asciiTheme="minorHAnsi" w:hAnsiTheme="minorHAnsi" w:cstheme="minorHAnsi"/>
          <w:sz w:val="20"/>
          <w:szCs w:val="20"/>
        </w:rPr>
        <w:t>opis wykonywanych prac,</w:t>
      </w:r>
    </w:p>
    <w:p w14:paraId="4F6704E1" w14:textId="02332CFA" w:rsidR="00B822F8" w:rsidRPr="00EB2E7B" w:rsidRDefault="00B822F8" w:rsidP="00CD736F">
      <w:pPr>
        <w:pStyle w:val="aprzed"/>
        <w:numPr>
          <w:ilvl w:val="0"/>
          <w:numId w:val="214"/>
        </w:numPr>
        <w:ind w:left="1701" w:hanging="566"/>
        <w:rPr>
          <w:rFonts w:asciiTheme="minorHAnsi" w:hAnsiTheme="minorHAnsi" w:cstheme="minorHAnsi"/>
          <w:sz w:val="20"/>
          <w:szCs w:val="20"/>
        </w:rPr>
      </w:pPr>
      <w:r w:rsidRPr="00EB2E7B">
        <w:rPr>
          <w:rFonts w:asciiTheme="minorHAnsi" w:hAnsiTheme="minorHAnsi" w:cstheme="minorHAnsi"/>
          <w:sz w:val="20"/>
          <w:szCs w:val="20"/>
        </w:rPr>
        <w:t>w zależności od potrzeb schemat, harmonogram prac i program łączeniowy.</w:t>
      </w:r>
    </w:p>
    <w:p w14:paraId="5217C5BF" w14:textId="4419C25A" w:rsidR="00B822F8" w:rsidRPr="00EB2E7B" w:rsidRDefault="00B822F8" w:rsidP="00001F66">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Użytkownicy systemu zgłaszający do ACPRO potrzebę wyłączenia elementu sieci dystrybucyjnej o czasie trwania powyżej 3 dni, przedstawiają celem uzgodnienia harmonogram wykonywanych prac. ACPRO ma prawo zażądać od użytkownika systemu zgłaszającego wyłączenie szczegółowego harmonogramu prac również w przypadku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krótszych.</w:t>
      </w:r>
    </w:p>
    <w:p w14:paraId="6278403B" w14:textId="25E82A1E" w:rsidR="00B822F8" w:rsidRPr="00EB2E7B" w:rsidRDefault="00BB447E"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H</w:t>
      </w:r>
      <w:r w:rsidR="00B822F8" w:rsidRPr="00EB2E7B">
        <w:rPr>
          <w:rFonts w:asciiTheme="minorHAnsi" w:hAnsiTheme="minorHAnsi" w:cstheme="minorHAnsi"/>
          <w:sz w:val="20"/>
          <w:szCs w:val="20"/>
        </w:rPr>
        <w:t xml:space="preserve">armonogramy </w:t>
      </w:r>
      <w:r w:rsidRPr="00EB2E7B">
        <w:rPr>
          <w:rFonts w:asciiTheme="minorHAnsi" w:hAnsiTheme="minorHAnsi" w:cstheme="minorHAnsi"/>
          <w:sz w:val="20"/>
          <w:szCs w:val="20"/>
        </w:rPr>
        <w:t xml:space="preserve">te </w:t>
      </w:r>
      <w:r w:rsidR="00B822F8" w:rsidRPr="00EB2E7B">
        <w:rPr>
          <w:rFonts w:asciiTheme="minorHAnsi" w:hAnsiTheme="minorHAnsi" w:cstheme="minorHAnsi"/>
          <w:sz w:val="20"/>
          <w:szCs w:val="20"/>
        </w:rPr>
        <w:t>dostarczane są</w:t>
      </w:r>
      <w:r w:rsidRPr="00EB2E7B">
        <w:rPr>
          <w:rFonts w:asciiTheme="minorHAnsi" w:hAnsiTheme="minorHAnsi" w:cstheme="minorHAnsi"/>
          <w:sz w:val="20"/>
          <w:szCs w:val="20"/>
        </w:rPr>
        <w:t xml:space="preserve"> do ACPRO</w:t>
      </w:r>
      <w:r w:rsidR="001D4BE7" w:rsidRPr="00EB2E7B">
        <w:rPr>
          <w:rFonts w:asciiTheme="minorHAnsi" w:hAnsiTheme="minorHAnsi" w:cstheme="minorHAnsi"/>
          <w:sz w:val="20"/>
          <w:szCs w:val="20"/>
        </w:rPr>
        <w:t xml:space="preserve"> </w:t>
      </w:r>
      <w:r w:rsidR="00B822F8" w:rsidRPr="00EB2E7B">
        <w:rPr>
          <w:rFonts w:asciiTheme="minorHAnsi" w:hAnsiTheme="minorHAnsi" w:cstheme="minorHAnsi"/>
          <w:sz w:val="20"/>
          <w:szCs w:val="20"/>
        </w:rPr>
        <w:t xml:space="preserve">najpóźniej w terminie </w:t>
      </w:r>
      <w:r w:rsidR="001F60C2" w:rsidRPr="00EB2E7B">
        <w:rPr>
          <w:rFonts w:asciiTheme="minorHAnsi" w:hAnsiTheme="minorHAnsi" w:cstheme="minorHAnsi"/>
          <w:sz w:val="20"/>
          <w:szCs w:val="20"/>
        </w:rPr>
        <w:t>10 dni kalendarzowych</w:t>
      </w:r>
      <w:r w:rsidR="002861EF" w:rsidRPr="00EB2E7B">
        <w:rPr>
          <w:rFonts w:asciiTheme="minorHAnsi" w:hAnsiTheme="minorHAnsi" w:cstheme="minorHAnsi"/>
          <w:sz w:val="20"/>
          <w:szCs w:val="20"/>
        </w:rPr>
        <w:t xml:space="preserve"> przed planowanym wyłączeniem</w:t>
      </w:r>
      <w:r w:rsidR="00B822F8" w:rsidRPr="00EB2E7B">
        <w:rPr>
          <w:rFonts w:asciiTheme="minorHAnsi" w:hAnsiTheme="minorHAnsi" w:cstheme="minorHAnsi"/>
          <w:sz w:val="20"/>
          <w:szCs w:val="20"/>
        </w:rPr>
        <w:t>.</w:t>
      </w:r>
    </w:p>
    <w:p w14:paraId="084FAFD2" w14:textId="3AA37CA1" w:rsidR="00B822F8" w:rsidRPr="00EB2E7B" w:rsidRDefault="00B822F8" w:rsidP="0099115A">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OSP,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oraz ACPRO i użytkownicy systemu współpracują ze sobą w celu dotrzymywania terminów planowanych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elementów sieci oraz minimalizacji czasu trwania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w:t>
      </w:r>
    </w:p>
    <w:p w14:paraId="12739A5C" w14:textId="67B023D2" w:rsidR="0007172D" w:rsidRPr="00EB2E7B" w:rsidRDefault="00025BF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ACPRO podejmuje decyzję zatwierdzającą lub odrzucającą propozycję wyłączenia elementu sieci dystrybucyjnej </w:t>
      </w:r>
      <w:r w:rsidR="00FE50B8"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terminie do 5 dni kalendarzowych od daty dostarczenia propozycji wyłączenia</w:t>
      </w:r>
      <w:r w:rsidR="0007172D" w:rsidRPr="00EB2E7B">
        <w:rPr>
          <w:rFonts w:asciiTheme="minorHAnsi" w:hAnsiTheme="minorHAnsi" w:cstheme="minorHAnsi"/>
          <w:sz w:val="20"/>
          <w:szCs w:val="20"/>
        </w:rPr>
        <w:t>.</w:t>
      </w:r>
    </w:p>
    <w:p w14:paraId="5479B6EE" w14:textId="00704CE6" w:rsidR="00AC4218" w:rsidRPr="00EB2E7B" w:rsidRDefault="0007172D" w:rsidP="00EE7359">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Przyjmuje się ogólną zasadę, że terminy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zatwierdzone w planach o dłuższym horyzoncie czasowym mają priorytet w stosunku do propozycji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zgłaszanych do planów o krótszym horyzoncie czasowym</w:t>
      </w:r>
      <w:r w:rsidR="00AC4218" w:rsidRPr="00EB2E7B">
        <w:rPr>
          <w:rFonts w:asciiTheme="minorHAnsi" w:hAnsiTheme="minorHAnsi" w:cstheme="minorHAnsi"/>
          <w:sz w:val="20"/>
          <w:szCs w:val="20"/>
        </w:rPr>
        <w:t>.</w:t>
      </w:r>
    </w:p>
    <w:p w14:paraId="5FD6A16F" w14:textId="62687B79" w:rsidR="00025BF8" w:rsidRPr="00EB2E7B" w:rsidRDefault="00AC4218" w:rsidP="00EE7359">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Wszystkie rozmowy telefoniczne prowadzone przez służby dyspozytorskie ACPRO, w ramach wykonywania funkcji planowania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elementów systemu dystrybucyjnego ACPRO, powinny być rejestrowane na nośniku magnetycznym lub cyfrowym. ACPRO ustala okres ich przechowywania.</w:t>
      </w:r>
    </w:p>
    <w:p w14:paraId="692408E9" w14:textId="77777777" w:rsidR="00473957" w:rsidRPr="00EB2E7B" w:rsidRDefault="0077111A">
      <w:pPr>
        <w:pStyle w:val="Nagwek2"/>
        <w:rPr>
          <w:rFonts w:asciiTheme="minorHAnsi" w:hAnsiTheme="minorHAnsi" w:cstheme="minorHAnsi"/>
          <w:bCs/>
          <w:sz w:val="20"/>
          <w:szCs w:val="20"/>
        </w:rPr>
      </w:pPr>
      <w:bookmarkStart w:id="372" w:name="_Toc180153748"/>
      <w:bookmarkStart w:id="373" w:name="_Toc239333354"/>
      <w:r w:rsidRPr="00EB2E7B">
        <w:rPr>
          <w:rFonts w:asciiTheme="minorHAnsi" w:hAnsiTheme="minorHAnsi" w:cstheme="minorHAnsi"/>
          <w:sz w:val="20"/>
          <w:szCs w:val="20"/>
        </w:rPr>
        <w:t>PROGRAMY ŁĄCZENIOWE</w:t>
      </w:r>
      <w:bookmarkEnd w:id="372"/>
      <w:bookmarkEnd w:id="373"/>
    </w:p>
    <w:p w14:paraId="2676C8A9" w14:textId="56A49531" w:rsidR="00473957" w:rsidRPr="00EB2E7B" w:rsidRDefault="0077111A" w:rsidP="00534CA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Programy </w:t>
      </w:r>
      <w:r w:rsidR="004C023C" w:rsidRPr="00EB2E7B">
        <w:rPr>
          <w:rFonts w:asciiTheme="minorHAnsi" w:hAnsiTheme="minorHAnsi" w:cstheme="minorHAnsi"/>
          <w:sz w:val="20"/>
          <w:szCs w:val="20"/>
        </w:rPr>
        <w:t>łączeniowe opracowuje się w przypadku konieczności prowadzenia złożonych operacji łączeniowych w związku z wykonywanymi pracami sieciowymi</w:t>
      </w:r>
      <w:r w:rsidR="004C023C" w:rsidRPr="00EB2E7B" w:rsidDel="00AD1394">
        <w:rPr>
          <w:rFonts w:asciiTheme="minorHAnsi" w:hAnsiTheme="minorHAnsi" w:cstheme="minorHAnsi"/>
          <w:sz w:val="20"/>
          <w:szCs w:val="20"/>
        </w:rPr>
        <w:t xml:space="preserve"> </w:t>
      </w:r>
      <w:r w:rsidR="004C023C" w:rsidRPr="00EB2E7B">
        <w:rPr>
          <w:rFonts w:asciiTheme="minorHAnsi" w:hAnsiTheme="minorHAnsi" w:cstheme="minorHAnsi"/>
          <w:sz w:val="20"/>
          <w:szCs w:val="20"/>
        </w:rPr>
        <w:t>lub próbami systemowymi.</w:t>
      </w:r>
    </w:p>
    <w:p w14:paraId="6ED07AA1" w14:textId="620BA3C9" w:rsidR="006A18B7" w:rsidRPr="00EB2E7B" w:rsidRDefault="00717DB8" w:rsidP="00534CA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Za opracowanie programu łączeniowego odpowiedzialny jest właściciel danego elementu sieci</w:t>
      </w:r>
      <w:r w:rsidR="006A18B7" w:rsidRPr="00EB2E7B">
        <w:rPr>
          <w:rFonts w:asciiTheme="minorHAnsi" w:hAnsiTheme="minorHAnsi" w:cstheme="minorHAnsi"/>
          <w:sz w:val="20"/>
          <w:szCs w:val="20"/>
        </w:rPr>
        <w:t>.</w:t>
      </w:r>
    </w:p>
    <w:p w14:paraId="35FCB218" w14:textId="02FC5FE8" w:rsidR="00717DB8" w:rsidRPr="00EB2E7B" w:rsidRDefault="006B4FEE" w:rsidP="00534CAB">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Programy łączeniowe zawierają co najmniej:</w:t>
      </w:r>
    </w:p>
    <w:p w14:paraId="28A1AB37" w14:textId="5C23FBEB" w:rsidR="003E7040" w:rsidRPr="00EB2E7B" w:rsidRDefault="00BB2BD4"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c</w:t>
      </w:r>
      <w:r w:rsidR="003E7040" w:rsidRPr="00EB2E7B">
        <w:rPr>
          <w:rFonts w:asciiTheme="minorHAnsi" w:hAnsiTheme="minorHAnsi" w:cstheme="minorHAnsi"/>
          <w:sz w:val="20"/>
          <w:szCs w:val="20"/>
        </w:rPr>
        <w:t>harakterystykę</w:t>
      </w:r>
      <w:r w:rsidRPr="00EB2E7B">
        <w:rPr>
          <w:rFonts w:asciiTheme="minorHAnsi" w:hAnsiTheme="minorHAnsi" w:cstheme="minorHAnsi"/>
          <w:sz w:val="20"/>
          <w:szCs w:val="20"/>
        </w:rPr>
        <w:t>, w tym dane techniczne</w:t>
      </w:r>
      <w:r w:rsidR="003E7040" w:rsidRPr="00EB2E7B">
        <w:rPr>
          <w:rFonts w:asciiTheme="minorHAnsi" w:hAnsiTheme="minorHAnsi" w:cstheme="minorHAnsi"/>
          <w:sz w:val="20"/>
          <w:szCs w:val="20"/>
        </w:rPr>
        <w:t xml:space="preserve"> załączanego elementu sieci,</w:t>
      </w:r>
    </w:p>
    <w:p w14:paraId="15F7092F" w14:textId="77777777" w:rsidR="003E7040" w:rsidRPr="00EB2E7B" w:rsidRDefault="003E7040"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opis stanu łączników przed realizacją programu, </w:t>
      </w:r>
    </w:p>
    <w:p w14:paraId="104FF911" w14:textId="77777777" w:rsidR="003E7040" w:rsidRPr="00EB2E7B" w:rsidRDefault="003E7040"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szczegółowy opis operacji łączeniowych z zachowaniem kolejności wykonywanych czynności, </w:t>
      </w:r>
    </w:p>
    <w:p w14:paraId="60CA9D92" w14:textId="2A41987D" w:rsidR="003E7040" w:rsidRPr="00EB2E7B" w:rsidRDefault="003E7040"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opisy stanów pracy </w:t>
      </w:r>
      <w:r w:rsidR="00133ED9" w:rsidRPr="00EB2E7B">
        <w:rPr>
          <w:rFonts w:asciiTheme="minorHAnsi" w:hAnsiTheme="minorHAnsi" w:cstheme="minorHAnsi"/>
          <w:sz w:val="20"/>
          <w:szCs w:val="20"/>
        </w:rPr>
        <w:t xml:space="preserve">i </w:t>
      </w:r>
      <w:r w:rsidRPr="00EB2E7B">
        <w:rPr>
          <w:rFonts w:asciiTheme="minorHAnsi" w:hAnsiTheme="minorHAnsi" w:cstheme="minorHAnsi"/>
          <w:sz w:val="20"/>
          <w:szCs w:val="20"/>
        </w:rPr>
        <w:t xml:space="preserve">nastawień zabezpieczeń i automatyk </w:t>
      </w:r>
      <w:r w:rsidR="00133ED9" w:rsidRPr="00EB2E7B">
        <w:rPr>
          <w:rFonts w:asciiTheme="minorHAnsi" w:hAnsiTheme="minorHAnsi" w:cstheme="minorHAnsi"/>
          <w:sz w:val="20"/>
          <w:szCs w:val="20"/>
        </w:rPr>
        <w:t xml:space="preserve">w </w:t>
      </w:r>
      <w:r w:rsidRPr="00EB2E7B">
        <w:rPr>
          <w:rFonts w:asciiTheme="minorHAnsi" w:hAnsiTheme="minorHAnsi" w:cstheme="minorHAnsi"/>
          <w:sz w:val="20"/>
          <w:szCs w:val="20"/>
        </w:rPr>
        <w:t>poszczególnych fazach programu,</w:t>
      </w:r>
    </w:p>
    <w:p w14:paraId="2FDD815E" w14:textId="772DAE67" w:rsidR="003E7040" w:rsidRPr="00EB2E7B" w:rsidRDefault="003E7040"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schematy ułatwiające ocenę stanu pracy sieci w poszczególnych fazach programu, </w:t>
      </w:r>
    </w:p>
    <w:p w14:paraId="1032839A" w14:textId="77777777" w:rsidR="003E7040" w:rsidRPr="00EB2E7B" w:rsidRDefault="003E7040" w:rsidP="005C4E7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czas rozpoczęcia i czas przewidywanego zakończenia realizacji programu,</w:t>
      </w:r>
    </w:p>
    <w:p w14:paraId="1F894644" w14:textId="7E34E799" w:rsidR="00AC044C" w:rsidRPr="00EB2E7B" w:rsidRDefault="003E7040" w:rsidP="00EE7359">
      <w:pPr>
        <w:pStyle w:val="NormalnyIRiESD"/>
        <w:numPr>
          <w:ilvl w:val="7"/>
          <w:numId w:val="336"/>
        </w:numPr>
        <w:ind w:left="1701" w:hanging="567"/>
        <w:rPr>
          <w:rFonts w:asciiTheme="minorHAnsi" w:hAnsiTheme="minorHAnsi" w:cstheme="minorHAnsi"/>
          <w:sz w:val="20"/>
          <w:szCs w:val="20"/>
        </w:rPr>
      </w:pPr>
      <w:r w:rsidRPr="00EB2E7B">
        <w:rPr>
          <w:rFonts w:asciiTheme="minorHAnsi" w:hAnsiTheme="minorHAnsi" w:cstheme="minorHAnsi"/>
          <w:sz w:val="20"/>
          <w:szCs w:val="20"/>
        </w:rPr>
        <w:t>osoby odpowiedzialne za realizację programu łączeniowego.</w:t>
      </w:r>
    </w:p>
    <w:p w14:paraId="2F5396EE" w14:textId="670DA893" w:rsidR="001426AE" w:rsidRPr="00EB2E7B" w:rsidRDefault="00247F55" w:rsidP="00200F0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Propozycje programów łączeniowych dostarczane są do zatwierdzenia służbom dyspozytorskim </w:t>
      </w:r>
      <w:r w:rsidR="00223F33"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terminie co najmniej 10 dni kalendarzowych przed planowanym terminem realizacji programów łączeniowych.</w:t>
      </w:r>
    </w:p>
    <w:p w14:paraId="414B9D91" w14:textId="5F95B6E2" w:rsidR="00A157FE" w:rsidRPr="00EB2E7B" w:rsidRDefault="00A157FE" w:rsidP="00327F13">
      <w:pPr>
        <w:pStyle w:val="Nagwek3"/>
        <w:ind w:left="1134" w:hanging="1134"/>
        <w:rPr>
          <w:rFonts w:asciiTheme="minorHAnsi" w:hAnsiTheme="minorHAnsi" w:cstheme="minorHAnsi"/>
          <w:sz w:val="20"/>
          <w:szCs w:val="20"/>
        </w:rPr>
      </w:pPr>
      <w:bookmarkStart w:id="374" w:name="_Ref190093279"/>
      <w:r w:rsidRPr="00EB2E7B">
        <w:rPr>
          <w:rFonts w:asciiTheme="minorHAnsi" w:hAnsiTheme="minorHAnsi" w:cstheme="minorHAnsi"/>
          <w:sz w:val="20"/>
          <w:szCs w:val="20"/>
        </w:rPr>
        <w:t>ACPRO może przedstawić uwagi do przekazanych propozycji programów łączeniowych nie później niż 2 dni kalendarzowych przed planowanym terminem realizacji programów łączeniowych.</w:t>
      </w:r>
      <w:bookmarkEnd w:id="374"/>
    </w:p>
    <w:p w14:paraId="7E822582" w14:textId="745571EC" w:rsidR="00A20C9F" w:rsidRPr="00EB2E7B" w:rsidRDefault="001877D7" w:rsidP="00EE7359">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ACPRO zatwierdza programy łączeniowe nie później niż do godz. 15.00 dnia poprzedzającego rozpoczęcie programu. W przypadku przekazania przez </w:t>
      </w:r>
      <w:r w:rsidR="00930914"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uwag do propozycji programu, zgodnie z pkt.</w:t>
      </w:r>
      <w:r w:rsidR="00247364" w:rsidRPr="00EB2E7B">
        <w:rPr>
          <w:rFonts w:asciiTheme="minorHAnsi" w:hAnsiTheme="minorHAnsi" w:cstheme="minorHAnsi"/>
          <w:sz w:val="20"/>
          <w:szCs w:val="20"/>
        </w:rPr>
        <w:t xml:space="preserve"> </w:t>
      </w:r>
      <w:r w:rsidR="00247364" w:rsidRPr="00EB2E7B">
        <w:rPr>
          <w:rFonts w:asciiTheme="minorHAnsi" w:hAnsiTheme="minorHAnsi" w:cstheme="minorHAnsi"/>
          <w:sz w:val="20"/>
          <w:szCs w:val="20"/>
        </w:rPr>
        <w:fldChar w:fldCharType="begin"/>
      </w:r>
      <w:r w:rsidR="00247364" w:rsidRPr="00EB2E7B">
        <w:rPr>
          <w:rFonts w:asciiTheme="minorHAnsi" w:hAnsiTheme="minorHAnsi" w:cstheme="minorHAnsi"/>
          <w:sz w:val="20"/>
          <w:szCs w:val="20"/>
        </w:rPr>
        <w:instrText xml:space="preserve"> REF _Ref190093279 \w \h  \* MERGEFORMAT </w:instrText>
      </w:r>
      <w:r w:rsidR="00247364" w:rsidRPr="00EB2E7B">
        <w:rPr>
          <w:rFonts w:asciiTheme="minorHAnsi" w:hAnsiTheme="minorHAnsi" w:cstheme="minorHAnsi"/>
          <w:sz w:val="20"/>
          <w:szCs w:val="20"/>
        </w:rPr>
      </w:r>
      <w:r w:rsidR="0024736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VI.7.5</w:t>
      </w:r>
      <w:r w:rsidR="0024736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warunkiem zatwierdzenia programu jest uwzględnienie w nim wszystkich zgłoszonych przez ACPRO uwag.</w:t>
      </w:r>
    </w:p>
    <w:p w14:paraId="126CF17F" w14:textId="77777777" w:rsidR="00200F0C" w:rsidRPr="00EB2E7B" w:rsidRDefault="00200F0C" w:rsidP="00084819">
      <w:pPr>
        <w:ind w:left="70" w:firstLine="0"/>
        <w:rPr>
          <w:rFonts w:asciiTheme="minorHAnsi" w:hAnsiTheme="minorHAnsi" w:cstheme="minorHAnsi"/>
          <w:sz w:val="20"/>
          <w:szCs w:val="20"/>
        </w:rPr>
      </w:pPr>
    </w:p>
    <w:p w14:paraId="17C93755" w14:textId="77777777" w:rsidR="006D74D0" w:rsidRPr="00EB2E7B" w:rsidRDefault="006D74D0" w:rsidP="006D74D0">
      <w:pPr>
        <w:ind w:left="70" w:firstLine="0"/>
        <w:rPr>
          <w:rFonts w:asciiTheme="minorHAnsi" w:hAnsiTheme="minorHAnsi" w:cstheme="minorHAnsi"/>
          <w:sz w:val="20"/>
          <w:szCs w:val="20"/>
        </w:rPr>
      </w:pPr>
    </w:p>
    <w:p w14:paraId="4D2F35BD" w14:textId="77777777" w:rsidR="006D74D0" w:rsidRPr="00EB2E7B" w:rsidRDefault="006D74D0" w:rsidP="006D74D0">
      <w:pPr>
        <w:ind w:left="70" w:firstLine="0"/>
        <w:rPr>
          <w:rFonts w:asciiTheme="minorHAnsi" w:hAnsiTheme="minorHAnsi" w:cstheme="minorHAnsi"/>
          <w:sz w:val="20"/>
          <w:szCs w:val="20"/>
        </w:rPr>
      </w:pPr>
    </w:p>
    <w:p w14:paraId="419A844D" w14:textId="77777777" w:rsidR="006D74D0" w:rsidRPr="00EB2E7B" w:rsidRDefault="006D74D0" w:rsidP="006D74D0">
      <w:pPr>
        <w:ind w:left="70" w:firstLine="0"/>
        <w:rPr>
          <w:rFonts w:asciiTheme="minorHAnsi" w:hAnsiTheme="minorHAnsi" w:cstheme="minorHAnsi"/>
          <w:sz w:val="20"/>
          <w:szCs w:val="20"/>
        </w:rPr>
      </w:pPr>
    </w:p>
    <w:p w14:paraId="58A604DA" w14:textId="77777777" w:rsidR="006D74D0" w:rsidRPr="00EB2E7B" w:rsidRDefault="006D74D0" w:rsidP="006D74D0">
      <w:pPr>
        <w:ind w:left="70" w:firstLine="0"/>
        <w:rPr>
          <w:rFonts w:asciiTheme="minorHAnsi" w:hAnsiTheme="minorHAnsi" w:cstheme="minorHAnsi"/>
          <w:sz w:val="20"/>
          <w:szCs w:val="20"/>
        </w:rPr>
      </w:pPr>
    </w:p>
    <w:p w14:paraId="14F1C634" w14:textId="77777777" w:rsidR="006D74D0" w:rsidRPr="00EB2E7B" w:rsidRDefault="006D74D0" w:rsidP="006D74D0">
      <w:pPr>
        <w:ind w:left="70" w:firstLine="0"/>
        <w:rPr>
          <w:rFonts w:asciiTheme="minorHAnsi" w:hAnsiTheme="minorHAnsi" w:cstheme="minorHAnsi"/>
          <w:sz w:val="20"/>
          <w:szCs w:val="20"/>
        </w:rPr>
      </w:pPr>
    </w:p>
    <w:p w14:paraId="0FA12586" w14:textId="77777777" w:rsidR="006D74D0" w:rsidRPr="00EB2E7B" w:rsidRDefault="006D74D0" w:rsidP="006D74D0">
      <w:pPr>
        <w:ind w:left="70" w:firstLine="0"/>
        <w:rPr>
          <w:rFonts w:asciiTheme="minorHAnsi" w:hAnsiTheme="minorHAnsi" w:cstheme="minorHAnsi"/>
          <w:sz w:val="20"/>
          <w:szCs w:val="20"/>
        </w:rPr>
      </w:pPr>
    </w:p>
    <w:p w14:paraId="53348ED1" w14:textId="77777777" w:rsidR="006D74D0" w:rsidRPr="00EB2E7B" w:rsidRDefault="006D74D0" w:rsidP="006D74D0">
      <w:pPr>
        <w:ind w:left="70" w:firstLine="0"/>
        <w:rPr>
          <w:rFonts w:asciiTheme="minorHAnsi" w:hAnsiTheme="minorHAnsi" w:cstheme="minorHAnsi"/>
          <w:sz w:val="20"/>
          <w:szCs w:val="20"/>
        </w:rPr>
      </w:pPr>
    </w:p>
    <w:p w14:paraId="4309FEF8" w14:textId="77777777" w:rsidR="00473957" w:rsidRPr="00EB2E7B" w:rsidRDefault="0077111A" w:rsidP="00A42849">
      <w:pPr>
        <w:pStyle w:val="Nagwek1"/>
        <w:rPr>
          <w:rFonts w:asciiTheme="minorHAnsi" w:hAnsiTheme="minorHAnsi" w:cstheme="minorHAnsi"/>
          <w:sz w:val="20"/>
          <w:szCs w:val="20"/>
        </w:rPr>
      </w:pPr>
      <w:bookmarkStart w:id="375" w:name="_Toc180153752"/>
      <w:bookmarkStart w:id="376" w:name="_Toc239333355"/>
      <w:r w:rsidRPr="00EB2E7B">
        <w:rPr>
          <w:rFonts w:asciiTheme="minorHAnsi" w:hAnsiTheme="minorHAnsi" w:cstheme="minorHAnsi"/>
          <w:sz w:val="20"/>
          <w:szCs w:val="20"/>
        </w:rPr>
        <w:t xml:space="preserve">STANDARDY TECHNICZNE I BEZPIECZEŃSTWA PRACY SIECI DYSTRYBUCYJNEJ </w:t>
      </w:r>
      <w:r w:rsidR="00232DA9" w:rsidRPr="00EB2E7B">
        <w:rPr>
          <w:rFonts w:asciiTheme="minorHAnsi" w:hAnsiTheme="minorHAnsi" w:cstheme="minorHAnsi"/>
          <w:sz w:val="20"/>
          <w:szCs w:val="20"/>
        </w:rPr>
        <w:t>ACPRO</w:t>
      </w:r>
      <w:bookmarkEnd w:id="375"/>
      <w:bookmarkEnd w:id="376"/>
    </w:p>
    <w:p w14:paraId="71874DFA" w14:textId="544C41B3" w:rsidR="00473957" w:rsidRPr="00EB2E7B" w:rsidRDefault="0077111A">
      <w:pPr>
        <w:pStyle w:val="Nagwek2"/>
        <w:rPr>
          <w:rFonts w:asciiTheme="minorHAnsi" w:hAnsiTheme="minorHAnsi" w:cstheme="minorHAnsi"/>
          <w:b w:val="0"/>
          <w:sz w:val="20"/>
          <w:szCs w:val="20"/>
        </w:rPr>
      </w:pPr>
      <w:bookmarkStart w:id="377" w:name="_Toc189833739"/>
      <w:bookmarkStart w:id="378" w:name="_Toc239333356"/>
      <w:r w:rsidRPr="00EB2E7B">
        <w:rPr>
          <w:rFonts w:asciiTheme="minorHAnsi" w:hAnsiTheme="minorHAnsi" w:cstheme="minorHAnsi"/>
          <w:b w:val="0"/>
          <w:sz w:val="20"/>
          <w:szCs w:val="20"/>
        </w:rPr>
        <w:t xml:space="preserve">W normalnych warunkach pracy sieci dystrybucyjnej </w:t>
      </w:r>
      <w:r w:rsidR="00232DA9"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w szczególności powinny być spełnione następujące warunki techniczne:</w:t>
      </w:r>
      <w:bookmarkEnd w:id="377"/>
      <w:bookmarkEnd w:id="378"/>
      <w:r w:rsidRPr="00EB2E7B">
        <w:rPr>
          <w:rFonts w:asciiTheme="minorHAnsi" w:hAnsiTheme="minorHAnsi" w:cstheme="minorHAnsi"/>
          <w:b w:val="0"/>
          <w:sz w:val="20"/>
          <w:szCs w:val="20"/>
        </w:rPr>
        <w:t xml:space="preserve"> </w:t>
      </w:r>
    </w:p>
    <w:p w14:paraId="5AEF0CCE" w14:textId="77777777" w:rsidR="007321C2" w:rsidRPr="00EB2E7B" w:rsidRDefault="007321C2" w:rsidP="006F6087">
      <w:pPr>
        <w:pStyle w:val="aprzed"/>
        <w:numPr>
          <w:ilvl w:val="0"/>
          <w:numId w:val="8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obciążenia prądowe poszczególnych elementów sieci powinny być nie wyższe od dopuszczalnych długotrwale, </w:t>
      </w:r>
    </w:p>
    <w:p w14:paraId="1FCB2503" w14:textId="77777777" w:rsidR="007321C2" w:rsidRPr="00EB2E7B" w:rsidRDefault="007321C2" w:rsidP="006F6087">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napięcia w węzłach sieci powinny mieścić się w granicach dopuszczalnych dla poszczególnych elementów sieci, </w:t>
      </w:r>
    </w:p>
    <w:p w14:paraId="7DB48971" w14:textId="36C45C7F" w:rsidR="007321C2" w:rsidRPr="00EB2E7B" w:rsidRDefault="007321C2" w:rsidP="006F6087">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moce (prądy) wyłączalne zainstalowanych wyłączników powinny być wyższe niż moce (prądy) zwarciowe w danym punkcie sieci, </w:t>
      </w:r>
    </w:p>
    <w:p w14:paraId="41D721B1" w14:textId="2C90928C" w:rsidR="00736DB7" w:rsidRPr="00EB2E7B" w:rsidRDefault="00736DB7">
      <w:pPr>
        <w:pStyle w:val="Nagwek2"/>
        <w:rPr>
          <w:rFonts w:asciiTheme="minorHAnsi" w:hAnsiTheme="minorHAnsi" w:cstheme="minorHAnsi"/>
          <w:b w:val="0"/>
          <w:sz w:val="20"/>
          <w:szCs w:val="20"/>
        </w:rPr>
      </w:pPr>
      <w:bookmarkStart w:id="379" w:name="_Toc189833740"/>
      <w:bookmarkStart w:id="380" w:name="_Toc239333357"/>
      <w:r w:rsidRPr="00EB2E7B">
        <w:rPr>
          <w:rFonts w:asciiTheme="minorHAnsi" w:hAnsiTheme="minorHAnsi" w:cstheme="minorHAnsi"/>
          <w:b w:val="0"/>
          <w:sz w:val="20"/>
          <w:szCs w:val="20"/>
        </w:rPr>
        <w:t xml:space="preserve">Warunki pracy punktu neutralnego transformatorów określa </w:t>
      </w:r>
      <w:r w:rsidR="004F37FF"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w:t>
      </w:r>
      <w:bookmarkEnd w:id="379"/>
      <w:bookmarkEnd w:id="380"/>
    </w:p>
    <w:p w14:paraId="753451F9" w14:textId="04A3E1D6" w:rsidR="00473957" w:rsidRPr="00EB2E7B" w:rsidRDefault="0077111A">
      <w:pPr>
        <w:pStyle w:val="Nagwek2"/>
        <w:rPr>
          <w:rFonts w:asciiTheme="minorHAnsi" w:hAnsiTheme="minorHAnsi" w:cstheme="minorHAnsi"/>
          <w:b w:val="0"/>
          <w:sz w:val="20"/>
          <w:szCs w:val="20"/>
        </w:rPr>
      </w:pPr>
      <w:bookmarkStart w:id="381" w:name="_Toc189833741"/>
      <w:bookmarkStart w:id="382" w:name="_Toc239333358"/>
      <w:r w:rsidRPr="00EB2E7B">
        <w:rPr>
          <w:rFonts w:asciiTheme="minorHAnsi" w:hAnsiTheme="minorHAnsi" w:cstheme="minorHAnsi"/>
          <w:b w:val="0"/>
          <w:sz w:val="20"/>
          <w:szCs w:val="20"/>
        </w:rPr>
        <w:t xml:space="preserve">Dopuszcza się okresowo w sieci dystrybucyjnej </w:t>
      </w:r>
      <w:r w:rsidR="00232DA9"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pracę wyłączników z</w:t>
      </w:r>
      <w:r w:rsidR="00103B17" w:rsidRPr="00EB2E7B">
        <w:rPr>
          <w:rFonts w:asciiTheme="minorHAnsi" w:hAnsiTheme="minorHAnsi" w:cstheme="minorHAnsi"/>
          <w:b w:val="0"/>
          <w:sz w:val="20"/>
          <w:szCs w:val="20"/>
        </w:rPr>
        <w:t> </w:t>
      </w:r>
      <w:r w:rsidRPr="00EB2E7B">
        <w:rPr>
          <w:rFonts w:asciiTheme="minorHAnsi" w:hAnsiTheme="minorHAnsi" w:cstheme="minorHAnsi"/>
          <w:b w:val="0"/>
          <w:sz w:val="20"/>
          <w:szCs w:val="20"/>
        </w:rPr>
        <w:t xml:space="preserve">przekroczoną mocą wyłączalną, po </w:t>
      </w:r>
      <w:r w:rsidR="00B86B18" w:rsidRPr="00EB2E7B">
        <w:rPr>
          <w:rFonts w:asciiTheme="minorHAnsi" w:hAnsiTheme="minorHAnsi" w:cstheme="minorHAnsi"/>
          <w:b w:val="0"/>
          <w:bCs/>
          <w:sz w:val="20"/>
          <w:szCs w:val="20"/>
        </w:rPr>
        <w:t xml:space="preserve">uprzednim </w:t>
      </w:r>
      <w:r w:rsidRPr="00EB2E7B">
        <w:rPr>
          <w:rFonts w:asciiTheme="minorHAnsi" w:hAnsiTheme="minorHAnsi" w:cstheme="minorHAnsi"/>
          <w:b w:val="0"/>
          <w:sz w:val="20"/>
          <w:szCs w:val="20"/>
        </w:rPr>
        <w:t xml:space="preserve">wyrażeniu zgody na taką pracę przez </w:t>
      </w:r>
      <w:r w:rsidR="00232DA9"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w:t>
      </w:r>
      <w:bookmarkEnd w:id="381"/>
      <w:bookmarkEnd w:id="382"/>
      <w:r w:rsidRPr="00EB2E7B">
        <w:rPr>
          <w:rFonts w:asciiTheme="minorHAnsi" w:hAnsiTheme="minorHAnsi" w:cstheme="minorHAnsi"/>
          <w:b w:val="0"/>
          <w:sz w:val="20"/>
          <w:szCs w:val="20"/>
        </w:rPr>
        <w:t xml:space="preserve"> </w:t>
      </w:r>
    </w:p>
    <w:p w14:paraId="7339B304" w14:textId="2F028D6D" w:rsidR="003526BE" w:rsidRPr="00EB2E7B" w:rsidRDefault="0077111A">
      <w:pPr>
        <w:pStyle w:val="Nagwek2"/>
        <w:rPr>
          <w:rFonts w:asciiTheme="minorHAnsi" w:hAnsiTheme="minorHAnsi" w:cstheme="minorHAnsi"/>
          <w:b w:val="0"/>
          <w:sz w:val="20"/>
          <w:szCs w:val="20"/>
        </w:rPr>
      </w:pPr>
      <w:bookmarkStart w:id="383" w:name="_Ref75514337"/>
      <w:bookmarkStart w:id="384" w:name="_Toc189833742"/>
      <w:bookmarkStart w:id="385" w:name="_Toc239333359"/>
      <w:r w:rsidRPr="00EB2E7B">
        <w:rPr>
          <w:rFonts w:asciiTheme="minorHAnsi" w:hAnsiTheme="minorHAnsi" w:cstheme="minorHAnsi"/>
          <w:b w:val="0"/>
          <w:sz w:val="20"/>
          <w:szCs w:val="20"/>
        </w:rPr>
        <w:t xml:space="preserve">Rozwiązania techniczne stosowane przy projektowaniu i budowie nowych oraz remoncie istniejących sieci dystrybucyjnych </w:t>
      </w:r>
      <w:r w:rsidR="00232DA9"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powinny spełniać wymagania określone w standardach/wytycznych budowy systemów elektroenergetycznych obowiązujących </w:t>
      </w:r>
      <w:r w:rsidR="001153B1" w:rsidRPr="00EB2E7B">
        <w:rPr>
          <w:rFonts w:asciiTheme="minorHAnsi" w:hAnsiTheme="minorHAnsi" w:cstheme="minorHAnsi"/>
          <w:b w:val="0"/>
          <w:sz w:val="20"/>
          <w:szCs w:val="20"/>
        </w:rPr>
        <w:t>u</w:t>
      </w:r>
      <w:r w:rsidRPr="00EB2E7B">
        <w:rPr>
          <w:rFonts w:asciiTheme="minorHAnsi" w:hAnsiTheme="minorHAnsi" w:cstheme="minorHAnsi"/>
          <w:b w:val="0"/>
          <w:sz w:val="20"/>
          <w:szCs w:val="20"/>
        </w:rPr>
        <w:t xml:space="preserve"> </w:t>
      </w:r>
      <w:r w:rsidR="00232DA9"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w:t>
      </w:r>
      <w:bookmarkEnd w:id="383"/>
      <w:bookmarkEnd w:id="384"/>
      <w:bookmarkEnd w:id="385"/>
    </w:p>
    <w:p w14:paraId="0795A082" w14:textId="77777777" w:rsidR="00A54D70" w:rsidRPr="00EB2E7B" w:rsidRDefault="00A54D70" w:rsidP="006F6087">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123B5F0A" w14:textId="77777777" w:rsidR="00473957" w:rsidRPr="00EB2E7B" w:rsidRDefault="0077111A" w:rsidP="00A42849">
      <w:pPr>
        <w:pStyle w:val="Nagwek1"/>
        <w:rPr>
          <w:rFonts w:asciiTheme="minorHAnsi" w:hAnsiTheme="minorHAnsi" w:cstheme="minorHAnsi"/>
          <w:sz w:val="20"/>
          <w:szCs w:val="20"/>
        </w:rPr>
      </w:pPr>
      <w:bookmarkStart w:id="386" w:name="_Toc180153753"/>
      <w:bookmarkStart w:id="387" w:name="_Ref190075170"/>
      <w:bookmarkStart w:id="388" w:name="_Ref190075187"/>
      <w:bookmarkStart w:id="389" w:name="_Toc239333360"/>
      <w:r w:rsidRPr="00EB2E7B">
        <w:rPr>
          <w:rFonts w:asciiTheme="minorHAnsi" w:hAnsiTheme="minorHAnsi" w:cstheme="minorHAnsi"/>
          <w:sz w:val="20"/>
          <w:szCs w:val="20"/>
        </w:rPr>
        <w:lastRenderedPageBreak/>
        <w:t>PARAMETRY JAKOŚCIOWE ENERGII ELEKTRYCZNEJ, WSKAŹNIKI JAKOŚCI I NIEZAWODNOŚCI DOSTAW ENERGII ELEKTRYCZNEJ ORAZ STANDARDY JAKOŚCIOWE OBSŁUGI UŻYTKOWNIKÓW SYSTEMU</w:t>
      </w:r>
      <w:bookmarkEnd w:id="386"/>
      <w:bookmarkEnd w:id="387"/>
      <w:bookmarkEnd w:id="388"/>
      <w:bookmarkEnd w:id="389"/>
    </w:p>
    <w:p w14:paraId="0AB9C4DF" w14:textId="77777777" w:rsidR="00473957" w:rsidRPr="00EB2E7B" w:rsidRDefault="0077111A">
      <w:pPr>
        <w:pStyle w:val="Nagwek2"/>
        <w:rPr>
          <w:rFonts w:asciiTheme="minorHAnsi" w:hAnsiTheme="minorHAnsi" w:cstheme="minorHAnsi"/>
          <w:bCs/>
          <w:sz w:val="20"/>
          <w:szCs w:val="20"/>
        </w:rPr>
      </w:pPr>
      <w:bookmarkStart w:id="390" w:name="_Ref75433168"/>
      <w:bookmarkStart w:id="391" w:name="_Toc180153754"/>
      <w:bookmarkStart w:id="392" w:name="_Toc239333361"/>
      <w:r w:rsidRPr="00EB2E7B">
        <w:rPr>
          <w:rFonts w:asciiTheme="minorHAnsi" w:hAnsiTheme="minorHAnsi" w:cstheme="minorHAnsi"/>
          <w:sz w:val="20"/>
          <w:szCs w:val="20"/>
        </w:rPr>
        <w:t>PARAMETRY JAKOŚCIOWE ENERGII ELEKTRYCZNEJ</w:t>
      </w:r>
      <w:bookmarkEnd w:id="390"/>
      <w:bookmarkEnd w:id="391"/>
      <w:bookmarkEnd w:id="392"/>
    </w:p>
    <w:p w14:paraId="7B2CE21A" w14:textId="77777777" w:rsidR="00CD7B36" w:rsidRPr="00EB2E7B" w:rsidRDefault="00CD7B36" w:rsidP="003F563C">
      <w:pPr>
        <w:pStyle w:val="Nagwek3gruby"/>
        <w:ind w:left="1134" w:hanging="1134"/>
        <w:rPr>
          <w:rFonts w:asciiTheme="minorHAnsi" w:hAnsiTheme="minorHAnsi" w:cstheme="minorHAnsi"/>
          <w:bCs/>
          <w:sz w:val="20"/>
          <w:szCs w:val="20"/>
        </w:rPr>
      </w:pPr>
      <w:r w:rsidRPr="00EB2E7B">
        <w:rPr>
          <w:rFonts w:asciiTheme="minorHAnsi" w:hAnsiTheme="minorHAnsi" w:cstheme="minorHAnsi"/>
          <w:bCs/>
          <w:sz w:val="20"/>
          <w:szCs w:val="20"/>
        </w:rPr>
        <w:t xml:space="preserve">Parametry jakościowe energii elektrycznej, w przypadku sieci funkcjonującej bez zakłóceń, dla podmiotów zaliczanych do grupy przyłączeniowej I </w:t>
      </w:r>
      <w:proofErr w:type="spellStart"/>
      <w:r w:rsidRPr="00EB2E7B">
        <w:rPr>
          <w:rFonts w:asciiTheme="minorHAnsi" w:hAnsiTheme="minorHAnsi" w:cstheme="minorHAnsi"/>
          <w:bCs/>
          <w:sz w:val="20"/>
          <w:szCs w:val="20"/>
        </w:rPr>
        <w:t>i</w:t>
      </w:r>
      <w:proofErr w:type="spellEnd"/>
      <w:r w:rsidRPr="00EB2E7B">
        <w:rPr>
          <w:rFonts w:asciiTheme="minorHAnsi" w:hAnsiTheme="minorHAnsi" w:cstheme="minorHAnsi"/>
          <w:bCs/>
          <w:sz w:val="20"/>
          <w:szCs w:val="20"/>
        </w:rPr>
        <w:t xml:space="preserve"> II</w:t>
      </w:r>
    </w:p>
    <w:p w14:paraId="03EAFA08"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Regulacja częstotliwości w KSE jest prowadzona przez OSP.</w:t>
      </w:r>
    </w:p>
    <w:p w14:paraId="6886BEAC" w14:textId="77777777" w:rsidR="00CD7B36" w:rsidRPr="00EB2E7B" w:rsidRDefault="00CD7B36" w:rsidP="00FE170D">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Wartość średnia częstotliwości mierzonej przez 10 s w miejscach przyłączenia zawiera się w przedziale: </w:t>
      </w:r>
    </w:p>
    <w:p w14:paraId="144DCE6A" w14:textId="77777777" w:rsidR="00CD7B36" w:rsidRPr="00EB2E7B" w:rsidRDefault="00CD7B36" w:rsidP="00EE7359">
      <w:pPr>
        <w:pStyle w:val="1przed"/>
        <w:numPr>
          <w:ilvl w:val="0"/>
          <w:numId w:val="219"/>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50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 1% (od 49,5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do 50,5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przez 99,5% tygodnia,</w:t>
      </w:r>
    </w:p>
    <w:p w14:paraId="07F46AA3" w14:textId="77777777" w:rsidR="00CD7B36" w:rsidRPr="00EB2E7B" w:rsidRDefault="00CD7B36"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50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+ 4% / – 6% (od 47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do 52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przez 100% tygodnia.</w:t>
      </w:r>
    </w:p>
    <w:p w14:paraId="46ABB68C" w14:textId="0ABB4553"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W każdym tygodniu 95% ze zbioru 10-minutowych średnich wartości skutecznych napięcia zasilającego zawiera się w przedziale odchyleń ± 10% napięcia znamionowego dla sieci o napięciu znamionowym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i 220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4486EFB4"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Przez 95% czasu każdego tygodnia wskaźnik długookresowego migotania światła (</w:t>
      </w:r>
      <w:proofErr w:type="spellStart"/>
      <w:r w:rsidRPr="00EB2E7B">
        <w:rPr>
          <w:rFonts w:asciiTheme="minorHAnsi" w:hAnsiTheme="minorHAnsi" w:cstheme="minorHAnsi"/>
          <w:sz w:val="20"/>
          <w:szCs w:val="20"/>
        </w:rPr>
        <w:t>Plt</w:t>
      </w:r>
      <w:proofErr w:type="spellEnd"/>
      <w:r w:rsidRPr="00EB2E7B">
        <w:rPr>
          <w:rFonts w:asciiTheme="minorHAnsi" w:hAnsiTheme="minorHAnsi" w:cstheme="minorHAnsi"/>
          <w:sz w:val="20"/>
          <w:szCs w:val="20"/>
        </w:rPr>
        <w:t>) spowodowanego wahaniami napięcia zasilającego nie może być większy niż 0,8.</w:t>
      </w:r>
    </w:p>
    <w:p w14:paraId="07A693E0" w14:textId="77777777" w:rsidR="00CD7B36" w:rsidRPr="00EB2E7B" w:rsidRDefault="00CD7B36" w:rsidP="009A432E">
      <w:pPr>
        <w:pStyle w:val="Nagwek4"/>
        <w:rPr>
          <w:rFonts w:asciiTheme="minorHAnsi" w:hAnsiTheme="minorHAnsi" w:cstheme="minorHAnsi"/>
          <w:sz w:val="20"/>
          <w:szCs w:val="20"/>
        </w:rPr>
      </w:pPr>
      <w:bookmarkStart w:id="393" w:name="_Ref173226906"/>
      <w:r w:rsidRPr="00EB2E7B">
        <w:rPr>
          <w:rFonts w:asciiTheme="minorHAnsi" w:hAnsiTheme="minorHAnsi" w:cstheme="minorHAnsi"/>
          <w:sz w:val="20"/>
          <w:szCs w:val="20"/>
        </w:rPr>
        <w:t>W każdym tygodniu 95% ze zbioru 10-minutowych średnich wartości skutecznych:</w:t>
      </w:r>
      <w:bookmarkEnd w:id="393"/>
    </w:p>
    <w:p w14:paraId="1C83B6CB" w14:textId="77777777" w:rsidR="00CD7B36" w:rsidRPr="00EB2E7B" w:rsidRDefault="00CD7B36" w:rsidP="003F563C">
      <w:pPr>
        <w:pStyle w:val="1przed"/>
        <w:numPr>
          <w:ilvl w:val="0"/>
          <w:numId w:val="220"/>
        </w:numPr>
        <w:ind w:left="1701" w:hanging="567"/>
        <w:rPr>
          <w:rFonts w:asciiTheme="minorHAnsi" w:hAnsiTheme="minorHAnsi" w:cstheme="minorHAnsi"/>
          <w:sz w:val="20"/>
          <w:szCs w:val="20"/>
        </w:rPr>
      </w:pPr>
      <w:r w:rsidRPr="00EB2E7B">
        <w:rPr>
          <w:rFonts w:asciiTheme="minorHAnsi" w:hAnsiTheme="minorHAnsi" w:cstheme="minorHAnsi"/>
          <w:sz w:val="20"/>
          <w:szCs w:val="20"/>
        </w:rPr>
        <w:t>składowej symetrycznej kolejności przeciwnej napięcia zasilającego zawiera się w przedziale od 0% do 1% wartości składowej kolejności zgodnej,</w:t>
      </w:r>
    </w:p>
    <w:p w14:paraId="1CAF5904" w14:textId="74133B5B" w:rsidR="00EC0BE2" w:rsidRPr="00EB2E7B" w:rsidRDefault="00CD7B36" w:rsidP="00EC0BE2">
      <w:pPr>
        <w:pStyle w:val="1przed"/>
        <w:ind w:left="1701" w:hanging="567"/>
        <w:rPr>
          <w:rFonts w:asciiTheme="minorHAnsi" w:hAnsiTheme="minorHAnsi" w:cstheme="minorHAnsi"/>
          <w:sz w:val="20"/>
          <w:szCs w:val="20"/>
        </w:rPr>
      </w:pPr>
      <w:bookmarkStart w:id="394" w:name="_Ref173226913"/>
      <w:r w:rsidRPr="00EB2E7B">
        <w:rPr>
          <w:rFonts w:asciiTheme="minorHAnsi" w:hAnsiTheme="minorHAnsi" w:cstheme="minorHAnsi"/>
          <w:sz w:val="20"/>
          <w:szCs w:val="20"/>
        </w:rPr>
        <w:t>dla każdej harmonicznej napięcia zasilającego (o rzędach od 2 do 50) powinno być mniejsze lub równe wartościom określonym w poniższej tabeli:</w:t>
      </w:r>
      <w:bookmarkEnd w:id="394"/>
    </w:p>
    <w:p w14:paraId="749D6ED8" w14:textId="77777777" w:rsidR="00EC0BE2" w:rsidRPr="00EB2E7B" w:rsidRDefault="00EC0BE2" w:rsidP="00EC0BE2">
      <w:pPr>
        <w:pStyle w:val="1przed"/>
        <w:numPr>
          <w:ilvl w:val="0"/>
          <w:numId w:val="0"/>
        </w:numPr>
        <w:rPr>
          <w:rFonts w:asciiTheme="minorHAnsi" w:hAnsiTheme="minorHAnsi" w:cstheme="minorHAnsi"/>
          <w:sz w:val="20"/>
          <w:szCs w:val="20"/>
        </w:rPr>
      </w:pPr>
    </w:p>
    <w:tbl>
      <w:tblPr>
        <w:tblStyle w:val="Tabela-Siatka1"/>
        <w:tblW w:w="9210" w:type="dxa"/>
        <w:tblInd w:w="0" w:type="dxa"/>
        <w:tblCellMar>
          <w:top w:w="9" w:type="dxa"/>
          <w:left w:w="130" w:type="dxa"/>
          <w:right w:w="67" w:type="dxa"/>
        </w:tblCellMar>
        <w:tblLook w:val="04A0" w:firstRow="1" w:lastRow="0" w:firstColumn="1" w:lastColumn="0" w:noHBand="0" w:noVBand="1"/>
      </w:tblPr>
      <w:tblGrid>
        <w:gridCol w:w="969"/>
        <w:gridCol w:w="2101"/>
        <w:gridCol w:w="960"/>
        <w:gridCol w:w="2110"/>
        <w:gridCol w:w="1018"/>
        <w:gridCol w:w="2052"/>
      </w:tblGrid>
      <w:tr w:rsidR="00CD7B36" w:rsidRPr="00EB2E7B" w14:paraId="01F3258D" w14:textId="77777777">
        <w:trPr>
          <w:trHeight w:val="386"/>
        </w:trPr>
        <w:tc>
          <w:tcPr>
            <w:tcW w:w="6140" w:type="dxa"/>
            <w:gridSpan w:val="4"/>
            <w:tcBorders>
              <w:top w:val="single" w:sz="12" w:space="0" w:color="000000"/>
              <w:left w:val="single" w:sz="12" w:space="0" w:color="000000"/>
              <w:bottom w:val="single" w:sz="12" w:space="0" w:color="000000"/>
              <w:right w:val="single" w:sz="12" w:space="0" w:color="000000"/>
            </w:tcBorders>
          </w:tcPr>
          <w:p w14:paraId="4CE4D113" w14:textId="77777777" w:rsidR="00CD7B36" w:rsidRPr="00EB2E7B" w:rsidRDefault="00CD7B36">
            <w:pPr>
              <w:spacing w:after="0"/>
              <w:ind w:left="0" w:firstLine="0"/>
              <w:jc w:val="center"/>
              <w:rPr>
                <w:rFonts w:asciiTheme="minorHAnsi" w:hAnsiTheme="minorHAnsi" w:cstheme="minorHAnsi"/>
                <w:b/>
                <w:bCs/>
                <w:sz w:val="20"/>
                <w:szCs w:val="20"/>
              </w:rPr>
            </w:pPr>
            <w:bookmarkStart w:id="395" w:name="_Hlk173149982"/>
            <w:r w:rsidRPr="00EB2E7B">
              <w:rPr>
                <w:rFonts w:asciiTheme="minorHAnsi" w:hAnsiTheme="minorHAnsi" w:cstheme="minorHAnsi"/>
                <w:b/>
                <w:bCs/>
                <w:sz w:val="20"/>
                <w:szCs w:val="20"/>
              </w:rPr>
              <w:t>Harmoniczne nieparzyste</w:t>
            </w:r>
          </w:p>
        </w:tc>
        <w:tc>
          <w:tcPr>
            <w:tcW w:w="3070" w:type="dxa"/>
            <w:gridSpan w:val="2"/>
            <w:tcBorders>
              <w:top w:val="single" w:sz="12" w:space="0" w:color="000000"/>
              <w:left w:val="single" w:sz="12" w:space="0" w:color="000000"/>
              <w:bottom w:val="single" w:sz="12" w:space="0" w:color="000000"/>
              <w:right w:val="single" w:sz="12" w:space="0" w:color="000000"/>
            </w:tcBorders>
          </w:tcPr>
          <w:p w14:paraId="0135A477" w14:textId="77777777" w:rsidR="00CD7B36" w:rsidRPr="00EB2E7B" w:rsidRDefault="00CD7B36">
            <w:pPr>
              <w:spacing w:after="0"/>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Harmoniczne parzyste</w:t>
            </w:r>
          </w:p>
        </w:tc>
      </w:tr>
      <w:tr w:rsidR="00CD7B36" w:rsidRPr="00EB2E7B" w14:paraId="0585E040" w14:textId="77777777">
        <w:trPr>
          <w:trHeight w:val="295"/>
        </w:trPr>
        <w:tc>
          <w:tcPr>
            <w:tcW w:w="3070" w:type="dxa"/>
            <w:gridSpan w:val="2"/>
            <w:tcBorders>
              <w:top w:val="single" w:sz="12" w:space="0" w:color="000000"/>
              <w:left w:val="single" w:sz="12" w:space="0" w:color="000000"/>
              <w:bottom w:val="single" w:sz="4" w:space="0" w:color="000000"/>
              <w:right w:val="single" w:sz="4" w:space="0" w:color="000000"/>
            </w:tcBorders>
          </w:tcPr>
          <w:p w14:paraId="67F44E2A" w14:textId="318CC59F" w:rsidR="00CD7B36" w:rsidRPr="00EB2E7B" w:rsidRDefault="00CD7B36">
            <w:pPr>
              <w:spacing w:after="0" w:line="266" w:lineRule="auto"/>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niebędące krotnością 3</w:t>
            </w:r>
          </w:p>
        </w:tc>
        <w:tc>
          <w:tcPr>
            <w:tcW w:w="3070" w:type="dxa"/>
            <w:gridSpan w:val="2"/>
            <w:tcBorders>
              <w:top w:val="single" w:sz="12" w:space="0" w:color="000000"/>
              <w:left w:val="single" w:sz="4" w:space="0" w:color="000000"/>
              <w:bottom w:val="single" w:sz="4" w:space="0" w:color="000000"/>
              <w:right w:val="single" w:sz="12" w:space="0" w:color="000000"/>
            </w:tcBorders>
          </w:tcPr>
          <w:p w14:paraId="22679296" w14:textId="77777777" w:rsidR="00CD7B36" w:rsidRPr="00EB2E7B" w:rsidRDefault="00CD7B36">
            <w:pPr>
              <w:spacing w:after="0" w:line="266" w:lineRule="auto"/>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będące krotnością 3</w:t>
            </w:r>
          </w:p>
        </w:tc>
        <w:tc>
          <w:tcPr>
            <w:tcW w:w="1018" w:type="dxa"/>
            <w:vMerge w:val="restart"/>
            <w:tcBorders>
              <w:top w:val="single" w:sz="12" w:space="0" w:color="000000"/>
              <w:left w:val="single" w:sz="12" w:space="0" w:color="000000"/>
              <w:bottom w:val="single" w:sz="4" w:space="0" w:color="000000"/>
              <w:right w:val="single" w:sz="4" w:space="0" w:color="000000"/>
            </w:tcBorders>
          </w:tcPr>
          <w:p w14:paraId="7A6F503E"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 xml:space="preserve">Rząd </w:t>
            </w:r>
            <w:proofErr w:type="spellStart"/>
            <w:r w:rsidRPr="00EB2E7B">
              <w:rPr>
                <w:rFonts w:asciiTheme="minorHAnsi" w:hAnsiTheme="minorHAnsi" w:cstheme="minorHAnsi"/>
                <w:sz w:val="20"/>
                <w:szCs w:val="20"/>
              </w:rPr>
              <w:t>harmo</w:t>
            </w:r>
            <w:proofErr w:type="spellEnd"/>
            <w:r w:rsidRPr="00EB2E7B">
              <w:rPr>
                <w:rFonts w:asciiTheme="minorHAnsi" w:hAnsiTheme="minorHAnsi" w:cstheme="minorHAnsi"/>
                <w:sz w:val="20"/>
                <w:szCs w:val="20"/>
              </w:rPr>
              <w:t>-</w:t>
            </w:r>
          </w:p>
          <w:p w14:paraId="1B664CDE" w14:textId="77777777" w:rsidR="00CD7B36" w:rsidRPr="00EB2E7B" w:rsidRDefault="00CD7B36">
            <w:pPr>
              <w:spacing w:after="0" w:line="266" w:lineRule="auto"/>
              <w:ind w:left="0" w:firstLine="0"/>
              <w:jc w:val="center"/>
              <w:rPr>
                <w:rFonts w:asciiTheme="minorHAnsi" w:hAnsiTheme="minorHAnsi" w:cstheme="minorHAnsi"/>
                <w:sz w:val="20"/>
                <w:szCs w:val="20"/>
              </w:rPr>
            </w:pPr>
            <w:proofErr w:type="spellStart"/>
            <w:r w:rsidRPr="00EB2E7B">
              <w:rPr>
                <w:rFonts w:asciiTheme="minorHAnsi" w:hAnsiTheme="minorHAnsi" w:cstheme="minorHAnsi"/>
                <w:sz w:val="20"/>
                <w:szCs w:val="20"/>
              </w:rPr>
              <w:t>nicznej</w:t>
            </w:r>
            <w:proofErr w:type="spellEnd"/>
          </w:p>
          <w:p w14:paraId="3E9F9B5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(h)</w:t>
            </w:r>
          </w:p>
        </w:tc>
        <w:tc>
          <w:tcPr>
            <w:tcW w:w="2052" w:type="dxa"/>
            <w:vMerge w:val="restart"/>
            <w:tcBorders>
              <w:top w:val="single" w:sz="12" w:space="0" w:color="000000"/>
              <w:left w:val="single" w:sz="4" w:space="0" w:color="000000"/>
              <w:bottom w:val="single" w:sz="4" w:space="0" w:color="000000"/>
              <w:right w:val="single" w:sz="12" w:space="0" w:color="000000"/>
            </w:tcBorders>
          </w:tcPr>
          <w:p w14:paraId="0C1654E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Wartość względna napięcia wyrażona w procentach</w:t>
            </w:r>
          </w:p>
          <w:p w14:paraId="4FC32F80"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składowej</w:t>
            </w:r>
          </w:p>
          <w:p w14:paraId="0E0233B2"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podstawowej (u</w:t>
            </w:r>
            <w:r w:rsidRPr="00EB2E7B">
              <w:rPr>
                <w:rFonts w:asciiTheme="minorHAnsi" w:hAnsiTheme="minorHAnsi" w:cstheme="minorHAnsi"/>
                <w:sz w:val="20"/>
                <w:szCs w:val="20"/>
                <w:vertAlign w:val="subscript"/>
              </w:rPr>
              <w:t>h</w:t>
            </w:r>
            <w:r w:rsidRPr="00EB2E7B">
              <w:rPr>
                <w:rFonts w:asciiTheme="minorHAnsi" w:hAnsiTheme="minorHAnsi" w:cstheme="minorHAnsi"/>
                <w:sz w:val="20"/>
                <w:szCs w:val="20"/>
              </w:rPr>
              <w:t>)</w:t>
            </w:r>
          </w:p>
        </w:tc>
      </w:tr>
      <w:tr w:rsidR="00CD7B36" w:rsidRPr="00EB2E7B" w14:paraId="119DDC01" w14:textId="77777777">
        <w:trPr>
          <w:trHeight w:val="1390"/>
        </w:trPr>
        <w:tc>
          <w:tcPr>
            <w:tcW w:w="969" w:type="dxa"/>
            <w:tcBorders>
              <w:top w:val="single" w:sz="4" w:space="0" w:color="000000"/>
              <w:left w:val="single" w:sz="12" w:space="0" w:color="000000"/>
              <w:bottom w:val="single" w:sz="4" w:space="0" w:color="000000"/>
              <w:right w:val="single" w:sz="4" w:space="0" w:color="000000"/>
            </w:tcBorders>
          </w:tcPr>
          <w:p w14:paraId="7BF8ADA5"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 xml:space="preserve">Rząd </w:t>
            </w:r>
            <w:proofErr w:type="spellStart"/>
            <w:r w:rsidRPr="00EB2E7B">
              <w:rPr>
                <w:rFonts w:asciiTheme="minorHAnsi" w:hAnsiTheme="minorHAnsi" w:cstheme="minorHAnsi"/>
                <w:sz w:val="20"/>
                <w:szCs w:val="20"/>
              </w:rPr>
              <w:t>harmo</w:t>
            </w:r>
            <w:proofErr w:type="spellEnd"/>
            <w:r w:rsidRPr="00EB2E7B">
              <w:rPr>
                <w:rFonts w:asciiTheme="minorHAnsi" w:hAnsiTheme="minorHAnsi" w:cstheme="minorHAnsi"/>
                <w:sz w:val="20"/>
                <w:szCs w:val="20"/>
              </w:rPr>
              <w:t>-</w:t>
            </w:r>
          </w:p>
          <w:p w14:paraId="0E2A8E34" w14:textId="77777777" w:rsidR="00CD7B36" w:rsidRPr="00EB2E7B" w:rsidRDefault="00CD7B36">
            <w:pPr>
              <w:spacing w:after="0" w:line="266" w:lineRule="auto"/>
              <w:ind w:left="0" w:firstLine="0"/>
              <w:jc w:val="center"/>
              <w:rPr>
                <w:rFonts w:asciiTheme="minorHAnsi" w:hAnsiTheme="minorHAnsi" w:cstheme="minorHAnsi"/>
                <w:sz w:val="20"/>
                <w:szCs w:val="20"/>
              </w:rPr>
            </w:pPr>
            <w:proofErr w:type="spellStart"/>
            <w:r w:rsidRPr="00EB2E7B">
              <w:rPr>
                <w:rFonts w:asciiTheme="minorHAnsi" w:hAnsiTheme="minorHAnsi" w:cstheme="minorHAnsi"/>
                <w:sz w:val="20"/>
                <w:szCs w:val="20"/>
              </w:rPr>
              <w:t>nicznej</w:t>
            </w:r>
            <w:proofErr w:type="spellEnd"/>
          </w:p>
          <w:p w14:paraId="119E0CBA"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(h)</w:t>
            </w:r>
          </w:p>
        </w:tc>
        <w:tc>
          <w:tcPr>
            <w:tcW w:w="2101" w:type="dxa"/>
            <w:tcBorders>
              <w:top w:val="single" w:sz="4" w:space="0" w:color="000000"/>
              <w:left w:val="single" w:sz="4" w:space="0" w:color="000000"/>
              <w:bottom w:val="single" w:sz="4" w:space="0" w:color="000000"/>
              <w:right w:val="single" w:sz="4" w:space="0" w:color="000000"/>
            </w:tcBorders>
          </w:tcPr>
          <w:p w14:paraId="775AF902"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Wartość względna napięcia wyrażona w procentach</w:t>
            </w:r>
          </w:p>
          <w:p w14:paraId="780FBFD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składowej</w:t>
            </w:r>
          </w:p>
          <w:p w14:paraId="0F3F1CD5"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podstawowej (u</w:t>
            </w:r>
            <w:r w:rsidRPr="00EB2E7B">
              <w:rPr>
                <w:rFonts w:asciiTheme="minorHAnsi" w:hAnsiTheme="minorHAnsi" w:cstheme="minorHAnsi"/>
                <w:sz w:val="20"/>
                <w:szCs w:val="20"/>
                <w:vertAlign w:val="subscript"/>
              </w:rPr>
              <w:t>h</w:t>
            </w:r>
            <w:r w:rsidRPr="00EB2E7B">
              <w:rPr>
                <w:rFonts w:asciiTheme="minorHAnsi" w:hAnsiTheme="minorHAnsi" w:cstheme="minorHAnsi"/>
                <w:sz w:val="20"/>
                <w:szCs w:val="20"/>
              </w:rPr>
              <w:t>)</w:t>
            </w:r>
          </w:p>
        </w:tc>
        <w:tc>
          <w:tcPr>
            <w:tcW w:w="960" w:type="dxa"/>
            <w:tcBorders>
              <w:top w:val="single" w:sz="4" w:space="0" w:color="000000"/>
              <w:left w:val="single" w:sz="4" w:space="0" w:color="000000"/>
              <w:bottom w:val="single" w:sz="4" w:space="0" w:color="000000"/>
              <w:right w:val="single" w:sz="4" w:space="0" w:color="000000"/>
            </w:tcBorders>
          </w:tcPr>
          <w:p w14:paraId="0341D1C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 xml:space="preserve">Rząd </w:t>
            </w:r>
            <w:proofErr w:type="spellStart"/>
            <w:r w:rsidRPr="00EB2E7B">
              <w:rPr>
                <w:rFonts w:asciiTheme="minorHAnsi" w:hAnsiTheme="minorHAnsi" w:cstheme="minorHAnsi"/>
                <w:sz w:val="20"/>
                <w:szCs w:val="20"/>
              </w:rPr>
              <w:t>harmo</w:t>
            </w:r>
            <w:proofErr w:type="spellEnd"/>
            <w:r w:rsidRPr="00EB2E7B">
              <w:rPr>
                <w:rFonts w:asciiTheme="minorHAnsi" w:hAnsiTheme="minorHAnsi" w:cstheme="minorHAnsi"/>
                <w:sz w:val="20"/>
                <w:szCs w:val="20"/>
              </w:rPr>
              <w:t>-</w:t>
            </w:r>
          </w:p>
          <w:p w14:paraId="0F187956" w14:textId="77777777" w:rsidR="00CD7B36" w:rsidRPr="00EB2E7B" w:rsidRDefault="00CD7B36">
            <w:pPr>
              <w:spacing w:after="0" w:line="266" w:lineRule="auto"/>
              <w:ind w:left="0" w:firstLine="0"/>
              <w:jc w:val="center"/>
              <w:rPr>
                <w:rFonts w:asciiTheme="minorHAnsi" w:hAnsiTheme="minorHAnsi" w:cstheme="minorHAnsi"/>
                <w:sz w:val="20"/>
                <w:szCs w:val="20"/>
              </w:rPr>
            </w:pPr>
            <w:proofErr w:type="spellStart"/>
            <w:r w:rsidRPr="00EB2E7B">
              <w:rPr>
                <w:rFonts w:asciiTheme="minorHAnsi" w:hAnsiTheme="minorHAnsi" w:cstheme="minorHAnsi"/>
                <w:sz w:val="20"/>
                <w:szCs w:val="20"/>
              </w:rPr>
              <w:t>nicznej</w:t>
            </w:r>
            <w:proofErr w:type="spellEnd"/>
          </w:p>
          <w:p w14:paraId="38F38FC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(h)</w:t>
            </w:r>
          </w:p>
        </w:tc>
        <w:tc>
          <w:tcPr>
            <w:tcW w:w="2110" w:type="dxa"/>
            <w:tcBorders>
              <w:top w:val="single" w:sz="4" w:space="0" w:color="000000"/>
              <w:left w:val="single" w:sz="4" w:space="0" w:color="000000"/>
              <w:bottom w:val="single" w:sz="4" w:space="0" w:color="000000"/>
              <w:right w:val="single" w:sz="12" w:space="0" w:color="000000"/>
            </w:tcBorders>
          </w:tcPr>
          <w:p w14:paraId="72DF3388"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Wartość względna napięcia wyrażona w procentach</w:t>
            </w:r>
          </w:p>
          <w:p w14:paraId="77C8E6B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składowej</w:t>
            </w:r>
          </w:p>
          <w:p w14:paraId="71489DB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podstawowej (u</w:t>
            </w:r>
            <w:r w:rsidRPr="00EB2E7B">
              <w:rPr>
                <w:rFonts w:asciiTheme="minorHAnsi" w:hAnsiTheme="minorHAnsi" w:cstheme="minorHAnsi"/>
                <w:sz w:val="20"/>
                <w:szCs w:val="20"/>
                <w:vertAlign w:val="subscript"/>
              </w:rPr>
              <w:t>h</w:t>
            </w:r>
            <w:r w:rsidRPr="00EB2E7B">
              <w:rPr>
                <w:rFonts w:asciiTheme="minorHAnsi" w:hAnsiTheme="minorHAnsi" w:cstheme="minorHAnsi"/>
                <w:sz w:val="20"/>
                <w:szCs w:val="20"/>
              </w:rPr>
              <w:t>)</w:t>
            </w:r>
          </w:p>
        </w:tc>
        <w:tc>
          <w:tcPr>
            <w:tcW w:w="0" w:type="auto"/>
            <w:vMerge/>
            <w:tcBorders>
              <w:top w:val="nil"/>
              <w:left w:val="single" w:sz="12" w:space="0" w:color="000000"/>
              <w:bottom w:val="single" w:sz="4" w:space="0" w:color="000000"/>
              <w:right w:val="single" w:sz="4" w:space="0" w:color="000000"/>
            </w:tcBorders>
          </w:tcPr>
          <w:p w14:paraId="09D7C3E9" w14:textId="77777777" w:rsidR="00CD7B36" w:rsidRPr="00EB2E7B" w:rsidRDefault="00CD7B36">
            <w:pPr>
              <w:spacing w:after="0" w:line="266" w:lineRule="auto"/>
              <w:ind w:left="0" w:firstLine="0"/>
              <w:jc w:val="center"/>
              <w:rPr>
                <w:rFonts w:asciiTheme="minorHAnsi" w:hAnsiTheme="minorHAnsi" w:cstheme="minorHAnsi"/>
                <w:sz w:val="20"/>
                <w:szCs w:val="20"/>
              </w:rPr>
            </w:pPr>
          </w:p>
        </w:tc>
        <w:tc>
          <w:tcPr>
            <w:tcW w:w="0" w:type="auto"/>
            <w:vMerge/>
            <w:tcBorders>
              <w:top w:val="nil"/>
              <w:left w:val="single" w:sz="4" w:space="0" w:color="000000"/>
              <w:bottom w:val="single" w:sz="4" w:space="0" w:color="000000"/>
              <w:right w:val="single" w:sz="12" w:space="0" w:color="000000"/>
            </w:tcBorders>
          </w:tcPr>
          <w:p w14:paraId="3583854E" w14:textId="77777777" w:rsidR="00CD7B36" w:rsidRPr="00EB2E7B" w:rsidRDefault="00CD7B36">
            <w:pPr>
              <w:spacing w:after="0" w:line="266" w:lineRule="auto"/>
              <w:ind w:left="0" w:firstLine="0"/>
              <w:jc w:val="center"/>
              <w:rPr>
                <w:rFonts w:asciiTheme="minorHAnsi" w:hAnsiTheme="minorHAnsi" w:cstheme="minorHAnsi"/>
                <w:sz w:val="20"/>
                <w:szCs w:val="20"/>
              </w:rPr>
            </w:pPr>
          </w:p>
        </w:tc>
      </w:tr>
      <w:tr w:rsidR="00CD7B36" w:rsidRPr="00EB2E7B" w14:paraId="7F5CFB86" w14:textId="77777777">
        <w:trPr>
          <w:trHeight w:val="2230"/>
        </w:trPr>
        <w:tc>
          <w:tcPr>
            <w:tcW w:w="969" w:type="dxa"/>
            <w:tcBorders>
              <w:top w:val="single" w:sz="4" w:space="0" w:color="000000"/>
              <w:left w:val="single" w:sz="12" w:space="0" w:color="000000"/>
              <w:bottom w:val="single" w:sz="12" w:space="0" w:color="000000"/>
              <w:right w:val="single" w:sz="4" w:space="0" w:color="000000"/>
            </w:tcBorders>
          </w:tcPr>
          <w:p w14:paraId="700DBD98"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p>
          <w:p w14:paraId="5A2F6900"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7</w:t>
            </w:r>
          </w:p>
          <w:p w14:paraId="67DC1DB5"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11</w:t>
            </w:r>
          </w:p>
          <w:p w14:paraId="026C9A80"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13</w:t>
            </w:r>
          </w:p>
          <w:p w14:paraId="1B6FC9A3"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17</w:t>
            </w:r>
          </w:p>
          <w:p w14:paraId="2A974158"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19</w:t>
            </w:r>
          </w:p>
          <w:p w14:paraId="07B29042"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23</w:t>
            </w:r>
          </w:p>
          <w:p w14:paraId="6854EBCC"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25</w:t>
            </w:r>
          </w:p>
          <w:p w14:paraId="1CE6D750"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&gt;25</w:t>
            </w:r>
          </w:p>
        </w:tc>
        <w:tc>
          <w:tcPr>
            <w:tcW w:w="2101" w:type="dxa"/>
            <w:tcBorders>
              <w:top w:val="single" w:sz="4" w:space="0" w:color="000000"/>
              <w:left w:val="single" w:sz="4" w:space="0" w:color="000000"/>
              <w:bottom w:val="single" w:sz="12" w:space="0" w:color="000000"/>
              <w:right w:val="single" w:sz="4" w:space="0" w:color="000000"/>
            </w:tcBorders>
          </w:tcPr>
          <w:p w14:paraId="5EDEE89C"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p w14:paraId="288E8CA1"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p w14:paraId="7FB5BBCD"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79F293F7"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6A236B88"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w:t>
            </w:r>
          </w:p>
          <w:p w14:paraId="6BE12389"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w:t>
            </w:r>
          </w:p>
          <w:p w14:paraId="371D2486"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0,7%</w:t>
            </w:r>
          </w:p>
          <w:p w14:paraId="740EF5EE"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0,7%</w:t>
            </w:r>
          </w:p>
          <w:p w14:paraId="7CFD8FB6"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0,2 + 0,5 x 25/h</w:t>
            </w:r>
          </w:p>
        </w:tc>
        <w:tc>
          <w:tcPr>
            <w:tcW w:w="960" w:type="dxa"/>
            <w:tcBorders>
              <w:top w:val="single" w:sz="4" w:space="0" w:color="000000"/>
              <w:left w:val="single" w:sz="4" w:space="0" w:color="000000"/>
              <w:bottom w:val="single" w:sz="12" w:space="0" w:color="000000"/>
              <w:right w:val="single" w:sz="4" w:space="0" w:color="000000"/>
            </w:tcBorders>
          </w:tcPr>
          <w:p w14:paraId="267F3AD2"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3</w:t>
            </w:r>
          </w:p>
          <w:p w14:paraId="7A004DF2"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9</w:t>
            </w:r>
          </w:p>
          <w:p w14:paraId="78BB3DF0"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4244184C"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&gt;15</w:t>
            </w:r>
          </w:p>
        </w:tc>
        <w:tc>
          <w:tcPr>
            <w:tcW w:w="2110" w:type="dxa"/>
            <w:tcBorders>
              <w:top w:val="single" w:sz="4" w:space="0" w:color="000000"/>
              <w:left w:val="single" w:sz="4" w:space="0" w:color="000000"/>
              <w:bottom w:val="single" w:sz="12" w:space="0" w:color="000000"/>
              <w:right w:val="single" w:sz="12" w:space="0" w:color="000000"/>
            </w:tcBorders>
          </w:tcPr>
          <w:p w14:paraId="4964FC0B"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p w14:paraId="42260312"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w:t>
            </w:r>
          </w:p>
          <w:p w14:paraId="4750918C"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0,5%</w:t>
            </w:r>
          </w:p>
          <w:p w14:paraId="78EC70B0"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0,5%</w:t>
            </w:r>
          </w:p>
        </w:tc>
        <w:tc>
          <w:tcPr>
            <w:tcW w:w="1018" w:type="dxa"/>
            <w:tcBorders>
              <w:top w:val="single" w:sz="4" w:space="0" w:color="000000"/>
              <w:left w:val="single" w:sz="12" w:space="0" w:color="000000"/>
              <w:bottom w:val="single" w:sz="12" w:space="0" w:color="000000"/>
              <w:right w:val="single" w:sz="4" w:space="0" w:color="000000"/>
            </w:tcBorders>
          </w:tcPr>
          <w:p w14:paraId="21ABFF0F"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p w14:paraId="5E64A44F"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4</w:t>
            </w:r>
          </w:p>
          <w:p w14:paraId="56005DF0"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&gt;4</w:t>
            </w:r>
          </w:p>
        </w:tc>
        <w:tc>
          <w:tcPr>
            <w:tcW w:w="2052" w:type="dxa"/>
            <w:tcBorders>
              <w:top w:val="single" w:sz="4" w:space="0" w:color="000000"/>
              <w:left w:val="single" w:sz="4" w:space="0" w:color="000000"/>
              <w:bottom w:val="single" w:sz="12" w:space="0" w:color="000000"/>
              <w:right w:val="single" w:sz="12" w:space="0" w:color="000000"/>
            </w:tcBorders>
          </w:tcPr>
          <w:p w14:paraId="6720A7F6"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6AD87828"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w:t>
            </w:r>
          </w:p>
          <w:p w14:paraId="0D869709"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0,5%</w:t>
            </w:r>
          </w:p>
        </w:tc>
      </w:tr>
      <w:bookmarkEnd w:id="395"/>
    </w:tbl>
    <w:p w14:paraId="7FCB09C0" w14:textId="77777777" w:rsidR="00EC0BE2" w:rsidRPr="00EB2E7B" w:rsidRDefault="00EC0BE2" w:rsidP="00320F82">
      <w:pPr>
        <w:ind w:left="70" w:firstLine="0"/>
        <w:rPr>
          <w:rFonts w:asciiTheme="minorHAnsi" w:hAnsiTheme="minorHAnsi" w:cstheme="minorHAnsi"/>
          <w:sz w:val="20"/>
          <w:szCs w:val="20"/>
        </w:rPr>
      </w:pPr>
    </w:p>
    <w:p w14:paraId="2D2A39EB" w14:textId="32C662DA"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lastRenderedPageBreak/>
        <w:t>W każdym tygodniu wartość maksymalna ze zbioru 10-minutowych średnich wartości współczynnika odkształcenia wyższymi harmonicznymi napięcia zasilającego (THD), uwzględniającego wyższe harmoniczne do rzędu 50, jest mniejsza lub równa 3%.</w:t>
      </w:r>
    </w:p>
    <w:p w14:paraId="47FCB820"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Parametry jakościowe energii elektrycznej dostarczanej z sieci, mogą być zastąpione w całości lub w części innymi parametrami jakościowymi tej energii określonymi w umowie dystrybucji albo w umowie kompleksowej.</w:t>
      </w:r>
    </w:p>
    <w:p w14:paraId="45306F9A"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 zapewnia utrzymanie parametrów napięcia zasilającego w granicach określonych powyżej pod warunkiem, że:</w:t>
      </w:r>
    </w:p>
    <w:p w14:paraId="6E3647D3" w14:textId="77777777" w:rsidR="00CD7B36" w:rsidRPr="00EB2E7B" w:rsidRDefault="00CD7B36" w:rsidP="00EC0BE2">
      <w:pPr>
        <w:pStyle w:val="1przed"/>
        <w:numPr>
          <w:ilvl w:val="0"/>
          <w:numId w:val="221"/>
        </w:numPr>
        <w:ind w:left="1701" w:hanging="567"/>
        <w:rPr>
          <w:rFonts w:asciiTheme="minorHAnsi" w:hAnsiTheme="minorHAnsi" w:cstheme="minorHAnsi"/>
          <w:sz w:val="20"/>
          <w:szCs w:val="20"/>
        </w:rPr>
      </w:pPr>
      <w:r w:rsidRPr="00EB2E7B">
        <w:rPr>
          <w:rFonts w:asciiTheme="minorHAnsi" w:hAnsiTheme="minorHAnsi" w:cstheme="minorHAnsi"/>
          <w:sz w:val="20"/>
          <w:szCs w:val="20"/>
        </w:rPr>
        <w:t>użytkownik systemu pobiera z niej lub wprowadza do niej moc czynną równą mocy umownej lub mniejszą,</w:t>
      </w:r>
    </w:p>
    <w:p w14:paraId="336E6489" w14:textId="77777777" w:rsidR="00CD7B36" w:rsidRPr="00EB2E7B" w:rsidRDefault="00CD7B36" w:rsidP="00EC0BE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moc bierna pobierana z sieci lub wprowadzana do sieci przez użytkownika systemu nie przekracza granicznych wartości określonych w umowie dystrybucji albo w umowie kompleksowej,</w:t>
      </w:r>
    </w:p>
    <w:p w14:paraId="2D13B16A" w14:textId="77777777" w:rsidR="00CD7B36" w:rsidRPr="00EB2E7B" w:rsidRDefault="00CD7B36" w:rsidP="00EC0BE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użytkownik systemu wypełnia zobowiązania dotyczące regulacji mocy biernej i napięcia określone w umowie dystrybucji albo w umowie kompleksowej.</w:t>
      </w:r>
    </w:p>
    <w:p w14:paraId="6789FA95" w14:textId="77777777" w:rsidR="00CD7B36" w:rsidRPr="00EB2E7B" w:rsidRDefault="00CD7B36" w:rsidP="00EC0BE2">
      <w:pPr>
        <w:pStyle w:val="Nagwek3gruby"/>
        <w:ind w:left="1134" w:hanging="1134"/>
        <w:rPr>
          <w:rFonts w:asciiTheme="minorHAnsi" w:hAnsiTheme="minorHAnsi" w:cstheme="minorHAnsi"/>
          <w:bCs/>
          <w:sz w:val="20"/>
          <w:szCs w:val="20"/>
        </w:rPr>
      </w:pPr>
      <w:r w:rsidRPr="00EB2E7B">
        <w:rPr>
          <w:rFonts w:asciiTheme="minorHAnsi" w:hAnsiTheme="minorHAnsi" w:cstheme="minorHAnsi"/>
          <w:bCs/>
          <w:sz w:val="20"/>
          <w:szCs w:val="20"/>
        </w:rPr>
        <w:t>Parametry jakościowe energii elektrycznej, w przypadku sieci funkcjonującej bez zakłóceń, dla podmiotów zaliczanych do grup przyłączeniowych III-V</w:t>
      </w:r>
    </w:p>
    <w:p w14:paraId="335F267B"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Wartość średnia częstotliwości mierzonej przez 10 s zawiera się w przedziale:</w:t>
      </w:r>
    </w:p>
    <w:p w14:paraId="64541C4A" w14:textId="77777777" w:rsidR="00CD7B36" w:rsidRPr="00EB2E7B" w:rsidRDefault="00CD7B36" w:rsidP="00EC0BE2">
      <w:pPr>
        <w:pStyle w:val="1przed"/>
        <w:numPr>
          <w:ilvl w:val="0"/>
          <w:numId w:val="222"/>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50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 1% (od 49,5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do 50,5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przez 99,5% tygodnia,</w:t>
      </w:r>
    </w:p>
    <w:p w14:paraId="09CE3A66" w14:textId="77777777" w:rsidR="00CD7B36" w:rsidRPr="00EB2E7B" w:rsidRDefault="00CD7B36" w:rsidP="00EC0BE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50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+ 4% / – 6% (od 47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do 52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przez 100% tygodnia.</w:t>
      </w:r>
    </w:p>
    <w:p w14:paraId="47A303AA"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W każdym tygodniu 95% ze zbioru 10-minutowych średnich wartości skutecznych napięcia zasilającego zawiera się w przedziale odchyleń ±10% napięcia znamionowego.</w:t>
      </w:r>
    </w:p>
    <w:p w14:paraId="53D07BD4"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Przez 95% czasu w każdym tygodniu wskaźnik długookresowego migotania światła (</w:t>
      </w:r>
      <w:proofErr w:type="spellStart"/>
      <w:r w:rsidRPr="00EB2E7B">
        <w:rPr>
          <w:rFonts w:asciiTheme="minorHAnsi" w:hAnsiTheme="minorHAnsi" w:cstheme="minorHAnsi"/>
          <w:sz w:val="20"/>
          <w:szCs w:val="20"/>
        </w:rPr>
        <w:t>Plt</w:t>
      </w:r>
      <w:proofErr w:type="spellEnd"/>
      <w:r w:rsidRPr="00EB2E7B">
        <w:rPr>
          <w:rFonts w:asciiTheme="minorHAnsi" w:hAnsiTheme="minorHAnsi" w:cstheme="minorHAnsi"/>
          <w:sz w:val="20"/>
          <w:szCs w:val="20"/>
        </w:rPr>
        <w:t>) spowodowanego wahaniami napięcia zasilającego nie może być większy niż 1.</w:t>
      </w:r>
    </w:p>
    <w:p w14:paraId="002B6383"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W każdym tygodniu 95% ze zbioru 10-minutowych średnich wartości skutecznych:</w:t>
      </w:r>
    </w:p>
    <w:p w14:paraId="1B9556DC" w14:textId="77777777" w:rsidR="00CD7B36" w:rsidRPr="00EB2E7B" w:rsidRDefault="00CD7B36" w:rsidP="00EC0BE2">
      <w:pPr>
        <w:pStyle w:val="1przed"/>
        <w:numPr>
          <w:ilvl w:val="0"/>
          <w:numId w:val="223"/>
        </w:numPr>
        <w:ind w:left="1701" w:hanging="567"/>
        <w:rPr>
          <w:rFonts w:asciiTheme="minorHAnsi" w:hAnsiTheme="minorHAnsi" w:cstheme="minorHAnsi"/>
          <w:sz w:val="20"/>
          <w:szCs w:val="20"/>
        </w:rPr>
      </w:pPr>
      <w:r w:rsidRPr="00EB2E7B">
        <w:rPr>
          <w:rFonts w:asciiTheme="minorHAnsi" w:hAnsiTheme="minorHAnsi" w:cstheme="minorHAnsi"/>
          <w:sz w:val="20"/>
          <w:szCs w:val="20"/>
        </w:rPr>
        <w:t>składowej symetrycznej kolejności przeciwnej napięcia zasilającego zawiera się w przedziale od 0% do 2% wartości składowej kolejności zgodnej,</w:t>
      </w:r>
    </w:p>
    <w:p w14:paraId="4B31E73A" w14:textId="77777777" w:rsidR="00CD7B36" w:rsidRPr="00EB2E7B" w:rsidRDefault="00CD7B36" w:rsidP="00EC0BE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dla każdej harmonicznej napięcia zasilającego (o rzędach od 2 do 50) powinno być mniejsze lub równe wartościom określonym w poniższej tabeli:</w:t>
      </w:r>
    </w:p>
    <w:p w14:paraId="10D52FCB" w14:textId="77777777" w:rsidR="00417DB1" w:rsidRPr="00EB2E7B" w:rsidRDefault="00417DB1" w:rsidP="00417DB1">
      <w:pPr>
        <w:pStyle w:val="1przed"/>
        <w:numPr>
          <w:ilvl w:val="0"/>
          <w:numId w:val="0"/>
        </w:numPr>
        <w:ind w:left="1701"/>
        <w:rPr>
          <w:rFonts w:asciiTheme="minorHAnsi" w:hAnsiTheme="minorHAnsi" w:cstheme="minorHAnsi"/>
          <w:sz w:val="20"/>
          <w:szCs w:val="20"/>
        </w:rPr>
      </w:pPr>
    </w:p>
    <w:tbl>
      <w:tblPr>
        <w:tblStyle w:val="Tabela-Siatka1"/>
        <w:tblW w:w="9210" w:type="dxa"/>
        <w:tblInd w:w="0" w:type="dxa"/>
        <w:tblCellMar>
          <w:top w:w="9" w:type="dxa"/>
          <w:left w:w="130" w:type="dxa"/>
          <w:right w:w="67" w:type="dxa"/>
        </w:tblCellMar>
        <w:tblLook w:val="04A0" w:firstRow="1" w:lastRow="0" w:firstColumn="1" w:lastColumn="0" w:noHBand="0" w:noVBand="1"/>
      </w:tblPr>
      <w:tblGrid>
        <w:gridCol w:w="969"/>
        <w:gridCol w:w="2101"/>
        <w:gridCol w:w="960"/>
        <w:gridCol w:w="2110"/>
        <w:gridCol w:w="1018"/>
        <w:gridCol w:w="2052"/>
      </w:tblGrid>
      <w:tr w:rsidR="00CD7B36" w:rsidRPr="00EB2E7B" w14:paraId="48BACFB8" w14:textId="77777777">
        <w:trPr>
          <w:trHeight w:val="386"/>
        </w:trPr>
        <w:tc>
          <w:tcPr>
            <w:tcW w:w="6140" w:type="dxa"/>
            <w:gridSpan w:val="4"/>
            <w:tcBorders>
              <w:top w:val="single" w:sz="12" w:space="0" w:color="000000"/>
              <w:left w:val="single" w:sz="12" w:space="0" w:color="000000"/>
              <w:bottom w:val="single" w:sz="12" w:space="0" w:color="000000"/>
              <w:right w:val="single" w:sz="12" w:space="0" w:color="000000"/>
            </w:tcBorders>
          </w:tcPr>
          <w:p w14:paraId="548071DD" w14:textId="77777777" w:rsidR="00CD7B36" w:rsidRPr="00EB2E7B" w:rsidRDefault="00CD7B36">
            <w:pPr>
              <w:spacing w:after="0"/>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Harmoniczne nieparzyste</w:t>
            </w:r>
          </w:p>
        </w:tc>
        <w:tc>
          <w:tcPr>
            <w:tcW w:w="3070" w:type="dxa"/>
            <w:gridSpan w:val="2"/>
            <w:tcBorders>
              <w:top w:val="single" w:sz="12" w:space="0" w:color="000000"/>
              <w:left w:val="single" w:sz="12" w:space="0" w:color="000000"/>
              <w:bottom w:val="single" w:sz="12" w:space="0" w:color="000000"/>
              <w:right w:val="single" w:sz="12" w:space="0" w:color="000000"/>
            </w:tcBorders>
          </w:tcPr>
          <w:p w14:paraId="5E9D044C" w14:textId="77777777" w:rsidR="00CD7B36" w:rsidRPr="00EB2E7B" w:rsidRDefault="00CD7B36">
            <w:pPr>
              <w:spacing w:after="0"/>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Harmoniczne parzyste</w:t>
            </w:r>
          </w:p>
        </w:tc>
      </w:tr>
      <w:tr w:rsidR="00CD7B36" w:rsidRPr="00EB2E7B" w14:paraId="7953C943" w14:textId="77777777">
        <w:trPr>
          <w:trHeight w:val="295"/>
        </w:trPr>
        <w:tc>
          <w:tcPr>
            <w:tcW w:w="3070" w:type="dxa"/>
            <w:gridSpan w:val="2"/>
            <w:tcBorders>
              <w:top w:val="single" w:sz="12" w:space="0" w:color="000000"/>
              <w:left w:val="single" w:sz="12" w:space="0" w:color="000000"/>
              <w:bottom w:val="single" w:sz="4" w:space="0" w:color="000000"/>
              <w:right w:val="single" w:sz="4" w:space="0" w:color="000000"/>
            </w:tcBorders>
          </w:tcPr>
          <w:p w14:paraId="41BFA634" w14:textId="695B1942" w:rsidR="00CD7B36" w:rsidRPr="00EB2E7B" w:rsidRDefault="00CD7B36">
            <w:pPr>
              <w:spacing w:after="0" w:line="266" w:lineRule="auto"/>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niebędące krotnością 3</w:t>
            </w:r>
          </w:p>
        </w:tc>
        <w:tc>
          <w:tcPr>
            <w:tcW w:w="3070" w:type="dxa"/>
            <w:gridSpan w:val="2"/>
            <w:tcBorders>
              <w:top w:val="single" w:sz="12" w:space="0" w:color="000000"/>
              <w:left w:val="single" w:sz="4" w:space="0" w:color="000000"/>
              <w:bottom w:val="single" w:sz="4" w:space="0" w:color="000000"/>
              <w:right w:val="single" w:sz="12" w:space="0" w:color="000000"/>
            </w:tcBorders>
          </w:tcPr>
          <w:p w14:paraId="7057E2FE" w14:textId="77777777" w:rsidR="00CD7B36" w:rsidRPr="00EB2E7B" w:rsidRDefault="00CD7B36">
            <w:pPr>
              <w:spacing w:after="0" w:line="266" w:lineRule="auto"/>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będące krotnością 3</w:t>
            </w:r>
          </w:p>
        </w:tc>
        <w:tc>
          <w:tcPr>
            <w:tcW w:w="1018" w:type="dxa"/>
            <w:vMerge w:val="restart"/>
            <w:tcBorders>
              <w:top w:val="single" w:sz="12" w:space="0" w:color="000000"/>
              <w:left w:val="single" w:sz="12" w:space="0" w:color="000000"/>
              <w:bottom w:val="single" w:sz="4" w:space="0" w:color="000000"/>
              <w:right w:val="single" w:sz="4" w:space="0" w:color="000000"/>
            </w:tcBorders>
          </w:tcPr>
          <w:p w14:paraId="76AC1CC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 xml:space="preserve">Rząd </w:t>
            </w:r>
            <w:proofErr w:type="spellStart"/>
            <w:r w:rsidRPr="00EB2E7B">
              <w:rPr>
                <w:rFonts w:asciiTheme="minorHAnsi" w:hAnsiTheme="minorHAnsi" w:cstheme="minorHAnsi"/>
                <w:sz w:val="20"/>
                <w:szCs w:val="20"/>
              </w:rPr>
              <w:t>harmo</w:t>
            </w:r>
            <w:proofErr w:type="spellEnd"/>
            <w:r w:rsidRPr="00EB2E7B">
              <w:rPr>
                <w:rFonts w:asciiTheme="minorHAnsi" w:hAnsiTheme="minorHAnsi" w:cstheme="minorHAnsi"/>
                <w:sz w:val="20"/>
                <w:szCs w:val="20"/>
              </w:rPr>
              <w:t>-</w:t>
            </w:r>
          </w:p>
          <w:p w14:paraId="43D853A9" w14:textId="77777777" w:rsidR="00CD7B36" w:rsidRPr="00EB2E7B" w:rsidRDefault="00CD7B36">
            <w:pPr>
              <w:spacing w:after="0" w:line="266" w:lineRule="auto"/>
              <w:ind w:left="0" w:firstLine="0"/>
              <w:jc w:val="center"/>
              <w:rPr>
                <w:rFonts w:asciiTheme="minorHAnsi" w:hAnsiTheme="minorHAnsi" w:cstheme="minorHAnsi"/>
                <w:sz w:val="20"/>
                <w:szCs w:val="20"/>
              </w:rPr>
            </w:pPr>
            <w:proofErr w:type="spellStart"/>
            <w:r w:rsidRPr="00EB2E7B">
              <w:rPr>
                <w:rFonts w:asciiTheme="minorHAnsi" w:hAnsiTheme="minorHAnsi" w:cstheme="minorHAnsi"/>
                <w:sz w:val="20"/>
                <w:szCs w:val="20"/>
              </w:rPr>
              <w:t>nicznej</w:t>
            </w:r>
            <w:proofErr w:type="spellEnd"/>
          </w:p>
          <w:p w14:paraId="5D0E46B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(h)</w:t>
            </w:r>
          </w:p>
        </w:tc>
        <w:tc>
          <w:tcPr>
            <w:tcW w:w="2052" w:type="dxa"/>
            <w:vMerge w:val="restart"/>
            <w:tcBorders>
              <w:top w:val="single" w:sz="12" w:space="0" w:color="000000"/>
              <w:left w:val="single" w:sz="4" w:space="0" w:color="000000"/>
              <w:bottom w:val="single" w:sz="4" w:space="0" w:color="000000"/>
              <w:right w:val="single" w:sz="12" w:space="0" w:color="000000"/>
            </w:tcBorders>
          </w:tcPr>
          <w:p w14:paraId="07BCEAC0"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Wartość względna napięcia wyrażona w procentach</w:t>
            </w:r>
          </w:p>
          <w:p w14:paraId="758687A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składowej</w:t>
            </w:r>
          </w:p>
          <w:p w14:paraId="450F5C46"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podstawowej (u</w:t>
            </w:r>
            <w:r w:rsidRPr="00EB2E7B">
              <w:rPr>
                <w:rFonts w:asciiTheme="minorHAnsi" w:hAnsiTheme="minorHAnsi" w:cstheme="minorHAnsi"/>
                <w:sz w:val="20"/>
                <w:szCs w:val="20"/>
                <w:vertAlign w:val="subscript"/>
              </w:rPr>
              <w:t>h</w:t>
            </w:r>
            <w:r w:rsidRPr="00EB2E7B">
              <w:rPr>
                <w:rFonts w:asciiTheme="minorHAnsi" w:hAnsiTheme="minorHAnsi" w:cstheme="minorHAnsi"/>
                <w:sz w:val="20"/>
                <w:szCs w:val="20"/>
              </w:rPr>
              <w:t>)</w:t>
            </w:r>
          </w:p>
        </w:tc>
      </w:tr>
      <w:tr w:rsidR="00CD7B36" w:rsidRPr="00EB2E7B" w14:paraId="342D74F7" w14:textId="77777777">
        <w:trPr>
          <w:trHeight w:val="1390"/>
        </w:trPr>
        <w:tc>
          <w:tcPr>
            <w:tcW w:w="969" w:type="dxa"/>
            <w:tcBorders>
              <w:top w:val="single" w:sz="4" w:space="0" w:color="000000"/>
              <w:left w:val="single" w:sz="12" w:space="0" w:color="000000"/>
              <w:bottom w:val="single" w:sz="4" w:space="0" w:color="000000"/>
              <w:right w:val="single" w:sz="4" w:space="0" w:color="000000"/>
            </w:tcBorders>
          </w:tcPr>
          <w:p w14:paraId="1E5CF565"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 xml:space="preserve">Rząd </w:t>
            </w:r>
            <w:proofErr w:type="spellStart"/>
            <w:r w:rsidRPr="00EB2E7B">
              <w:rPr>
                <w:rFonts w:asciiTheme="minorHAnsi" w:hAnsiTheme="minorHAnsi" w:cstheme="minorHAnsi"/>
                <w:sz w:val="20"/>
                <w:szCs w:val="20"/>
              </w:rPr>
              <w:t>harmo</w:t>
            </w:r>
            <w:proofErr w:type="spellEnd"/>
            <w:r w:rsidRPr="00EB2E7B">
              <w:rPr>
                <w:rFonts w:asciiTheme="minorHAnsi" w:hAnsiTheme="minorHAnsi" w:cstheme="minorHAnsi"/>
                <w:sz w:val="20"/>
                <w:szCs w:val="20"/>
              </w:rPr>
              <w:t>-</w:t>
            </w:r>
          </w:p>
          <w:p w14:paraId="6F3EE673" w14:textId="77777777" w:rsidR="00CD7B36" w:rsidRPr="00EB2E7B" w:rsidRDefault="00CD7B36">
            <w:pPr>
              <w:spacing w:after="0" w:line="266" w:lineRule="auto"/>
              <w:ind w:left="0" w:firstLine="0"/>
              <w:jc w:val="center"/>
              <w:rPr>
                <w:rFonts w:asciiTheme="minorHAnsi" w:hAnsiTheme="minorHAnsi" w:cstheme="minorHAnsi"/>
                <w:sz w:val="20"/>
                <w:szCs w:val="20"/>
              </w:rPr>
            </w:pPr>
            <w:proofErr w:type="spellStart"/>
            <w:r w:rsidRPr="00EB2E7B">
              <w:rPr>
                <w:rFonts w:asciiTheme="minorHAnsi" w:hAnsiTheme="minorHAnsi" w:cstheme="minorHAnsi"/>
                <w:sz w:val="20"/>
                <w:szCs w:val="20"/>
              </w:rPr>
              <w:t>nicznej</w:t>
            </w:r>
            <w:proofErr w:type="spellEnd"/>
          </w:p>
          <w:p w14:paraId="5B1BC3E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(h)</w:t>
            </w:r>
          </w:p>
        </w:tc>
        <w:tc>
          <w:tcPr>
            <w:tcW w:w="2101" w:type="dxa"/>
            <w:tcBorders>
              <w:top w:val="single" w:sz="4" w:space="0" w:color="000000"/>
              <w:left w:val="single" w:sz="4" w:space="0" w:color="000000"/>
              <w:bottom w:val="single" w:sz="4" w:space="0" w:color="000000"/>
              <w:right w:val="single" w:sz="4" w:space="0" w:color="000000"/>
            </w:tcBorders>
          </w:tcPr>
          <w:p w14:paraId="53379E7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Wartość względna napięcia wyrażona w procentach</w:t>
            </w:r>
          </w:p>
          <w:p w14:paraId="17C7B08C"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składowej</w:t>
            </w:r>
          </w:p>
          <w:p w14:paraId="62CCB8DC"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podstawowej (u</w:t>
            </w:r>
            <w:r w:rsidRPr="00EB2E7B">
              <w:rPr>
                <w:rFonts w:asciiTheme="minorHAnsi" w:hAnsiTheme="minorHAnsi" w:cstheme="minorHAnsi"/>
                <w:sz w:val="20"/>
                <w:szCs w:val="20"/>
                <w:vertAlign w:val="subscript"/>
              </w:rPr>
              <w:t>h</w:t>
            </w:r>
            <w:r w:rsidRPr="00EB2E7B">
              <w:rPr>
                <w:rFonts w:asciiTheme="minorHAnsi" w:hAnsiTheme="minorHAnsi" w:cstheme="minorHAnsi"/>
                <w:sz w:val="20"/>
                <w:szCs w:val="20"/>
              </w:rPr>
              <w:t>)</w:t>
            </w:r>
          </w:p>
        </w:tc>
        <w:tc>
          <w:tcPr>
            <w:tcW w:w="960" w:type="dxa"/>
            <w:tcBorders>
              <w:top w:val="single" w:sz="4" w:space="0" w:color="000000"/>
              <w:left w:val="single" w:sz="4" w:space="0" w:color="000000"/>
              <w:bottom w:val="single" w:sz="4" w:space="0" w:color="000000"/>
              <w:right w:val="single" w:sz="4" w:space="0" w:color="000000"/>
            </w:tcBorders>
          </w:tcPr>
          <w:p w14:paraId="62DCAD22"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 xml:space="preserve">Rząd </w:t>
            </w:r>
            <w:proofErr w:type="spellStart"/>
            <w:r w:rsidRPr="00EB2E7B">
              <w:rPr>
                <w:rFonts w:asciiTheme="minorHAnsi" w:hAnsiTheme="minorHAnsi" w:cstheme="minorHAnsi"/>
                <w:sz w:val="20"/>
                <w:szCs w:val="20"/>
              </w:rPr>
              <w:t>harmo</w:t>
            </w:r>
            <w:proofErr w:type="spellEnd"/>
            <w:r w:rsidRPr="00EB2E7B">
              <w:rPr>
                <w:rFonts w:asciiTheme="minorHAnsi" w:hAnsiTheme="minorHAnsi" w:cstheme="minorHAnsi"/>
                <w:sz w:val="20"/>
                <w:szCs w:val="20"/>
              </w:rPr>
              <w:t>-</w:t>
            </w:r>
          </w:p>
          <w:p w14:paraId="46EAC9B1" w14:textId="77777777" w:rsidR="00CD7B36" w:rsidRPr="00EB2E7B" w:rsidRDefault="00CD7B36">
            <w:pPr>
              <w:spacing w:after="0" w:line="266" w:lineRule="auto"/>
              <w:ind w:left="0" w:firstLine="0"/>
              <w:jc w:val="center"/>
              <w:rPr>
                <w:rFonts w:asciiTheme="minorHAnsi" w:hAnsiTheme="minorHAnsi" w:cstheme="minorHAnsi"/>
                <w:sz w:val="20"/>
                <w:szCs w:val="20"/>
              </w:rPr>
            </w:pPr>
            <w:proofErr w:type="spellStart"/>
            <w:r w:rsidRPr="00EB2E7B">
              <w:rPr>
                <w:rFonts w:asciiTheme="minorHAnsi" w:hAnsiTheme="minorHAnsi" w:cstheme="minorHAnsi"/>
                <w:sz w:val="20"/>
                <w:szCs w:val="20"/>
              </w:rPr>
              <w:t>nicznej</w:t>
            </w:r>
            <w:proofErr w:type="spellEnd"/>
          </w:p>
          <w:p w14:paraId="38486B0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(h)</w:t>
            </w:r>
          </w:p>
        </w:tc>
        <w:tc>
          <w:tcPr>
            <w:tcW w:w="2110" w:type="dxa"/>
            <w:tcBorders>
              <w:top w:val="single" w:sz="4" w:space="0" w:color="000000"/>
              <w:left w:val="single" w:sz="4" w:space="0" w:color="000000"/>
              <w:bottom w:val="single" w:sz="4" w:space="0" w:color="000000"/>
              <w:right w:val="single" w:sz="12" w:space="0" w:color="000000"/>
            </w:tcBorders>
          </w:tcPr>
          <w:p w14:paraId="4D3FFD88"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Wartość względna napięcia wyrażona w procentach</w:t>
            </w:r>
          </w:p>
          <w:p w14:paraId="2AEE378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składowej</w:t>
            </w:r>
          </w:p>
          <w:p w14:paraId="0FD4155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podstawowej (u</w:t>
            </w:r>
            <w:r w:rsidRPr="00EB2E7B">
              <w:rPr>
                <w:rFonts w:asciiTheme="minorHAnsi" w:hAnsiTheme="minorHAnsi" w:cstheme="minorHAnsi"/>
                <w:sz w:val="20"/>
                <w:szCs w:val="20"/>
                <w:vertAlign w:val="subscript"/>
              </w:rPr>
              <w:t>h</w:t>
            </w:r>
            <w:r w:rsidRPr="00EB2E7B">
              <w:rPr>
                <w:rFonts w:asciiTheme="minorHAnsi" w:hAnsiTheme="minorHAnsi" w:cstheme="minorHAnsi"/>
                <w:sz w:val="20"/>
                <w:szCs w:val="20"/>
              </w:rPr>
              <w:t>)</w:t>
            </w:r>
          </w:p>
        </w:tc>
        <w:tc>
          <w:tcPr>
            <w:tcW w:w="0" w:type="auto"/>
            <w:vMerge/>
            <w:tcBorders>
              <w:top w:val="nil"/>
              <w:left w:val="single" w:sz="12" w:space="0" w:color="000000"/>
              <w:bottom w:val="single" w:sz="4" w:space="0" w:color="000000"/>
              <w:right w:val="single" w:sz="4" w:space="0" w:color="000000"/>
            </w:tcBorders>
          </w:tcPr>
          <w:p w14:paraId="5642D33D" w14:textId="77777777" w:rsidR="00CD7B36" w:rsidRPr="00EB2E7B" w:rsidRDefault="00CD7B36">
            <w:pPr>
              <w:spacing w:after="0" w:line="266" w:lineRule="auto"/>
              <w:ind w:left="0" w:firstLine="0"/>
              <w:jc w:val="center"/>
              <w:rPr>
                <w:rFonts w:asciiTheme="minorHAnsi" w:hAnsiTheme="minorHAnsi" w:cstheme="minorHAnsi"/>
                <w:sz w:val="20"/>
                <w:szCs w:val="20"/>
              </w:rPr>
            </w:pPr>
          </w:p>
        </w:tc>
        <w:tc>
          <w:tcPr>
            <w:tcW w:w="0" w:type="auto"/>
            <w:vMerge/>
            <w:tcBorders>
              <w:top w:val="nil"/>
              <w:left w:val="single" w:sz="4" w:space="0" w:color="000000"/>
              <w:bottom w:val="single" w:sz="4" w:space="0" w:color="000000"/>
              <w:right w:val="single" w:sz="12" w:space="0" w:color="000000"/>
            </w:tcBorders>
          </w:tcPr>
          <w:p w14:paraId="5CAEACF1" w14:textId="77777777" w:rsidR="00CD7B36" w:rsidRPr="00EB2E7B" w:rsidRDefault="00CD7B36">
            <w:pPr>
              <w:spacing w:after="0" w:line="266" w:lineRule="auto"/>
              <w:ind w:left="0" w:firstLine="0"/>
              <w:jc w:val="center"/>
              <w:rPr>
                <w:rFonts w:asciiTheme="minorHAnsi" w:hAnsiTheme="minorHAnsi" w:cstheme="minorHAnsi"/>
                <w:sz w:val="20"/>
                <w:szCs w:val="20"/>
              </w:rPr>
            </w:pPr>
          </w:p>
        </w:tc>
      </w:tr>
      <w:tr w:rsidR="00CD7B36" w:rsidRPr="00EB2E7B" w14:paraId="6425EBAA" w14:textId="77777777">
        <w:trPr>
          <w:trHeight w:val="2230"/>
        </w:trPr>
        <w:tc>
          <w:tcPr>
            <w:tcW w:w="969" w:type="dxa"/>
            <w:tcBorders>
              <w:top w:val="single" w:sz="4" w:space="0" w:color="000000"/>
              <w:left w:val="single" w:sz="12" w:space="0" w:color="000000"/>
              <w:bottom w:val="single" w:sz="12" w:space="0" w:color="000000"/>
              <w:right w:val="single" w:sz="4" w:space="0" w:color="000000"/>
            </w:tcBorders>
          </w:tcPr>
          <w:p w14:paraId="4EECF249"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lastRenderedPageBreak/>
              <w:t>5</w:t>
            </w:r>
          </w:p>
          <w:p w14:paraId="7317AA17"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7</w:t>
            </w:r>
          </w:p>
          <w:p w14:paraId="6DE530CF"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11</w:t>
            </w:r>
          </w:p>
          <w:p w14:paraId="0C8E6A2A"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13</w:t>
            </w:r>
          </w:p>
          <w:p w14:paraId="4E8B9590"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17</w:t>
            </w:r>
          </w:p>
          <w:p w14:paraId="5BF59A04"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19</w:t>
            </w:r>
          </w:p>
          <w:p w14:paraId="78226A16"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23</w:t>
            </w:r>
          </w:p>
          <w:p w14:paraId="5B4CB7A4"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25</w:t>
            </w:r>
          </w:p>
          <w:p w14:paraId="292DECEA"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&gt;25</w:t>
            </w:r>
          </w:p>
        </w:tc>
        <w:tc>
          <w:tcPr>
            <w:tcW w:w="2101" w:type="dxa"/>
            <w:tcBorders>
              <w:top w:val="single" w:sz="4" w:space="0" w:color="000000"/>
              <w:left w:val="single" w:sz="4" w:space="0" w:color="000000"/>
              <w:bottom w:val="single" w:sz="12" w:space="0" w:color="000000"/>
              <w:right w:val="single" w:sz="4" w:space="0" w:color="000000"/>
            </w:tcBorders>
          </w:tcPr>
          <w:p w14:paraId="61E69AC8"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6%</w:t>
            </w:r>
          </w:p>
          <w:p w14:paraId="66CCD953"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p>
          <w:p w14:paraId="5BBA29DB"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3,5%</w:t>
            </w:r>
          </w:p>
          <w:p w14:paraId="0FE49532"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3%</w:t>
            </w:r>
          </w:p>
          <w:p w14:paraId="4F3C6273"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p w14:paraId="5A99B3F6"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5599CA92"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07FD1397"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12E54573"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0,5 + 25/h</w:t>
            </w:r>
          </w:p>
        </w:tc>
        <w:tc>
          <w:tcPr>
            <w:tcW w:w="960" w:type="dxa"/>
            <w:tcBorders>
              <w:top w:val="single" w:sz="4" w:space="0" w:color="000000"/>
              <w:left w:val="single" w:sz="4" w:space="0" w:color="000000"/>
              <w:bottom w:val="single" w:sz="12" w:space="0" w:color="000000"/>
              <w:right w:val="single" w:sz="4" w:space="0" w:color="000000"/>
            </w:tcBorders>
          </w:tcPr>
          <w:p w14:paraId="00A60C19"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3</w:t>
            </w:r>
          </w:p>
          <w:p w14:paraId="7D2ABAD9"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9</w:t>
            </w:r>
          </w:p>
          <w:p w14:paraId="6B4F17A2"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544A9085"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&gt;15</w:t>
            </w:r>
          </w:p>
        </w:tc>
        <w:tc>
          <w:tcPr>
            <w:tcW w:w="2110" w:type="dxa"/>
            <w:tcBorders>
              <w:top w:val="single" w:sz="4" w:space="0" w:color="000000"/>
              <w:left w:val="single" w:sz="4" w:space="0" w:color="000000"/>
              <w:bottom w:val="single" w:sz="12" w:space="0" w:color="000000"/>
              <w:right w:val="single" w:sz="12" w:space="0" w:color="000000"/>
            </w:tcBorders>
          </w:tcPr>
          <w:p w14:paraId="4B972318" w14:textId="66E4DC41" w:rsidR="00CD7B36" w:rsidRPr="00EB2E7B" w:rsidRDefault="00447613">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r w:rsidR="00CD7B36" w:rsidRPr="00EB2E7B">
              <w:rPr>
                <w:rFonts w:asciiTheme="minorHAnsi" w:hAnsiTheme="minorHAnsi" w:cstheme="minorHAnsi"/>
                <w:sz w:val="20"/>
                <w:szCs w:val="20"/>
              </w:rPr>
              <w:t>%</w:t>
            </w:r>
          </w:p>
          <w:p w14:paraId="002A3553"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p w14:paraId="6E4C7050"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0,5%</w:t>
            </w:r>
          </w:p>
          <w:p w14:paraId="057DB1FE"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0,5%</w:t>
            </w:r>
          </w:p>
        </w:tc>
        <w:tc>
          <w:tcPr>
            <w:tcW w:w="1018" w:type="dxa"/>
            <w:tcBorders>
              <w:top w:val="single" w:sz="4" w:space="0" w:color="000000"/>
              <w:left w:val="single" w:sz="12" w:space="0" w:color="000000"/>
              <w:bottom w:val="single" w:sz="12" w:space="0" w:color="000000"/>
              <w:right w:val="single" w:sz="4" w:space="0" w:color="000000"/>
            </w:tcBorders>
          </w:tcPr>
          <w:p w14:paraId="4222019D"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p w14:paraId="2DA4C18C"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4</w:t>
            </w:r>
          </w:p>
          <w:p w14:paraId="24A1E5B6"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&gt;4</w:t>
            </w:r>
          </w:p>
        </w:tc>
        <w:tc>
          <w:tcPr>
            <w:tcW w:w="2052" w:type="dxa"/>
            <w:tcBorders>
              <w:top w:val="single" w:sz="4" w:space="0" w:color="000000"/>
              <w:left w:val="single" w:sz="4" w:space="0" w:color="000000"/>
              <w:bottom w:val="single" w:sz="12" w:space="0" w:color="000000"/>
              <w:right w:val="single" w:sz="12" w:space="0" w:color="000000"/>
            </w:tcBorders>
          </w:tcPr>
          <w:p w14:paraId="71F64663"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p w14:paraId="0FF74AEA"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w:t>
            </w:r>
          </w:p>
          <w:p w14:paraId="1D01ABBB"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0,5%</w:t>
            </w:r>
          </w:p>
        </w:tc>
      </w:tr>
    </w:tbl>
    <w:p w14:paraId="62B6C263" w14:textId="77777777" w:rsidR="00417DB1" w:rsidRPr="00EB2E7B" w:rsidRDefault="00417DB1" w:rsidP="00A978E1">
      <w:pPr>
        <w:ind w:left="70" w:firstLine="0"/>
        <w:rPr>
          <w:rFonts w:asciiTheme="minorHAnsi" w:hAnsiTheme="minorHAnsi" w:cstheme="minorHAnsi"/>
          <w:sz w:val="20"/>
          <w:szCs w:val="20"/>
        </w:rPr>
      </w:pPr>
    </w:p>
    <w:p w14:paraId="1DCEC495" w14:textId="2ED5FF7A"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W każdym tygodniu wartość maksymalna ze zbioru 10-minutowych średnich wartości współczynnika odkształcenia wyższymi harmonicznymi napięcia zasilającego (THD), uwzględniającego wyższe harmoniczne do rzędu 50, jest mniejsza lub równa 8%.</w:t>
      </w:r>
    </w:p>
    <w:p w14:paraId="20584A38"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Napięcie znamionowe sieci niskiego napięcia odpowiada wartości 230/400 V.</w:t>
      </w:r>
    </w:p>
    <w:p w14:paraId="762401C2"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ACPRO zapewnia utrzymanie parametrów napięcia zasilającego w granicach określonych powyżej pod warunkiem, że:</w:t>
      </w:r>
    </w:p>
    <w:p w14:paraId="5E647140" w14:textId="77777777" w:rsidR="00CD7B36" w:rsidRPr="00EB2E7B" w:rsidRDefault="00CD7B36" w:rsidP="00417DB1">
      <w:pPr>
        <w:pStyle w:val="1przed"/>
        <w:numPr>
          <w:ilvl w:val="0"/>
          <w:numId w:val="224"/>
        </w:numPr>
        <w:ind w:left="1701" w:hanging="567"/>
        <w:rPr>
          <w:rFonts w:asciiTheme="minorHAnsi" w:hAnsiTheme="minorHAnsi" w:cstheme="minorHAnsi"/>
          <w:sz w:val="20"/>
          <w:szCs w:val="20"/>
        </w:rPr>
      </w:pPr>
      <w:r w:rsidRPr="00EB2E7B">
        <w:rPr>
          <w:rFonts w:asciiTheme="minorHAnsi" w:hAnsiTheme="minorHAnsi" w:cstheme="minorHAnsi"/>
          <w:sz w:val="20"/>
          <w:szCs w:val="20"/>
        </w:rPr>
        <w:t>użytkownik systemu pobiera z sieci lub wprowadza do sieci moc czynną równą mocy umownej lub mniejszą,</w:t>
      </w:r>
    </w:p>
    <w:p w14:paraId="4E59952B" w14:textId="77777777" w:rsidR="00CD7B36" w:rsidRPr="00EB2E7B" w:rsidRDefault="00CD7B36" w:rsidP="00417DB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moc bierna pobierana z sieci lub wprowadzana do sieci przez użytkownika systemu nie przekracza granicznych wartości określonych w umowie dystrybucji albo w umowie kompleksowej,</w:t>
      </w:r>
    </w:p>
    <w:p w14:paraId="5DBC6232" w14:textId="77777777" w:rsidR="00CD7B36" w:rsidRPr="00EB2E7B" w:rsidRDefault="00CD7B36" w:rsidP="00417DB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użytkownik systemu wypełnia zobowiązania dotyczące regulacji mocy biernej i napięcia określone w umowie dystrybucji albo w umowie kompleksowej.</w:t>
      </w:r>
    </w:p>
    <w:p w14:paraId="1F0FEE42" w14:textId="77777777" w:rsidR="00CD7B36" w:rsidRPr="00EB2E7B" w:rsidRDefault="00CD7B36" w:rsidP="00417DB1">
      <w:pPr>
        <w:pStyle w:val="Nagwek3gruby"/>
        <w:ind w:left="1134" w:hanging="1134"/>
        <w:rPr>
          <w:rFonts w:asciiTheme="minorHAnsi" w:hAnsiTheme="minorHAnsi" w:cstheme="minorHAnsi"/>
          <w:bCs/>
          <w:sz w:val="20"/>
          <w:szCs w:val="20"/>
        </w:rPr>
      </w:pPr>
      <w:r w:rsidRPr="00EB2E7B">
        <w:rPr>
          <w:rFonts w:asciiTheme="minorHAnsi" w:hAnsiTheme="minorHAnsi" w:cstheme="minorHAnsi"/>
          <w:bCs/>
          <w:sz w:val="20"/>
          <w:szCs w:val="20"/>
        </w:rPr>
        <w:t>Parametry jakościowe energii elektrycznej, w przypadku sieci funkcjonującej bez zakłóceń, dla podmiotów zaliczanych do grupy przyłączeniowej VI</w:t>
      </w:r>
    </w:p>
    <w:p w14:paraId="41342880"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Parametry jakościowe energii elektrycznej dostarczanej z sieci określa umowa dystrybucji albo umowa kompleksowa.</w:t>
      </w:r>
    </w:p>
    <w:p w14:paraId="09029E21" w14:textId="77777777" w:rsidR="00CD7B36" w:rsidRPr="00EB2E7B" w:rsidRDefault="00CD7B36">
      <w:pPr>
        <w:pStyle w:val="Nagwek2"/>
        <w:rPr>
          <w:rFonts w:asciiTheme="minorHAnsi" w:hAnsiTheme="minorHAnsi" w:cstheme="minorHAnsi"/>
          <w:bCs/>
          <w:sz w:val="20"/>
          <w:szCs w:val="20"/>
        </w:rPr>
      </w:pPr>
      <w:bookmarkStart w:id="396" w:name="_Ref75433145"/>
      <w:bookmarkStart w:id="397" w:name="_Toc173236758"/>
      <w:bookmarkStart w:id="398" w:name="_Toc174311952"/>
      <w:bookmarkStart w:id="399" w:name="_Toc180153755"/>
      <w:bookmarkStart w:id="400" w:name="_Toc239333362"/>
      <w:r w:rsidRPr="00EB2E7B">
        <w:rPr>
          <w:rFonts w:asciiTheme="minorHAnsi" w:hAnsiTheme="minorHAnsi" w:cstheme="minorHAnsi"/>
          <w:sz w:val="20"/>
          <w:szCs w:val="20"/>
        </w:rPr>
        <w:t xml:space="preserve">WSKAŹNIKI </w:t>
      </w:r>
      <w:bookmarkEnd w:id="396"/>
      <w:r w:rsidRPr="00EB2E7B">
        <w:rPr>
          <w:rFonts w:asciiTheme="minorHAnsi" w:hAnsiTheme="minorHAnsi" w:cstheme="minorHAnsi"/>
          <w:sz w:val="20"/>
          <w:szCs w:val="20"/>
        </w:rPr>
        <w:t>JAKOŚCI I NIEZAWODNOŚCI DOSTAW ENERGII ELEKTRYCZNEJ</w:t>
      </w:r>
      <w:bookmarkEnd w:id="397"/>
      <w:bookmarkEnd w:id="398"/>
      <w:bookmarkEnd w:id="399"/>
      <w:bookmarkEnd w:id="400"/>
    </w:p>
    <w:p w14:paraId="4479137B" w14:textId="77777777" w:rsidR="00CD7B36" w:rsidRPr="00EB2E7B" w:rsidRDefault="00CD7B36" w:rsidP="00417DB1">
      <w:pPr>
        <w:pStyle w:val="Nagwek3"/>
        <w:ind w:left="1134" w:hanging="1134"/>
        <w:rPr>
          <w:rFonts w:asciiTheme="minorHAnsi" w:hAnsiTheme="minorHAnsi" w:cstheme="minorHAnsi"/>
          <w:sz w:val="20"/>
          <w:szCs w:val="20"/>
        </w:rPr>
      </w:pPr>
      <w:bookmarkStart w:id="401" w:name="_Ref174311565"/>
      <w:r w:rsidRPr="00EB2E7B">
        <w:rPr>
          <w:rFonts w:asciiTheme="minorHAnsi" w:hAnsiTheme="minorHAnsi" w:cstheme="minorHAnsi"/>
          <w:sz w:val="20"/>
          <w:szCs w:val="20"/>
        </w:rPr>
        <w:t>Ustala się następujące rodzaje przerw w dostarczaniu energii elektrycznej:</w:t>
      </w:r>
      <w:bookmarkEnd w:id="401"/>
    </w:p>
    <w:p w14:paraId="73ED3810" w14:textId="77777777" w:rsidR="00CD7B36" w:rsidRPr="00EB2E7B" w:rsidRDefault="00CD7B36" w:rsidP="00417DB1">
      <w:pPr>
        <w:pStyle w:val="1przed"/>
        <w:numPr>
          <w:ilvl w:val="0"/>
          <w:numId w:val="225"/>
        </w:numPr>
        <w:ind w:left="1701" w:hanging="567"/>
        <w:rPr>
          <w:rFonts w:asciiTheme="minorHAnsi" w:hAnsiTheme="minorHAnsi" w:cstheme="minorHAnsi"/>
          <w:sz w:val="20"/>
          <w:szCs w:val="20"/>
        </w:rPr>
      </w:pPr>
      <w:r w:rsidRPr="00EB2E7B">
        <w:rPr>
          <w:rFonts w:asciiTheme="minorHAnsi" w:hAnsiTheme="minorHAnsi" w:cstheme="minorHAnsi"/>
          <w:sz w:val="20"/>
          <w:szCs w:val="20"/>
        </w:rPr>
        <w:t>planowane,</w:t>
      </w:r>
    </w:p>
    <w:p w14:paraId="6E8CAA9B" w14:textId="77777777" w:rsidR="00CD7B36" w:rsidRPr="00EB2E7B" w:rsidRDefault="00CD7B36" w:rsidP="00417DB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nieplanowane.</w:t>
      </w:r>
    </w:p>
    <w:p w14:paraId="2579F29F" w14:textId="77777777" w:rsidR="00CD7B36" w:rsidRPr="00EB2E7B" w:rsidRDefault="00CD7B36" w:rsidP="00417DB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Przerwy w dostarczaniu energii elektrycznej, w zależności od czasu ich trwania, dzieli się na przerwy:</w:t>
      </w:r>
    </w:p>
    <w:p w14:paraId="525D9068" w14:textId="77777777" w:rsidR="00CD7B36" w:rsidRPr="00EB2E7B" w:rsidRDefault="00CD7B36" w:rsidP="00417DB1">
      <w:pPr>
        <w:pStyle w:val="1przed"/>
        <w:numPr>
          <w:ilvl w:val="0"/>
          <w:numId w:val="226"/>
        </w:numPr>
        <w:ind w:left="1701" w:hanging="567"/>
        <w:rPr>
          <w:rFonts w:asciiTheme="minorHAnsi" w:hAnsiTheme="minorHAnsi" w:cstheme="minorHAnsi"/>
          <w:sz w:val="20"/>
          <w:szCs w:val="20"/>
        </w:rPr>
      </w:pPr>
      <w:r w:rsidRPr="00EB2E7B">
        <w:rPr>
          <w:rFonts w:asciiTheme="minorHAnsi" w:hAnsiTheme="minorHAnsi" w:cstheme="minorHAnsi"/>
          <w:sz w:val="20"/>
          <w:szCs w:val="20"/>
        </w:rPr>
        <w:t>przemijające (</w:t>
      </w:r>
      <w:proofErr w:type="spellStart"/>
      <w:r w:rsidRPr="00EB2E7B">
        <w:rPr>
          <w:rFonts w:asciiTheme="minorHAnsi" w:hAnsiTheme="minorHAnsi" w:cstheme="minorHAnsi"/>
          <w:sz w:val="20"/>
          <w:szCs w:val="20"/>
        </w:rPr>
        <w:t>mikroprzerwy</w:t>
      </w:r>
      <w:proofErr w:type="spellEnd"/>
      <w:r w:rsidRPr="00EB2E7B">
        <w:rPr>
          <w:rFonts w:asciiTheme="minorHAnsi" w:hAnsiTheme="minorHAnsi" w:cstheme="minorHAnsi"/>
          <w:sz w:val="20"/>
          <w:szCs w:val="20"/>
        </w:rPr>
        <w:t>) – trwające nie dłużej niż 1 s,</w:t>
      </w:r>
    </w:p>
    <w:p w14:paraId="6A79CD08" w14:textId="77777777" w:rsidR="00CD7B36" w:rsidRPr="00EB2E7B" w:rsidRDefault="00CD7B36" w:rsidP="00417DB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krótkie – trwające dłużej niż 1 s i nie dłużej niż 3 min,</w:t>
      </w:r>
    </w:p>
    <w:p w14:paraId="5DBB9148" w14:textId="77777777" w:rsidR="00CD7B36" w:rsidRPr="00EB2E7B" w:rsidRDefault="00CD7B36" w:rsidP="00417DB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długie – trwające dłużej niż 3 min i nie dłużej niż 12 godz.,</w:t>
      </w:r>
    </w:p>
    <w:p w14:paraId="7FC16E24" w14:textId="77777777" w:rsidR="00CD7B36" w:rsidRPr="00EB2E7B" w:rsidRDefault="00CD7B36" w:rsidP="00417DB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bardzo długie – trwające dłużej niż 12 godz. i nie dłużej niż 24 godz.,</w:t>
      </w:r>
    </w:p>
    <w:p w14:paraId="3AAB4600" w14:textId="77777777" w:rsidR="00CD7B36" w:rsidRPr="00EB2E7B" w:rsidRDefault="00CD7B36" w:rsidP="00417DB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katastrofalne – trwające dłużej niż 24 godz.</w:t>
      </w:r>
    </w:p>
    <w:p w14:paraId="57A94FA1" w14:textId="3D27AD81" w:rsidR="00CD7B36" w:rsidRPr="00EB2E7B" w:rsidRDefault="00CD7B36" w:rsidP="00417DB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Przerwa planowana, o której odbiorca nie został powiadomiony w formie, o której mowa w pkt </w:t>
      </w:r>
      <w:r w:rsidR="00F83847" w:rsidRPr="00EB2E7B">
        <w:rPr>
          <w:rFonts w:asciiTheme="minorHAnsi" w:hAnsiTheme="minorHAnsi" w:cstheme="minorHAnsi"/>
          <w:sz w:val="20"/>
          <w:szCs w:val="20"/>
        </w:rPr>
        <w:fldChar w:fldCharType="begin"/>
      </w:r>
      <w:r w:rsidR="00F83847" w:rsidRPr="00EB2E7B">
        <w:rPr>
          <w:rFonts w:asciiTheme="minorHAnsi" w:hAnsiTheme="minorHAnsi" w:cstheme="minorHAnsi"/>
          <w:sz w:val="20"/>
          <w:szCs w:val="20"/>
        </w:rPr>
        <w:instrText xml:space="preserve"> REF _Ref173226445 \r \h  \* MERGEFORMAT </w:instrText>
      </w:r>
      <w:r w:rsidR="00F83847" w:rsidRPr="00EB2E7B">
        <w:rPr>
          <w:rFonts w:asciiTheme="minorHAnsi" w:hAnsiTheme="minorHAnsi" w:cstheme="minorHAnsi"/>
          <w:sz w:val="20"/>
          <w:szCs w:val="20"/>
        </w:rPr>
      </w:r>
      <w:r w:rsidR="00F8384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VIII.4.1</w:t>
      </w:r>
      <w:r w:rsidR="00F8384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546FD8" w:rsidRPr="00EB2E7B">
        <w:rPr>
          <w:rFonts w:asciiTheme="minorHAnsi" w:hAnsiTheme="minorHAnsi" w:cstheme="minorHAnsi"/>
          <w:sz w:val="20"/>
          <w:szCs w:val="20"/>
        </w:rPr>
        <w:fldChar w:fldCharType="begin"/>
      </w:r>
      <w:r w:rsidR="00546FD8" w:rsidRPr="00EB2E7B">
        <w:rPr>
          <w:rFonts w:asciiTheme="minorHAnsi" w:hAnsiTheme="minorHAnsi" w:cstheme="minorHAnsi"/>
          <w:sz w:val="20"/>
          <w:szCs w:val="20"/>
        </w:rPr>
        <w:instrText xml:space="preserve"> REF _Ref190093417 \w \h </w:instrText>
      </w:r>
      <w:r w:rsidR="000C0A0A" w:rsidRPr="00EB2E7B">
        <w:rPr>
          <w:rFonts w:asciiTheme="minorHAnsi" w:hAnsiTheme="minorHAnsi" w:cstheme="minorHAnsi"/>
          <w:sz w:val="20"/>
          <w:szCs w:val="20"/>
        </w:rPr>
        <w:instrText xml:space="preserve"> \* MERGEFORMAT </w:instrText>
      </w:r>
      <w:r w:rsidR="00546FD8" w:rsidRPr="00EB2E7B">
        <w:rPr>
          <w:rFonts w:asciiTheme="minorHAnsi" w:hAnsiTheme="minorHAnsi" w:cstheme="minorHAnsi"/>
          <w:sz w:val="20"/>
          <w:szCs w:val="20"/>
        </w:rPr>
      </w:r>
      <w:r w:rsidR="00546FD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4)</w:t>
      </w:r>
      <w:r w:rsidR="00546FD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jest traktowana jako przerwa nieplanowana.</w:t>
      </w:r>
    </w:p>
    <w:p w14:paraId="1560C755" w14:textId="0BC4631A" w:rsidR="00CD7B36" w:rsidRPr="00EB2E7B" w:rsidRDefault="00CD7B36" w:rsidP="00417DB1">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Dla podmiotów zaliczanych do grup przyłączeniowych I–III i VI:</w:t>
      </w:r>
    </w:p>
    <w:p w14:paraId="3CCBB450" w14:textId="77777777" w:rsidR="00CD7B36" w:rsidRPr="00EB2E7B" w:rsidRDefault="00CD7B36" w:rsidP="00417DB1">
      <w:pPr>
        <w:pStyle w:val="1przed"/>
        <w:numPr>
          <w:ilvl w:val="0"/>
          <w:numId w:val="22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dopuszczalny czas trwania jednorazowej przerwy planowanej i nieplanowanej w dostarczaniu energii elektrycznej oraz dopuszczalny łączny czas trwania w roku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planowanych i nieplanowanych określa umowa dystrybucji albo umowa kompleksowa,</w:t>
      </w:r>
    </w:p>
    <w:p w14:paraId="6DD12FE2" w14:textId="2B4BAD16" w:rsidR="00CD7B36" w:rsidRPr="00EB2E7B" w:rsidRDefault="00CD7B36" w:rsidP="00417DB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przypadku gdy odbiorcą jest OSP w zakresie potrzeb własnych stacji elektroenergetycznej najwyższych napięć, dopuszczalne czasy trwania przerw,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_Ref174311565 \r \h </w:instrText>
      </w:r>
      <w:r w:rsidR="00DC1A1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VIII.2.1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są co najmniej o połowę krótsze od czasów określonych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_Ref174311571 \r \h </w:instrText>
      </w:r>
      <w:r w:rsidR="00DC1A1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VIII.2.5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0D26F49B" w14:textId="77777777" w:rsidR="00CD7B36" w:rsidRPr="00EB2E7B" w:rsidRDefault="00CD7B36" w:rsidP="00417DB1">
      <w:pPr>
        <w:pStyle w:val="Nagwek3"/>
        <w:ind w:left="1134" w:hanging="1134"/>
        <w:rPr>
          <w:rFonts w:asciiTheme="minorHAnsi" w:hAnsiTheme="minorHAnsi" w:cstheme="minorHAnsi"/>
          <w:sz w:val="20"/>
          <w:szCs w:val="20"/>
        </w:rPr>
      </w:pPr>
      <w:bookmarkStart w:id="402" w:name="_Ref174311571"/>
      <w:r w:rsidRPr="00EB2E7B">
        <w:rPr>
          <w:rFonts w:asciiTheme="minorHAnsi" w:hAnsiTheme="minorHAnsi" w:cstheme="minorHAnsi"/>
          <w:sz w:val="20"/>
          <w:szCs w:val="20"/>
        </w:rPr>
        <w:t>Dla podmiotów zaliczanych do grup przyłączeniowych IV i V dopuszczalny czas trwania:</w:t>
      </w:r>
      <w:bookmarkEnd w:id="402"/>
    </w:p>
    <w:p w14:paraId="2A828965" w14:textId="77777777" w:rsidR="00CD7B36" w:rsidRPr="00EB2E7B" w:rsidRDefault="00CD7B36" w:rsidP="00FC553A">
      <w:pPr>
        <w:pStyle w:val="1przed"/>
        <w:numPr>
          <w:ilvl w:val="0"/>
          <w:numId w:val="228"/>
        </w:numPr>
        <w:ind w:left="1701" w:hanging="567"/>
        <w:rPr>
          <w:rFonts w:asciiTheme="minorHAnsi" w:hAnsiTheme="minorHAnsi" w:cstheme="minorHAnsi"/>
          <w:sz w:val="20"/>
          <w:szCs w:val="20"/>
        </w:rPr>
      </w:pPr>
      <w:r w:rsidRPr="00EB2E7B">
        <w:rPr>
          <w:rFonts w:asciiTheme="minorHAnsi" w:hAnsiTheme="minorHAnsi" w:cstheme="minorHAnsi"/>
          <w:sz w:val="20"/>
          <w:szCs w:val="20"/>
        </w:rPr>
        <w:t>jednorazowej przerwy w dostarczaniu energii elektrycznej nie może przekroczyć w przypadku:</w:t>
      </w:r>
    </w:p>
    <w:p w14:paraId="6CDDAC2C" w14:textId="77777777" w:rsidR="00CD7B36" w:rsidRPr="00EB2E7B" w:rsidRDefault="00CD7B36" w:rsidP="00FC553A">
      <w:pPr>
        <w:pStyle w:val="apo"/>
        <w:numPr>
          <w:ilvl w:val="0"/>
          <w:numId w:val="229"/>
        </w:numPr>
        <w:ind w:left="2268" w:hanging="567"/>
        <w:rPr>
          <w:rFonts w:asciiTheme="minorHAnsi" w:hAnsiTheme="minorHAnsi" w:cstheme="minorHAnsi"/>
          <w:sz w:val="20"/>
          <w:szCs w:val="20"/>
        </w:rPr>
      </w:pPr>
      <w:r w:rsidRPr="00EB2E7B">
        <w:rPr>
          <w:rFonts w:asciiTheme="minorHAnsi" w:hAnsiTheme="minorHAnsi" w:cstheme="minorHAnsi"/>
          <w:sz w:val="20"/>
          <w:szCs w:val="20"/>
        </w:rPr>
        <w:t>przerwy planowanej – 16 godz.,</w:t>
      </w:r>
    </w:p>
    <w:p w14:paraId="0F2314F0" w14:textId="2D9C0533" w:rsidR="00CD7B36" w:rsidRPr="00EB2E7B" w:rsidRDefault="00CD7B36" w:rsidP="00FC553A">
      <w:pPr>
        <w:pStyle w:val="apo"/>
        <w:numPr>
          <w:ilvl w:val="0"/>
          <w:numId w:val="229"/>
        </w:numPr>
        <w:ind w:left="2268" w:hanging="567"/>
        <w:rPr>
          <w:rFonts w:asciiTheme="minorHAnsi" w:hAnsiTheme="minorHAnsi" w:cstheme="minorHAnsi"/>
          <w:sz w:val="20"/>
          <w:szCs w:val="20"/>
        </w:rPr>
      </w:pPr>
      <w:r w:rsidRPr="00EB2E7B">
        <w:rPr>
          <w:rFonts w:asciiTheme="minorHAnsi" w:hAnsiTheme="minorHAnsi" w:cstheme="minorHAnsi"/>
          <w:sz w:val="20"/>
          <w:szCs w:val="20"/>
        </w:rPr>
        <w:t>przerwy nieplanowanej – 24 godz.,</w:t>
      </w:r>
    </w:p>
    <w:p w14:paraId="4FE705E4" w14:textId="77777777" w:rsidR="00CD7B36" w:rsidRPr="00EB2E7B" w:rsidRDefault="00CD7B36" w:rsidP="00F570D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przerw w roku stanowiący sumę czasów trwania przerw jednorazowych długich i bardzo długich nie może przekroczyć w przypadku:</w:t>
      </w:r>
    </w:p>
    <w:p w14:paraId="6CD9D956" w14:textId="77777777" w:rsidR="00CD7B36" w:rsidRPr="00EB2E7B" w:rsidRDefault="00CD7B36" w:rsidP="00F570D8">
      <w:pPr>
        <w:pStyle w:val="apo"/>
        <w:numPr>
          <w:ilvl w:val="0"/>
          <w:numId w:val="230"/>
        </w:numPr>
        <w:ind w:left="2268" w:hanging="567"/>
        <w:rPr>
          <w:rFonts w:asciiTheme="minorHAnsi" w:hAnsiTheme="minorHAnsi" w:cstheme="minorHAnsi"/>
          <w:sz w:val="20"/>
          <w:szCs w:val="20"/>
        </w:rPr>
      </w:pPr>
      <w:r w:rsidRPr="00EB2E7B">
        <w:rPr>
          <w:rFonts w:asciiTheme="minorHAnsi" w:hAnsiTheme="minorHAnsi" w:cstheme="minorHAnsi"/>
          <w:sz w:val="20"/>
          <w:szCs w:val="20"/>
        </w:rPr>
        <w:t>przerw planowanych – 35 godz.,</w:t>
      </w:r>
    </w:p>
    <w:p w14:paraId="7C73AC74" w14:textId="1C1BA0C5" w:rsidR="00CD7B36" w:rsidRPr="00EB2E7B" w:rsidRDefault="00CD7B36" w:rsidP="00F570D8">
      <w:pPr>
        <w:pStyle w:val="apo"/>
        <w:numPr>
          <w:ilvl w:val="0"/>
          <w:numId w:val="230"/>
        </w:numPr>
        <w:ind w:left="2268" w:hanging="567"/>
        <w:rPr>
          <w:rFonts w:asciiTheme="minorHAnsi" w:hAnsiTheme="minorHAnsi" w:cstheme="minorHAnsi"/>
          <w:sz w:val="20"/>
          <w:szCs w:val="20"/>
        </w:rPr>
      </w:pPr>
      <w:r w:rsidRPr="00EB2E7B">
        <w:rPr>
          <w:rFonts w:asciiTheme="minorHAnsi" w:hAnsiTheme="minorHAnsi" w:cstheme="minorHAnsi"/>
          <w:sz w:val="20"/>
          <w:szCs w:val="20"/>
        </w:rPr>
        <w:t>przerw nieplanowanych – 48 godz.</w:t>
      </w:r>
    </w:p>
    <w:p w14:paraId="7CABD3D9" w14:textId="77777777" w:rsidR="00CD7B36" w:rsidRPr="00EB2E7B" w:rsidRDefault="00CD7B36" w:rsidP="00F570D8">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ACPRO, w terminie do dnia 31 marca każdego roku, publikuje na swojej stronie internetowej wartości wskaźników dotyczących czasu trwania przerw w dostarczaniu energii elektrycznej wyznaczone dla poprzedniego roku:</w:t>
      </w:r>
    </w:p>
    <w:p w14:paraId="66EB39D2" w14:textId="77777777" w:rsidR="00CD7B36" w:rsidRPr="00EB2E7B" w:rsidRDefault="00CD7B36" w:rsidP="00F570D8">
      <w:pPr>
        <w:pStyle w:val="1przed"/>
        <w:numPr>
          <w:ilvl w:val="0"/>
          <w:numId w:val="231"/>
        </w:numPr>
        <w:ind w:left="1701" w:hanging="567"/>
        <w:rPr>
          <w:rFonts w:asciiTheme="minorHAnsi" w:hAnsiTheme="minorHAnsi" w:cstheme="minorHAnsi"/>
          <w:sz w:val="20"/>
          <w:szCs w:val="20"/>
        </w:rPr>
      </w:pPr>
      <w:r w:rsidRPr="00EB2E7B">
        <w:rPr>
          <w:rFonts w:asciiTheme="minorHAnsi" w:hAnsiTheme="minorHAnsi" w:cstheme="minorHAnsi"/>
          <w:sz w:val="20"/>
          <w:szCs w:val="20"/>
        </w:rPr>
        <w:t>wskaźnik:</w:t>
      </w:r>
    </w:p>
    <w:p w14:paraId="69160F38" w14:textId="77777777" w:rsidR="00CD7B36" w:rsidRPr="00EB2E7B" w:rsidRDefault="00CD7B36" w:rsidP="00F570D8">
      <w:pPr>
        <w:pStyle w:val="apo"/>
        <w:numPr>
          <w:ilvl w:val="0"/>
          <w:numId w:val="232"/>
        </w:numPr>
        <w:ind w:left="2268" w:hanging="567"/>
        <w:rPr>
          <w:rFonts w:asciiTheme="minorHAnsi" w:hAnsiTheme="minorHAnsi" w:cstheme="minorHAnsi"/>
          <w:sz w:val="20"/>
          <w:szCs w:val="20"/>
        </w:rPr>
      </w:pPr>
      <w:r w:rsidRPr="00EB2E7B">
        <w:rPr>
          <w:rFonts w:asciiTheme="minorHAnsi" w:hAnsiTheme="minorHAnsi" w:cstheme="minorHAnsi"/>
          <w:sz w:val="20"/>
          <w:szCs w:val="20"/>
        </w:rPr>
        <w:t>przeciętnego systemowego czasu trwania przerwy długiej i bardzo długiej (SAIDI), wyrażony w minutach na odbiorcę na rok, stanowiący sumę iloczynów czasu jej trwania i liczby odbiorców narażonych na skutki tej przerwy w danym roku podzieloną przez łączną liczbę obsługiwanych odbiorców,</w:t>
      </w:r>
    </w:p>
    <w:p w14:paraId="0E52C0B2" w14:textId="77777777" w:rsidR="00CD7B36" w:rsidRPr="00EB2E7B" w:rsidRDefault="00CD7B36" w:rsidP="00F570D8">
      <w:pPr>
        <w:pStyle w:val="apo"/>
        <w:numPr>
          <w:ilvl w:val="0"/>
          <w:numId w:val="232"/>
        </w:numPr>
        <w:ind w:left="2268" w:hanging="567"/>
        <w:rPr>
          <w:rFonts w:asciiTheme="minorHAnsi" w:hAnsiTheme="minorHAnsi" w:cstheme="minorHAnsi"/>
          <w:sz w:val="20"/>
          <w:szCs w:val="20"/>
        </w:rPr>
      </w:pPr>
      <w:r w:rsidRPr="00EB2E7B">
        <w:rPr>
          <w:rFonts w:asciiTheme="minorHAnsi" w:hAnsiTheme="minorHAnsi" w:cstheme="minorHAnsi"/>
          <w:sz w:val="20"/>
          <w:szCs w:val="20"/>
        </w:rPr>
        <w:t>przeciętnej systemowej częstości przerw długich i bardzo długich (SAIFI), stanowiący iloraz liczby odbiorców narażonych na skutki wszystkich przerw tego rodzaju w danym roku i łącznej liczby obsługiwanych odbiorców – wyznaczone oddzielnie dla przerw planowanych i nieplanowanych, z uwzględnieniem przerw katastrofalnych oraz bez uwzględnienia tych przerw,</w:t>
      </w:r>
    </w:p>
    <w:p w14:paraId="17B72EFA" w14:textId="77777777" w:rsidR="00CD7B36" w:rsidRPr="00EB2E7B" w:rsidRDefault="00CD7B36" w:rsidP="00D37FD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wskaźnik przeciętnej częstości przerw krótkich (MAIFI), stanowiący iloraz liczby odbiorców narażonych na skutki wszystkich przerw krótkich w danym roku i łącznej liczby obsługiwanych odbiorców.</w:t>
      </w:r>
    </w:p>
    <w:p w14:paraId="6991FD24" w14:textId="77777777" w:rsidR="00CD7B36" w:rsidRPr="00EB2E7B" w:rsidRDefault="00CD7B36" w:rsidP="00FE170D">
      <w:pPr>
        <w:ind w:left="1134" w:firstLine="0"/>
        <w:rPr>
          <w:rFonts w:asciiTheme="minorHAnsi" w:hAnsiTheme="minorHAnsi" w:cstheme="minorHAnsi"/>
          <w:sz w:val="20"/>
          <w:szCs w:val="20"/>
        </w:rPr>
      </w:pPr>
      <w:r w:rsidRPr="00EB2E7B">
        <w:rPr>
          <w:rFonts w:asciiTheme="minorHAnsi" w:hAnsiTheme="minorHAnsi" w:cstheme="minorHAnsi"/>
          <w:sz w:val="20"/>
          <w:szCs w:val="20"/>
        </w:rPr>
        <w:t>Dla każdego z wskaźników, o których mowa powyżej, podaje się liczbę obsługiwanych odbiorców przyjętą do jego wyznaczenia.</w:t>
      </w:r>
    </w:p>
    <w:p w14:paraId="188F0474" w14:textId="52974DE5" w:rsidR="00CD7B36" w:rsidRPr="00EB2E7B" w:rsidRDefault="00CD7B36" w:rsidP="00FE170D">
      <w:pPr>
        <w:ind w:left="70" w:firstLine="0"/>
        <w:rPr>
          <w:rFonts w:asciiTheme="minorHAnsi" w:hAnsiTheme="minorHAnsi" w:cstheme="minorHAnsi"/>
          <w:sz w:val="20"/>
          <w:szCs w:val="20"/>
        </w:rPr>
      </w:pPr>
    </w:p>
    <w:p w14:paraId="41AA9B26" w14:textId="77777777" w:rsidR="00CD7B36" w:rsidRPr="00EB2E7B" w:rsidRDefault="00CD7B36">
      <w:pPr>
        <w:pStyle w:val="Nagwek2"/>
        <w:rPr>
          <w:rFonts w:asciiTheme="minorHAnsi" w:hAnsiTheme="minorHAnsi" w:cstheme="minorHAnsi"/>
          <w:bCs/>
          <w:sz w:val="20"/>
          <w:szCs w:val="20"/>
        </w:rPr>
      </w:pPr>
      <w:bookmarkStart w:id="403" w:name="_Toc173236759"/>
      <w:bookmarkStart w:id="404" w:name="_Toc174311953"/>
      <w:bookmarkStart w:id="405" w:name="_Toc180153756"/>
      <w:bookmarkStart w:id="406" w:name="_Ref183617371"/>
      <w:bookmarkStart w:id="407" w:name="_Toc239333363"/>
      <w:r w:rsidRPr="00EB2E7B">
        <w:rPr>
          <w:rFonts w:asciiTheme="minorHAnsi" w:hAnsiTheme="minorHAnsi" w:cstheme="minorHAnsi"/>
          <w:sz w:val="20"/>
          <w:szCs w:val="20"/>
        </w:rPr>
        <w:t>DOPUSZCZALNE POZIOMY ZABURZEŃ PARAMETRÓW JAKOŚCIOWYCH ENERGII ELEKTRYCZNEJ</w:t>
      </w:r>
      <w:bookmarkEnd w:id="403"/>
      <w:bookmarkEnd w:id="404"/>
      <w:bookmarkEnd w:id="405"/>
      <w:bookmarkEnd w:id="406"/>
      <w:bookmarkEnd w:id="407"/>
    </w:p>
    <w:p w14:paraId="5B930A58" w14:textId="4AE8AABE" w:rsidR="00CD7B36" w:rsidRPr="00EB2E7B" w:rsidRDefault="003620DB" w:rsidP="00E5312A">
      <w:pPr>
        <w:pStyle w:val="Nagwek3gruby"/>
        <w:ind w:left="1134" w:hanging="1134"/>
        <w:rPr>
          <w:rFonts w:asciiTheme="minorHAnsi" w:hAnsiTheme="minorHAnsi" w:cstheme="minorHAnsi"/>
          <w:sz w:val="20"/>
          <w:szCs w:val="20"/>
        </w:rPr>
      </w:pPr>
      <w:r w:rsidRPr="00EB2E7B">
        <w:rPr>
          <w:rFonts w:asciiTheme="minorHAnsi" w:hAnsiTheme="minorHAnsi" w:cstheme="minorHAnsi"/>
          <w:b w:val="0"/>
          <w:bCs/>
          <w:sz w:val="20"/>
          <w:szCs w:val="20"/>
        </w:rPr>
        <w:lastRenderedPageBreak/>
        <w:t xml:space="preserve">Ustala się poniższe dopuszczalne poziomy zaburzeń parametrów jakościowych energii elektrycznej </w:t>
      </w:r>
      <w:r w:rsidR="00E5312A" w:rsidRPr="00EB2E7B">
        <w:rPr>
          <w:rFonts w:asciiTheme="minorHAnsi" w:hAnsiTheme="minorHAnsi" w:cstheme="minorHAnsi"/>
          <w:b w:val="0"/>
          <w:bCs/>
          <w:sz w:val="20"/>
          <w:szCs w:val="20"/>
        </w:rPr>
        <w:t>w</w:t>
      </w:r>
      <w:r w:rsidR="00CD7B36" w:rsidRPr="00EB2E7B">
        <w:rPr>
          <w:rFonts w:asciiTheme="minorHAnsi" w:hAnsiTheme="minorHAnsi" w:cstheme="minorHAnsi"/>
          <w:b w:val="0"/>
          <w:bCs/>
          <w:sz w:val="20"/>
          <w:szCs w:val="20"/>
        </w:rPr>
        <w:t>prowadzanych przez odbiorniki w sieciach niskich napięć</w:t>
      </w:r>
      <w:r w:rsidR="008E581B" w:rsidRPr="00EB2E7B">
        <w:rPr>
          <w:rFonts w:asciiTheme="minorHAnsi" w:hAnsiTheme="minorHAnsi" w:cstheme="minorHAnsi"/>
          <w:b w:val="0"/>
          <w:bCs/>
          <w:sz w:val="20"/>
          <w:szCs w:val="20"/>
        </w:rPr>
        <w:t>.</w:t>
      </w:r>
    </w:p>
    <w:p w14:paraId="3300AB22"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Dopuszczalne poziomy wahań napięcia i migotania światła</w:t>
      </w:r>
    </w:p>
    <w:p w14:paraId="3BB21709" w14:textId="77777777" w:rsidR="00CD7B36" w:rsidRPr="00EB2E7B" w:rsidRDefault="00CD7B36" w:rsidP="00FE170D">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odbiorników o fazowym prądzie znamionowym ≤75A, wprowadza się następujące maksymalnie dopuszczalne poziomy: </w:t>
      </w:r>
    </w:p>
    <w:p w14:paraId="3A2A8C63" w14:textId="77777777" w:rsidR="00CD7B36" w:rsidRPr="00EB2E7B" w:rsidRDefault="00CD7B36" w:rsidP="00B33679">
      <w:pPr>
        <w:pStyle w:val="aprzed"/>
        <w:numPr>
          <w:ilvl w:val="0"/>
          <w:numId w:val="23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wartość Pst nie powinna być większa niż 1, </w:t>
      </w:r>
    </w:p>
    <w:p w14:paraId="0D587CD2" w14:textId="77777777" w:rsidR="00CD7B36" w:rsidRPr="00EB2E7B" w:rsidRDefault="00CD7B36" w:rsidP="00B3367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wartość </w:t>
      </w:r>
      <w:proofErr w:type="spellStart"/>
      <w:r w:rsidRPr="00EB2E7B">
        <w:rPr>
          <w:rFonts w:asciiTheme="minorHAnsi" w:hAnsiTheme="minorHAnsi" w:cstheme="minorHAnsi"/>
          <w:sz w:val="20"/>
          <w:szCs w:val="20"/>
        </w:rPr>
        <w:t>Plt</w:t>
      </w:r>
      <w:proofErr w:type="spellEnd"/>
      <w:r w:rsidRPr="00EB2E7B">
        <w:rPr>
          <w:rFonts w:asciiTheme="minorHAnsi" w:hAnsiTheme="minorHAnsi" w:cstheme="minorHAnsi"/>
          <w:sz w:val="20"/>
          <w:szCs w:val="20"/>
        </w:rPr>
        <w:t xml:space="preserve"> nie powinna być większa niż 0,65, </w:t>
      </w:r>
    </w:p>
    <w:p w14:paraId="16B94960" w14:textId="0F3136B6" w:rsidR="00CD7B36" w:rsidRPr="00EB2E7B" w:rsidRDefault="00CD7B36" w:rsidP="00B3367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wartość</w:t>
      </w:r>
      <m:oMath>
        <m:r>
          <w:rPr>
            <w:rFonts w:ascii="Cambria Math" w:hAnsi="Cambria Math" w:cstheme="minorHAnsi"/>
            <w:sz w:val="20"/>
            <w:szCs w:val="20"/>
          </w:rPr>
          <m:t xml:space="preserve">  d</m:t>
        </m:r>
        <m:d>
          <m:dPr>
            <m:ctrlPr>
              <w:rPr>
                <w:rFonts w:ascii="Cambria Math" w:hAnsi="Cambria Math" w:cstheme="minorHAnsi"/>
                <w:i/>
                <w:sz w:val="20"/>
                <w:szCs w:val="20"/>
              </w:rPr>
            </m:ctrlPr>
          </m:dPr>
          <m:e>
            <m:r>
              <w:rPr>
                <w:rFonts w:ascii="Cambria Math" w:hAnsi="Cambria Math" w:cstheme="minorHAnsi"/>
                <w:sz w:val="20"/>
                <w:szCs w:val="20"/>
              </w:rPr>
              <m:t>t</m:t>
            </m:r>
          </m:e>
        </m:d>
        <m:r>
          <w:rPr>
            <w:rFonts w:ascii="Cambria Math" w:hAnsi="Cambria Math" w:cstheme="minorHAnsi"/>
            <w:sz w:val="20"/>
            <w:szCs w:val="20"/>
          </w:rPr>
          <m:t>=</m:t>
        </m:r>
        <m:f>
          <m:fPr>
            <m:ctrlPr>
              <w:rPr>
                <w:rFonts w:ascii="Cambria Math" w:hAnsi="Cambria Math" w:cstheme="minorHAnsi"/>
                <w:i/>
                <w:sz w:val="20"/>
                <w:szCs w:val="20"/>
              </w:rPr>
            </m:ctrlPr>
          </m:fPr>
          <m:num>
            <m:r>
              <w:rPr>
                <w:rFonts w:ascii="Cambria Math" w:hAnsi="Cambria Math" w:cstheme="minorHAnsi"/>
                <w:sz w:val="20"/>
                <w:szCs w:val="20"/>
              </w:rPr>
              <m:t>∆U</m:t>
            </m:r>
            <m:d>
              <m:dPr>
                <m:ctrlPr>
                  <w:rPr>
                    <w:rFonts w:ascii="Cambria Math" w:hAnsi="Cambria Math" w:cstheme="minorHAnsi"/>
                    <w:i/>
                    <w:sz w:val="20"/>
                    <w:szCs w:val="20"/>
                  </w:rPr>
                </m:ctrlPr>
              </m:dPr>
              <m:e>
                <m:r>
                  <w:rPr>
                    <w:rFonts w:ascii="Cambria Math" w:hAnsi="Cambria Math" w:cstheme="minorHAnsi"/>
                    <w:sz w:val="20"/>
                    <w:szCs w:val="20"/>
                  </w:rPr>
                  <m:t>t</m:t>
                </m:r>
              </m:e>
            </m:d>
          </m:num>
          <m:den>
            <m:sSub>
              <m:sSubPr>
                <m:ctrlPr>
                  <w:rPr>
                    <w:rFonts w:ascii="Cambria Math" w:hAnsi="Cambria Math" w:cstheme="minorHAnsi"/>
                    <w:i/>
                    <w:sz w:val="20"/>
                    <w:szCs w:val="20"/>
                  </w:rPr>
                </m:ctrlPr>
              </m:sSubPr>
              <m:e>
                <m:r>
                  <w:rPr>
                    <w:rFonts w:ascii="Cambria Math" w:hAnsi="Cambria Math" w:cstheme="minorHAnsi"/>
                    <w:sz w:val="20"/>
                    <w:szCs w:val="20"/>
                  </w:rPr>
                  <m:t>U</m:t>
                </m:r>
              </m:e>
              <m:sub>
                <m:r>
                  <w:rPr>
                    <w:rFonts w:ascii="Cambria Math" w:hAnsi="Cambria Math" w:cstheme="minorHAnsi"/>
                    <w:sz w:val="20"/>
                    <w:szCs w:val="20"/>
                  </w:rPr>
                  <m:t>n</m:t>
                </m:r>
              </m:sub>
            </m:sSub>
          </m:den>
        </m:f>
      </m:oMath>
      <w:r w:rsidRPr="00EB2E7B">
        <w:rPr>
          <w:rFonts w:asciiTheme="minorHAnsi" w:hAnsiTheme="minorHAnsi" w:cstheme="minorHAnsi"/>
          <w:sz w:val="20"/>
          <w:szCs w:val="20"/>
        </w:rPr>
        <w:t xml:space="preserve"> podczas zmiany napięcia nie powinna przekraczać 3,3% przez czas dłuższy niż 500ms,</w:t>
      </w:r>
    </w:p>
    <w:p w14:paraId="5D40AD7B" w14:textId="4F9931F3" w:rsidR="00CD7B36" w:rsidRPr="00EB2E7B" w:rsidRDefault="00CD7B36" w:rsidP="00B3367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względna zmiana napięcia w stanie ustalonym</w:t>
      </w:r>
      <m:oMath>
        <m:r>
          <w:rPr>
            <w:rFonts w:ascii="Cambria Math" w:hAnsi="Cambria Math" w:cstheme="minorHAnsi"/>
            <w:sz w:val="20"/>
            <w:szCs w:val="20"/>
          </w:rPr>
          <m:t>d=</m:t>
        </m:r>
        <m:f>
          <m:fPr>
            <m:ctrlPr>
              <w:rPr>
                <w:rFonts w:ascii="Cambria Math" w:hAnsi="Cambria Math" w:cstheme="minorHAnsi"/>
                <w:i/>
                <w:sz w:val="20"/>
                <w:szCs w:val="20"/>
              </w:rPr>
            </m:ctrlPr>
          </m:fPr>
          <m:num>
            <m:r>
              <w:rPr>
                <w:rFonts w:ascii="Cambria Math" w:hAnsi="Cambria Math" w:cstheme="minorHAnsi"/>
                <w:sz w:val="20"/>
                <w:szCs w:val="20"/>
              </w:rPr>
              <m:t>∆U</m:t>
            </m:r>
          </m:num>
          <m:den>
            <m:sSub>
              <m:sSubPr>
                <m:ctrlPr>
                  <w:rPr>
                    <w:rFonts w:ascii="Cambria Math" w:hAnsi="Cambria Math" w:cstheme="minorHAnsi"/>
                    <w:i/>
                    <w:sz w:val="20"/>
                    <w:szCs w:val="20"/>
                  </w:rPr>
                </m:ctrlPr>
              </m:sSubPr>
              <m:e>
                <m:r>
                  <w:rPr>
                    <w:rFonts w:ascii="Cambria Math" w:hAnsi="Cambria Math" w:cstheme="minorHAnsi"/>
                    <w:sz w:val="20"/>
                    <w:szCs w:val="20"/>
                  </w:rPr>
                  <m:t>U</m:t>
                </m:r>
              </m:e>
              <m:sub>
                <m:r>
                  <w:rPr>
                    <w:rFonts w:ascii="Cambria Math" w:hAnsi="Cambria Math" w:cstheme="minorHAnsi"/>
                    <w:sz w:val="20"/>
                    <w:szCs w:val="20"/>
                  </w:rPr>
                  <m:t>n</m:t>
                </m:r>
              </m:sub>
            </m:sSub>
          </m:den>
        </m:f>
      </m:oMath>
      <w:r w:rsidRPr="00EB2E7B">
        <w:rPr>
          <w:rFonts w:asciiTheme="minorHAnsi" w:hAnsiTheme="minorHAnsi" w:cstheme="minorHAnsi"/>
          <w:sz w:val="20"/>
          <w:szCs w:val="20"/>
        </w:rPr>
        <w:t xml:space="preserve"> nie powinna przekraczać 3,3%, gdzie: </w:t>
      </w:r>
    </w:p>
    <w:p w14:paraId="154C3E13" w14:textId="77777777" w:rsidR="00CD7B36" w:rsidRPr="00EB2E7B" w:rsidRDefault="00CD7B36" w:rsidP="00FE170D">
      <w:pPr>
        <w:ind w:left="1134" w:firstLine="0"/>
        <w:rPr>
          <w:rFonts w:asciiTheme="minorHAnsi" w:hAnsiTheme="minorHAnsi" w:cstheme="minorHAnsi"/>
          <w:sz w:val="20"/>
          <w:szCs w:val="20"/>
        </w:rPr>
      </w:pPr>
      <w:r w:rsidRPr="00EB2E7B">
        <w:rPr>
          <w:rFonts w:asciiTheme="minorHAnsi" w:eastAsia="Segoe UI Symbol" w:hAnsiTheme="minorHAnsi" w:cstheme="minorHAnsi"/>
          <w:sz w:val="20"/>
          <w:szCs w:val="20"/>
        </w:rPr>
        <w:t>Δ</w:t>
      </w:r>
      <w:r w:rsidRPr="00EB2E7B">
        <w:rPr>
          <w:rFonts w:asciiTheme="minorHAnsi" w:hAnsiTheme="minorHAnsi" w:cstheme="minorHAnsi"/>
          <w:sz w:val="20"/>
          <w:szCs w:val="20"/>
        </w:rPr>
        <w:t xml:space="preserve">U - zmiana wartości skutecznej napięcia, wyznaczona jako pojedyncza wartość dla każdego kolejnego półokresu napięcia źródła, pomiędzy jego przejściami przez zero, występująca między okresami, gdy napięcie jest w stanie ustalonym co najmniej przez 1s. </w:t>
      </w:r>
    </w:p>
    <w:p w14:paraId="28F61215" w14:textId="77777777" w:rsidR="00CD7B36" w:rsidRPr="00EB2E7B" w:rsidRDefault="00CD7B36" w:rsidP="009A432E">
      <w:pPr>
        <w:pStyle w:val="Nagwek4"/>
        <w:rPr>
          <w:rFonts w:asciiTheme="minorHAnsi" w:hAnsiTheme="minorHAnsi" w:cstheme="minorHAnsi"/>
          <w:sz w:val="20"/>
          <w:szCs w:val="20"/>
        </w:rPr>
      </w:pPr>
      <w:r w:rsidRPr="00EB2E7B">
        <w:rPr>
          <w:rFonts w:asciiTheme="minorHAnsi" w:hAnsiTheme="minorHAnsi" w:cstheme="minorHAnsi"/>
          <w:sz w:val="20"/>
          <w:szCs w:val="20"/>
        </w:rPr>
        <w:t xml:space="preserve">Dopuszczalne poziomy emisji harmonicznych prądu </w:t>
      </w:r>
    </w:p>
    <w:p w14:paraId="0320656E" w14:textId="77777777" w:rsidR="00CD7B36" w:rsidRPr="00EB2E7B" w:rsidRDefault="00CD7B36" w:rsidP="00B33679">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celu wyznaczenia maksymalnych poziomów emisji harmonicznych odbiorniki dzieli się wg. następującej klasyfikacji: </w:t>
      </w:r>
    </w:p>
    <w:p w14:paraId="0CDFF07A" w14:textId="77777777" w:rsidR="00CD7B36" w:rsidRPr="00EB2E7B" w:rsidRDefault="00CD7B36" w:rsidP="00B33679">
      <w:pPr>
        <w:pStyle w:val="aprzed"/>
        <w:numPr>
          <w:ilvl w:val="0"/>
          <w:numId w:val="23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Klasa A – symetryczne odbiorniki trójfazowe, sprzęt do zastosowań domowych z pominięciem przynależnego do klasy D, narzędzia z pominięciem narzędzi przenośnych, ściemniacze do żarówek, sprzęt akustyczny i wszystkie inne z wyjątkiem zakwalifikowanych do jednej z poniższych klas, </w:t>
      </w:r>
    </w:p>
    <w:p w14:paraId="06191EB1" w14:textId="77777777" w:rsidR="00CD7B36" w:rsidRPr="00EB2E7B" w:rsidRDefault="00CD7B36" w:rsidP="00B3367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Klasa B – narzędzia przenośne tj. narzędzia elektryczne, które podczas normalnej pracy trzymane są w rękach i używane tylko przez krótki czas (kilka minut), nieprofesjonalny sprzęt spawalniczy, </w:t>
      </w:r>
    </w:p>
    <w:p w14:paraId="0CBB1069" w14:textId="77777777" w:rsidR="00CD7B36" w:rsidRPr="00EB2E7B" w:rsidRDefault="00CD7B36" w:rsidP="00B3367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Klasa C – sprzęt oświetleniowy, </w:t>
      </w:r>
    </w:p>
    <w:p w14:paraId="7F71457D" w14:textId="77777777" w:rsidR="00CD7B36" w:rsidRPr="00EB2E7B" w:rsidRDefault="00CD7B36" w:rsidP="00B33679">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Klasa D – sprzęt o mocy 600W lub mniejszej następującego rodzaju: komputery osobisty i monitory do nich, odbiorniki telewizyjne. </w:t>
      </w:r>
    </w:p>
    <w:p w14:paraId="3783D24C" w14:textId="77777777" w:rsidR="00CD7B36" w:rsidRPr="00EB2E7B" w:rsidRDefault="00CD7B36" w:rsidP="00B33679">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Dopuszczalne poziomy emisji harmonicznych prądu powodowane przez odbiorniki o fazowym prądzie znamionowym ≤16A zakwalifikowane do: </w:t>
      </w:r>
    </w:p>
    <w:p w14:paraId="57278EF1" w14:textId="77777777" w:rsidR="00CD7B36" w:rsidRPr="00EB2E7B" w:rsidRDefault="00CD7B36" w:rsidP="00045CFE">
      <w:pPr>
        <w:pStyle w:val="aprzed"/>
        <w:numPr>
          <w:ilvl w:val="0"/>
          <w:numId w:val="235"/>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Klasy A podano w Tablicy 1,  </w:t>
      </w:r>
    </w:p>
    <w:p w14:paraId="23A38B85" w14:textId="77777777" w:rsidR="00CD7B36" w:rsidRPr="00EB2E7B" w:rsidRDefault="00CD7B36" w:rsidP="00045CFE">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Klasy B podano w Tablicy 2, </w:t>
      </w:r>
    </w:p>
    <w:p w14:paraId="542C2A3B" w14:textId="77777777" w:rsidR="00CD7B36" w:rsidRPr="00EB2E7B" w:rsidRDefault="00CD7B36" w:rsidP="00045CFE">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Klasy C podano w Tablicy 3, </w:t>
      </w:r>
    </w:p>
    <w:p w14:paraId="3D5D0D20" w14:textId="77777777" w:rsidR="00CD7B36" w:rsidRPr="00EB2E7B" w:rsidRDefault="00CD7B36" w:rsidP="00045CFE">
      <w:pPr>
        <w:pStyle w:val="aprzed"/>
        <w:numPr>
          <w:ilvl w:val="0"/>
          <w:numId w:val="53"/>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Klasy D podano w Tablicy 4. </w:t>
      </w:r>
    </w:p>
    <w:p w14:paraId="35CD497C" w14:textId="77777777" w:rsidR="00CD7B36" w:rsidRPr="00EB2E7B" w:rsidRDefault="00CD7B36" w:rsidP="00CD7B36">
      <w:pPr>
        <w:rPr>
          <w:rFonts w:asciiTheme="minorHAnsi" w:hAnsiTheme="minorHAnsi" w:cstheme="minorHAnsi"/>
          <w:i/>
          <w:iCs/>
          <w:sz w:val="20"/>
          <w:szCs w:val="20"/>
        </w:rPr>
      </w:pPr>
      <w:r w:rsidRPr="00EB2E7B">
        <w:rPr>
          <w:rFonts w:asciiTheme="minorHAnsi" w:hAnsiTheme="minorHAnsi" w:cstheme="minorHAnsi"/>
          <w:sz w:val="20"/>
          <w:szCs w:val="20"/>
        </w:rPr>
        <w:tab/>
      </w:r>
      <w:r w:rsidRPr="00EB2E7B">
        <w:rPr>
          <w:rFonts w:asciiTheme="minorHAnsi" w:hAnsiTheme="minorHAnsi" w:cstheme="minorHAnsi"/>
          <w:i/>
          <w:iCs/>
          <w:sz w:val="20"/>
          <w:szCs w:val="20"/>
        </w:rPr>
        <w:t xml:space="preserve">Tablica 1. Dopuszczalne poziomy dla odbiorników klasy A. </w:t>
      </w:r>
    </w:p>
    <w:tbl>
      <w:tblPr>
        <w:tblStyle w:val="Tabela-Siatka1"/>
        <w:tblW w:w="7994" w:type="dxa"/>
        <w:tblInd w:w="1354" w:type="dxa"/>
        <w:tblCellMar>
          <w:top w:w="6" w:type="dxa"/>
          <w:right w:w="39" w:type="dxa"/>
        </w:tblCellMar>
        <w:tblLook w:val="04A0" w:firstRow="1" w:lastRow="0" w:firstColumn="1" w:lastColumn="0" w:noHBand="0" w:noVBand="1"/>
      </w:tblPr>
      <w:tblGrid>
        <w:gridCol w:w="3997"/>
        <w:gridCol w:w="3997"/>
      </w:tblGrid>
      <w:tr w:rsidR="00CD7B36" w:rsidRPr="00EB2E7B" w14:paraId="299A5327" w14:textId="77777777">
        <w:trPr>
          <w:trHeight w:val="581"/>
        </w:trPr>
        <w:tc>
          <w:tcPr>
            <w:tcW w:w="3997" w:type="dxa"/>
            <w:tcBorders>
              <w:top w:val="single" w:sz="12" w:space="0" w:color="000000"/>
              <w:left w:val="single" w:sz="12" w:space="0" w:color="000000"/>
              <w:bottom w:val="single" w:sz="12" w:space="0" w:color="000000"/>
              <w:right w:val="single" w:sz="12" w:space="0" w:color="000000"/>
            </w:tcBorders>
            <w:vAlign w:val="center"/>
          </w:tcPr>
          <w:p w14:paraId="1F88F11E" w14:textId="77777777" w:rsidR="00CD7B36" w:rsidRPr="00EB2E7B" w:rsidRDefault="00CD7B36">
            <w:pPr>
              <w:spacing w:after="0"/>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Rząd harmonicznej [n]</w:t>
            </w:r>
          </w:p>
        </w:tc>
        <w:tc>
          <w:tcPr>
            <w:tcW w:w="3997" w:type="dxa"/>
            <w:tcBorders>
              <w:top w:val="single" w:sz="12" w:space="0" w:color="000000"/>
              <w:left w:val="single" w:sz="12" w:space="0" w:color="000000"/>
              <w:bottom w:val="single" w:sz="12" w:space="0" w:color="000000"/>
              <w:right w:val="single" w:sz="12" w:space="0" w:color="000000"/>
            </w:tcBorders>
            <w:vAlign w:val="center"/>
          </w:tcPr>
          <w:p w14:paraId="6396C1EB" w14:textId="77777777" w:rsidR="00CD7B36" w:rsidRPr="00EB2E7B" w:rsidRDefault="00CD7B36">
            <w:pPr>
              <w:spacing w:after="0"/>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Maksymalny dopuszczalny prąd harmonicznej [A]</w:t>
            </w:r>
          </w:p>
        </w:tc>
      </w:tr>
      <w:tr w:rsidR="00CD7B36" w:rsidRPr="00EB2E7B" w14:paraId="39E49F5F" w14:textId="77777777">
        <w:trPr>
          <w:trHeight w:val="298"/>
        </w:trPr>
        <w:tc>
          <w:tcPr>
            <w:tcW w:w="7994" w:type="dxa"/>
            <w:gridSpan w:val="2"/>
            <w:tcBorders>
              <w:top w:val="single" w:sz="12" w:space="0" w:color="000000"/>
              <w:left w:val="single" w:sz="4" w:space="0" w:color="000000"/>
              <w:bottom w:val="single" w:sz="4" w:space="0" w:color="000000"/>
              <w:right w:val="single" w:sz="4" w:space="0" w:color="000000"/>
            </w:tcBorders>
            <w:vAlign w:val="center"/>
          </w:tcPr>
          <w:p w14:paraId="2074BF89"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Harmoniczne nieparzyste</w:t>
            </w:r>
          </w:p>
        </w:tc>
      </w:tr>
      <w:tr w:rsidR="00CD7B36" w:rsidRPr="00EB2E7B" w14:paraId="26AB3DE0"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12C2C69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lastRenderedPageBreak/>
              <w:t>3</w:t>
            </w:r>
          </w:p>
        </w:tc>
        <w:tc>
          <w:tcPr>
            <w:tcW w:w="3997" w:type="dxa"/>
            <w:tcBorders>
              <w:top w:val="single" w:sz="4" w:space="0" w:color="000000"/>
              <w:left w:val="single" w:sz="4" w:space="0" w:color="000000"/>
              <w:bottom w:val="single" w:sz="4" w:space="0" w:color="000000"/>
              <w:right w:val="single" w:sz="4" w:space="0" w:color="000000"/>
            </w:tcBorders>
            <w:vAlign w:val="center"/>
          </w:tcPr>
          <w:p w14:paraId="554A83B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2,3</w:t>
            </w:r>
          </w:p>
        </w:tc>
      </w:tr>
      <w:tr w:rsidR="00CD7B36" w:rsidRPr="00EB2E7B" w14:paraId="34ABEEB7"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127177A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p>
        </w:tc>
        <w:tc>
          <w:tcPr>
            <w:tcW w:w="3997" w:type="dxa"/>
            <w:tcBorders>
              <w:top w:val="single" w:sz="4" w:space="0" w:color="000000"/>
              <w:left w:val="single" w:sz="4" w:space="0" w:color="000000"/>
              <w:bottom w:val="single" w:sz="4" w:space="0" w:color="000000"/>
              <w:right w:val="single" w:sz="4" w:space="0" w:color="000000"/>
            </w:tcBorders>
            <w:vAlign w:val="center"/>
          </w:tcPr>
          <w:p w14:paraId="2608A4ED"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1,14</w:t>
            </w:r>
          </w:p>
        </w:tc>
      </w:tr>
      <w:tr w:rsidR="00CD7B36" w:rsidRPr="00EB2E7B" w14:paraId="4D8AFC91"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42F1BB6C"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7</w:t>
            </w:r>
          </w:p>
        </w:tc>
        <w:tc>
          <w:tcPr>
            <w:tcW w:w="3997" w:type="dxa"/>
            <w:tcBorders>
              <w:top w:val="single" w:sz="4" w:space="0" w:color="000000"/>
              <w:left w:val="single" w:sz="4" w:space="0" w:color="000000"/>
              <w:bottom w:val="single" w:sz="4" w:space="0" w:color="000000"/>
              <w:right w:val="single" w:sz="4" w:space="0" w:color="000000"/>
            </w:tcBorders>
            <w:vAlign w:val="center"/>
          </w:tcPr>
          <w:p w14:paraId="4EAFE90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0,77</w:t>
            </w:r>
          </w:p>
        </w:tc>
      </w:tr>
      <w:tr w:rsidR="00CD7B36" w:rsidRPr="00EB2E7B" w14:paraId="4A64620B"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680836C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9</w:t>
            </w:r>
          </w:p>
        </w:tc>
        <w:tc>
          <w:tcPr>
            <w:tcW w:w="3997" w:type="dxa"/>
            <w:tcBorders>
              <w:top w:val="single" w:sz="4" w:space="0" w:color="000000"/>
              <w:left w:val="single" w:sz="4" w:space="0" w:color="000000"/>
              <w:bottom w:val="single" w:sz="4" w:space="0" w:color="000000"/>
              <w:right w:val="single" w:sz="4" w:space="0" w:color="000000"/>
            </w:tcBorders>
            <w:vAlign w:val="center"/>
          </w:tcPr>
          <w:p w14:paraId="1E29F338"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0,4</w:t>
            </w:r>
          </w:p>
        </w:tc>
      </w:tr>
      <w:tr w:rsidR="00CD7B36" w:rsidRPr="00EB2E7B" w14:paraId="411E9E6C"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08120A67"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w:t>
            </w:r>
          </w:p>
        </w:tc>
        <w:tc>
          <w:tcPr>
            <w:tcW w:w="3997" w:type="dxa"/>
            <w:tcBorders>
              <w:top w:val="single" w:sz="4" w:space="0" w:color="000000"/>
              <w:left w:val="single" w:sz="4" w:space="0" w:color="000000"/>
              <w:bottom w:val="single" w:sz="4" w:space="0" w:color="000000"/>
              <w:right w:val="single" w:sz="4" w:space="0" w:color="000000"/>
            </w:tcBorders>
            <w:vAlign w:val="center"/>
          </w:tcPr>
          <w:p w14:paraId="3725D30E"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0,33</w:t>
            </w:r>
          </w:p>
        </w:tc>
      </w:tr>
      <w:tr w:rsidR="00CD7B36" w:rsidRPr="00EB2E7B" w14:paraId="44413165" w14:textId="77777777">
        <w:trPr>
          <w:trHeight w:val="289"/>
        </w:trPr>
        <w:tc>
          <w:tcPr>
            <w:tcW w:w="3997" w:type="dxa"/>
            <w:tcBorders>
              <w:top w:val="single" w:sz="4" w:space="0" w:color="000000"/>
              <w:left w:val="single" w:sz="4" w:space="0" w:color="000000"/>
              <w:bottom w:val="single" w:sz="4" w:space="0" w:color="000000"/>
              <w:right w:val="single" w:sz="4" w:space="0" w:color="000000"/>
            </w:tcBorders>
            <w:vAlign w:val="center"/>
          </w:tcPr>
          <w:p w14:paraId="4EB06302"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13</w:t>
            </w:r>
          </w:p>
        </w:tc>
        <w:tc>
          <w:tcPr>
            <w:tcW w:w="3997" w:type="dxa"/>
            <w:tcBorders>
              <w:top w:val="single" w:sz="4" w:space="0" w:color="000000"/>
              <w:left w:val="single" w:sz="4" w:space="0" w:color="000000"/>
              <w:bottom w:val="single" w:sz="4" w:space="0" w:color="000000"/>
              <w:right w:val="single" w:sz="4" w:space="0" w:color="000000"/>
            </w:tcBorders>
            <w:vAlign w:val="center"/>
          </w:tcPr>
          <w:p w14:paraId="5FD33265"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0,21</w:t>
            </w:r>
          </w:p>
        </w:tc>
      </w:tr>
      <w:tr w:rsidR="00CD7B36" w:rsidRPr="00EB2E7B" w14:paraId="11DEA9A9" w14:textId="77777777">
        <w:trPr>
          <w:trHeight w:val="814"/>
        </w:trPr>
        <w:tc>
          <w:tcPr>
            <w:tcW w:w="3997" w:type="dxa"/>
            <w:tcBorders>
              <w:top w:val="single" w:sz="4" w:space="0" w:color="000000"/>
              <w:left w:val="single" w:sz="4" w:space="0" w:color="000000"/>
              <w:bottom w:val="single" w:sz="4" w:space="0" w:color="000000"/>
              <w:right w:val="single" w:sz="4" w:space="0" w:color="000000"/>
            </w:tcBorders>
            <w:vAlign w:val="center"/>
          </w:tcPr>
          <w:p w14:paraId="1410CE54" w14:textId="77777777" w:rsidR="00CD7B36" w:rsidRPr="00EB2E7B" w:rsidRDefault="00CD7B36">
            <w:pPr>
              <w:spacing w:after="0" w:line="266" w:lineRule="auto"/>
              <w:ind w:left="0" w:firstLine="0"/>
              <w:jc w:val="center"/>
              <w:rPr>
                <w:rFonts w:asciiTheme="minorHAnsi" w:hAnsiTheme="minorHAnsi" w:cstheme="minorHAnsi"/>
                <w:sz w:val="20"/>
                <w:szCs w:val="20"/>
              </w:rPr>
            </w:pPr>
            <m:oMathPara>
              <m:oMath>
                <m:r>
                  <w:rPr>
                    <w:rFonts w:ascii="Cambria Math" w:hAnsi="Cambria Math" w:cstheme="minorHAnsi"/>
                    <w:sz w:val="20"/>
                    <w:szCs w:val="20"/>
                  </w:rPr>
                  <m:t>15≤n≤39</m:t>
                </m:r>
              </m:oMath>
            </m:oMathPara>
          </w:p>
        </w:tc>
        <w:tc>
          <w:tcPr>
            <w:tcW w:w="3997" w:type="dxa"/>
            <w:tcBorders>
              <w:top w:val="single" w:sz="4" w:space="0" w:color="000000"/>
              <w:left w:val="single" w:sz="4" w:space="0" w:color="000000"/>
              <w:bottom w:val="single" w:sz="4" w:space="0" w:color="000000"/>
              <w:right w:val="single" w:sz="4" w:space="0" w:color="000000"/>
            </w:tcBorders>
            <w:vAlign w:val="center"/>
          </w:tcPr>
          <w:p w14:paraId="63C82FCD" w14:textId="2BC5529F" w:rsidR="00CD7B36" w:rsidRPr="00EB2E7B" w:rsidRDefault="005E66A8">
            <w:pPr>
              <w:spacing w:after="0" w:line="266" w:lineRule="auto"/>
              <w:ind w:left="0" w:firstLine="0"/>
              <w:jc w:val="center"/>
              <w:rPr>
                <w:rFonts w:asciiTheme="minorHAnsi" w:hAnsiTheme="minorHAnsi" w:cstheme="minorHAnsi"/>
                <w:sz w:val="20"/>
                <w:szCs w:val="20"/>
              </w:rPr>
            </w:pPr>
            <m:oMathPara>
              <m:oMath>
                <m:r>
                  <w:rPr>
                    <w:rFonts w:ascii="Cambria Math" w:hAnsi="Cambria Math" w:cstheme="minorHAnsi"/>
                    <w:sz w:val="20"/>
                    <w:szCs w:val="20"/>
                  </w:rPr>
                  <m:t>0,15</m:t>
                </m:r>
                <m:f>
                  <m:fPr>
                    <m:ctrlPr>
                      <w:rPr>
                        <w:rFonts w:ascii="Cambria Math" w:hAnsi="Cambria Math" w:cstheme="minorHAnsi"/>
                        <w:i/>
                        <w:sz w:val="20"/>
                        <w:szCs w:val="20"/>
                      </w:rPr>
                    </m:ctrlPr>
                  </m:fPr>
                  <m:num>
                    <m:r>
                      <w:rPr>
                        <w:rFonts w:ascii="Cambria Math" w:hAnsi="Cambria Math" w:cstheme="minorHAnsi"/>
                        <w:sz w:val="20"/>
                        <w:szCs w:val="20"/>
                      </w:rPr>
                      <m:t>15</m:t>
                    </m:r>
                  </m:num>
                  <m:den>
                    <m:r>
                      <w:rPr>
                        <w:rFonts w:ascii="Cambria Math" w:hAnsi="Cambria Math" w:cstheme="minorHAnsi"/>
                        <w:sz w:val="20"/>
                        <w:szCs w:val="20"/>
                      </w:rPr>
                      <m:t>n</m:t>
                    </m:r>
                  </m:den>
                </m:f>
              </m:oMath>
            </m:oMathPara>
          </w:p>
        </w:tc>
      </w:tr>
      <w:tr w:rsidR="00CD7B36" w:rsidRPr="00EB2E7B" w14:paraId="20546659" w14:textId="77777777">
        <w:trPr>
          <w:trHeight w:val="286"/>
        </w:trPr>
        <w:tc>
          <w:tcPr>
            <w:tcW w:w="7994" w:type="dxa"/>
            <w:gridSpan w:val="2"/>
            <w:tcBorders>
              <w:top w:val="single" w:sz="4" w:space="0" w:color="000000"/>
              <w:left w:val="single" w:sz="4" w:space="0" w:color="000000"/>
              <w:bottom w:val="single" w:sz="4" w:space="0" w:color="000000"/>
              <w:right w:val="single" w:sz="4" w:space="0" w:color="000000"/>
            </w:tcBorders>
            <w:vAlign w:val="center"/>
          </w:tcPr>
          <w:p w14:paraId="261F783C"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Harmoniczne parzyste</w:t>
            </w:r>
          </w:p>
        </w:tc>
      </w:tr>
      <w:tr w:rsidR="00CD7B36" w:rsidRPr="00EB2E7B" w14:paraId="7D6CE8A3"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60E721EC"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tc>
        <w:tc>
          <w:tcPr>
            <w:tcW w:w="3997" w:type="dxa"/>
            <w:tcBorders>
              <w:top w:val="single" w:sz="4" w:space="0" w:color="000000"/>
              <w:left w:val="single" w:sz="4" w:space="0" w:color="000000"/>
              <w:bottom w:val="single" w:sz="4" w:space="0" w:color="000000"/>
              <w:right w:val="single" w:sz="4" w:space="0" w:color="000000"/>
            </w:tcBorders>
            <w:vAlign w:val="center"/>
          </w:tcPr>
          <w:p w14:paraId="1E0D406A"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1,08</w:t>
            </w:r>
          </w:p>
        </w:tc>
      </w:tr>
      <w:tr w:rsidR="00CD7B36" w:rsidRPr="00EB2E7B" w14:paraId="346B2BE2" w14:textId="77777777">
        <w:trPr>
          <w:trHeight w:val="288"/>
        </w:trPr>
        <w:tc>
          <w:tcPr>
            <w:tcW w:w="3997" w:type="dxa"/>
            <w:tcBorders>
              <w:top w:val="single" w:sz="4" w:space="0" w:color="000000"/>
              <w:left w:val="single" w:sz="4" w:space="0" w:color="000000"/>
              <w:bottom w:val="single" w:sz="4" w:space="0" w:color="000000"/>
              <w:right w:val="single" w:sz="4" w:space="0" w:color="000000"/>
            </w:tcBorders>
            <w:vAlign w:val="center"/>
          </w:tcPr>
          <w:p w14:paraId="5625B604"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4</w:t>
            </w:r>
          </w:p>
        </w:tc>
        <w:tc>
          <w:tcPr>
            <w:tcW w:w="3997" w:type="dxa"/>
            <w:tcBorders>
              <w:top w:val="single" w:sz="4" w:space="0" w:color="000000"/>
              <w:left w:val="single" w:sz="4" w:space="0" w:color="000000"/>
              <w:bottom w:val="single" w:sz="4" w:space="0" w:color="000000"/>
              <w:right w:val="single" w:sz="4" w:space="0" w:color="000000"/>
            </w:tcBorders>
            <w:vAlign w:val="center"/>
          </w:tcPr>
          <w:p w14:paraId="7FC49A94"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0,43</w:t>
            </w:r>
          </w:p>
        </w:tc>
      </w:tr>
      <w:tr w:rsidR="00CD7B36" w:rsidRPr="00EB2E7B" w14:paraId="6F993F76"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0E7F4A5B"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6</w:t>
            </w:r>
          </w:p>
        </w:tc>
        <w:tc>
          <w:tcPr>
            <w:tcW w:w="3997" w:type="dxa"/>
            <w:tcBorders>
              <w:top w:val="single" w:sz="4" w:space="0" w:color="000000"/>
              <w:left w:val="single" w:sz="4" w:space="0" w:color="000000"/>
              <w:bottom w:val="single" w:sz="4" w:space="0" w:color="000000"/>
              <w:right w:val="single" w:sz="4" w:space="0" w:color="000000"/>
            </w:tcBorders>
            <w:vAlign w:val="center"/>
          </w:tcPr>
          <w:p w14:paraId="445442F3" w14:textId="77777777" w:rsidR="00CD7B36" w:rsidRPr="00EB2E7B" w:rsidRDefault="00CD7B36">
            <w:pPr>
              <w:spacing w:after="0"/>
              <w:ind w:left="0" w:firstLine="0"/>
              <w:jc w:val="center"/>
              <w:rPr>
                <w:rFonts w:asciiTheme="minorHAnsi" w:hAnsiTheme="minorHAnsi" w:cstheme="minorHAnsi"/>
                <w:sz w:val="20"/>
                <w:szCs w:val="20"/>
              </w:rPr>
            </w:pPr>
            <w:r w:rsidRPr="00EB2E7B">
              <w:rPr>
                <w:rFonts w:asciiTheme="minorHAnsi" w:hAnsiTheme="minorHAnsi" w:cstheme="minorHAnsi"/>
                <w:sz w:val="20"/>
                <w:szCs w:val="20"/>
              </w:rPr>
              <w:t>0,3</w:t>
            </w:r>
          </w:p>
        </w:tc>
      </w:tr>
      <w:tr w:rsidR="00CD7B36" w:rsidRPr="00EB2E7B" w14:paraId="12CA85D7" w14:textId="77777777">
        <w:trPr>
          <w:trHeight w:val="586"/>
        </w:trPr>
        <w:tc>
          <w:tcPr>
            <w:tcW w:w="3997" w:type="dxa"/>
            <w:tcBorders>
              <w:top w:val="single" w:sz="4" w:space="0" w:color="000000"/>
              <w:left w:val="single" w:sz="4" w:space="0" w:color="000000"/>
              <w:bottom w:val="single" w:sz="4" w:space="0" w:color="000000"/>
              <w:right w:val="single" w:sz="4" w:space="0" w:color="000000"/>
            </w:tcBorders>
            <w:vAlign w:val="center"/>
          </w:tcPr>
          <w:p w14:paraId="6524943E" w14:textId="77777777" w:rsidR="00CD7B36" w:rsidRPr="00EB2E7B" w:rsidRDefault="00CD7B36">
            <w:pPr>
              <w:spacing w:after="0"/>
              <w:ind w:left="0" w:firstLine="0"/>
              <w:jc w:val="center"/>
              <w:rPr>
                <w:rFonts w:asciiTheme="minorHAnsi" w:hAnsiTheme="minorHAnsi" w:cstheme="minorHAnsi"/>
                <w:sz w:val="20"/>
                <w:szCs w:val="20"/>
              </w:rPr>
            </w:pPr>
            <m:oMathPara>
              <m:oMath>
                <m:r>
                  <w:rPr>
                    <w:rFonts w:ascii="Cambria Math" w:hAnsi="Cambria Math" w:cstheme="minorHAnsi"/>
                    <w:sz w:val="20"/>
                    <w:szCs w:val="20"/>
                  </w:rPr>
                  <m:t>8≤n≤40</m:t>
                </m:r>
              </m:oMath>
            </m:oMathPara>
          </w:p>
        </w:tc>
        <w:tc>
          <w:tcPr>
            <w:tcW w:w="3997" w:type="dxa"/>
            <w:tcBorders>
              <w:top w:val="single" w:sz="4" w:space="0" w:color="000000"/>
              <w:left w:val="single" w:sz="4" w:space="0" w:color="000000"/>
              <w:bottom w:val="single" w:sz="4" w:space="0" w:color="000000"/>
              <w:right w:val="single" w:sz="4" w:space="0" w:color="000000"/>
            </w:tcBorders>
            <w:vAlign w:val="center"/>
          </w:tcPr>
          <w:p w14:paraId="4757EA76" w14:textId="5BE1EBA7" w:rsidR="00CD7B36" w:rsidRPr="00EB2E7B" w:rsidRDefault="005E66A8">
            <w:pPr>
              <w:spacing w:after="0"/>
              <w:ind w:left="0" w:firstLine="0"/>
              <w:jc w:val="center"/>
              <w:rPr>
                <w:rFonts w:asciiTheme="minorHAnsi" w:hAnsiTheme="minorHAnsi" w:cstheme="minorHAnsi"/>
                <w:sz w:val="20"/>
                <w:szCs w:val="20"/>
              </w:rPr>
            </w:pPr>
            <m:oMathPara>
              <m:oMath>
                <m:r>
                  <w:rPr>
                    <w:rFonts w:ascii="Cambria Math" w:hAnsi="Cambria Math" w:cstheme="minorHAnsi"/>
                    <w:sz w:val="20"/>
                    <w:szCs w:val="20"/>
                  </w:rPr>
                  <m:t>0,23</m:t>
                </m:r>
                <m:f>
                  <m:fPr>
                    <m:ctrlPr>
                      <w:rPr>
                        <w:rFonts w:ascii="Cambria Math" w:hAnsi="Cambria Math" w:cstheme="minorHAnsi"/>
                        <w:i/>
                        <w:sz w:val="20"/>
                        <w:szCs w:val="20"/>
                      </w:rPr>
                    </m:ctrlPr>
                  </m:fPr>
                  <m:num>
                    <m:r>
                      <w:rPr>
                        <w:rFonts w:ascii="Cambria Math" w:hAnsi="Cambria Math" w:cstheme="minorHAnsi"/>
                        <w:sz w:val="20"/>
                        <w:szCs w:val="20"/>
                      </w:rPr>
                      <m:t>8</m:t>
                    </m:r>
                  </m:num>
                  <m:den>
                    <m:r>
                      <w:rPr>
                        <w:rFonts w:ascii="Cambria Math" w:hAnsi="Cambria Math" w:cstheme="minorHAnsi"/>
                        <w:sz w:val="20"/>
                        <w:szCs w:val="20"/>
                      </w:rPr>
                      <m:t>n</m:t>
                    </m:r>
                  </m:den>
                </m:f>
              </m:oMath>
            </m:oMathPara>
          </w:p>
        </w:tc>
      </w:tr>
    </w:tbl>
    <w:p w14:paraId="62B46CAB" w14:textId="77777777" w:rsidR="00045CFE" w:rsidRPr="00EB2E7B" w:rsidRDefault="00045CFE" w:rsidP="00CD7B36">
      <w:pPr>
        <w:ind w:left="70" w:firstLine="0"/>
        <w:rPr>
          <w:rFonts w:asciiTheme="minorHAnsi" w:hAnsiTheme="minorHAnsi" w:cstheme="minorHAnsi"/>
          <w:i/>
          <w:iCs/>
          <w:sz w:val="20"/>
          <w:szCs w:val="20"/>
        </w:rPr>
      </w:pPr>
    </w:p>
    <w:p w14:paraId="7E7D3BD4" w14:textId="7B3CB338" w:rsidR="00CD7B36" w:rsidRPr="00EB2E7B" w:rsidRDefault="00CD7B36" w:rsidP="00CD7B36">
      <w:pPr>
        <w:ind w:left="70" w:firstLine="0"/>
        <w:rPr>
          <w:rFonts w:asciiTheme="minorHAnsi" w:hAnsiTheme="minorHAnsi" w:cstheme="minorHAnsi"/>
          <w:i/>
          <w:iCs/>
          <w:sz w:val="20"/>
          <w:szCs w:val="20"/>
        </w:rPr>
      </w:pPr>
      <w:r w:rsidRPr="00EB2E7B">
        <w:rPr>
          <w:rFonts w:asciiTheme="minorHAnsi" w:hAnsiTheme="minorHAnsi" w:cstheme="minorHAnsi"/>
          <w:i/>
          <w:iCs/>
          <w:sz w:val="20"/>
          <w:szCs w:val="20"/>
        </w:rPr>
        <w:t xml:space="preserve"> Tablica 2. Dopuszczalne poziomy dla odbiorników klasy B. </w:t>
      </w:r>
    </w:p>
    <w:tbl>
      <w:tblPr>
        <w:tblStyle w:val="Tabela-Siatka1"/>
        <w:tblW w:w="7994" w:type="dxa"/>
        <w:tblInd w:w="1354" w:type="dxa"/>
        <w:tblCellMar>
          <w:top w:w="9" w:type="dxa"/>
          <w:right w:w="39" w:type="dxa"/>
        </w:tblCellMar>
        <w:tblLook w:val="04A0" w:firstRow="1" w:lastRow="0" w:firstColumn="1" w:lastColumn="0" w:noHBand="0" w:noVBand="1"/>
      </w:tblPr>
      <w:tblGrid>
        <w:gridCol w:w="3997"/>
        <w:gridCol w:w="3997"/>
      </w:tblGrid>
      <w:tr w:rsidR="00CD7B36" w:rsidRPr="00EB2E7B" w14:paraId="6FC7B07B" w14:textId="77777777">
        <w:trPr>
          <w:trHeight w:val="581"/>
        </w:trPr>
        <w:tc>
          <w:tcPr>
            <w:tcW w:w="3997" w:type="dxa"/>
            <w:tcBorders>
              <w:top w:val="single" w:sz="12" w:space="0" w:color="000000"/>
              <w:left w:val="single" w:sz="12" w:space="0" w:color="000000"/>
              <w:bottom w:val="single" w:sz="12" w:space="0" w:color="000000"/>
              <w:right w:val="single" w:sz="12" w:space="0" w:color="000000"/>
            </w:tcBorders>
            <w:vAlign w:val="center"/>
          </w:tcPr>
          <w:p w14:paraId="256D3319" w14:textId="77777777" w:rsidR="00CD7B36" w:rsidRPr="00EB2E7B" w:rsidRDefault="00CD7B36">
            <w:pPr>
              <w:spacing w:after="0"/>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Rząd harmonicznej [n]</w:t>
            </w:r>
          </w:p>
        </w:tc>
        <w:tc>
          <w:tcPr>
            <w:tcW w:w="3997" w:type="dxa"/>
            <w:tcBorders>
              <w:top w:val="single" w:sz="12" w:space="0" w:color="000000"/>
              <w:left w:val="single" w:sz="12" w:space="0" w:color="000000"/>
              <w:bottom w:val="single" w:sz="12" w:space="0" w:color="000000"/>
              <w:right w:val="single" w:sz="12" w:space="0" w:color="000000"/>
            </w:tcBorders>
            <w:vAlign w:val="center"/>
          </w:tcPr>
          <w:p w14:paraId="694DFBF4" w14:textId="77777777" w:rsidR="00CD7B36" w:rsidRPr="00EB2E7B" w:rsidRDefault="00CD7B36">
            <w:pPr>
              <w:spacing w:after="0"/>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Maksymalny dopuszczalny prąd harmonicznej [A]</w:t>
            </w:r>
          </w:p>
        </w:tc>
      </w:tr>
      <w:tr w:rsidR="00CD7B36" w:rsidRPr="00EB2E7B" w14:paraId="1E11D9F5" w14:textId="77777777">
        <w:trPr>
          <w:trHeight w:val="298"/>
        </w:trPr>
        <w:tc>
          <w:tcPr>
            <w:tcW w:w="7994" w:type="dxa"/>
            <w:gridSpan w:val="2"/>
            <w:tcBorders>
              <w:top w:val="single" w:sz="12" w:space="0" w:color="000000"/>
              <w:left w:val="single" w:sz="4" w:space="0" w:color="000000"/>
              <w:bottom w:val="single" w:sz="4" w:space="0" w:color="000000"/>
              <w:right w:val="single" w:sz="4" w:space="0" w:color="000000"/>
            </w:tcBorders>
            <w:vAlign w:val="center"/>
          </w:tcPr>
          <w:p w14:paraId="5ACA4DA7"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Harmoniczne nieparzyste</w:t>
            </w:r>
          </w:p>
        </w:tc>
      </w:tr>
      <w:tr w:rsidR="00CD7B36" w:rsidRPr="00EB2E7B" w14:paraId="5063EC5B"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2DE36120"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w:t>
            </w:r>
          </w:p>
        </w:tc>
        <w:tc>
          <w:tcPr>
            <w:tcW w:w="3997" w:type="dxa"/>
            <w:tcBorders>
              <w:top w:val="single" w:sz="4" w:space="0" w:color="000000"/>
              <w:left w:val="single" w:sz="4" w:space="0" w:color="000000"/>
              <w:bottom w:val="single" w:sz="4" w:space="0" w:color="000000"/>
              <w:right w:val="single" w:sz="4" w:space="0" w:color="000000"/>
            </w:tcBorders>
            <w:vAlign w:val="center"/>
          </w:tcPr>
          <w:p w14:paraId="0711C94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3,45</w:t>
            </w:r>
          </w:p>
        </w:tc>
      </w:tr>
      <w:tr w:rsidR="00CD7B36" w:rsidRPr="00EB2E7B" w14:paraId="175166DF"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246F3C0C"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p>
        </w:tc>
        <w:tc>
          <w:tcPr>
            <w:tcW w:w="3997" w:type="dxa"/>
            <w:tcBorders>
              <w:top w:val="single" w:sz="4" w:space="0" w:color="000000"/>
              <w:left w:val="single" w:sz="4" w:space="0" w:color="000000"/>
              <w:bottom w:val="single" w:sz="4" w:space="0" w:color="000000"/>
              <w:right w:val="single" w:sz="4" w:space="0" w:color="000000"/>
            </w:tcBorders>
            <w:vAlign w:val="center"/>
          </w:tcPr>
          <w:p w14:paraId="5A5F5BC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1,71</w:t>
            </w:r>
          </w:p>
        </w:tc>
      </w:tr>
      <w:tr w:rsidR="00CD7B36" w:rsidRPr="00EB2E7B" w14:paraId="39378401"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28E4309C"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7</w:t>
            </w:r>
          </w:p>
        </w:tc>
        <w:tc>
          <w:tcPr>
            <w:tcW w:w="3997" w:type="dxa"/>
            <w:tcBorders>
              <w:top w:val="single" w:sz="4" w:space="0" w:color="000000"/>
              <w:left w:val="single" w:sz="4" w:space="0" w:color="000000"/>
              <w:bottom w:val="single" w:sz="4" w:space="0" w:color="000000"/>
              <w:right w:val="single" w:sz="4" w:space="0" w:color="000000"/>
            </w:tcBorders>
            <w:vAlign w:val="center"/>
          </w:tcPr>
          <w:p w14:paraId="5529A1F8"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1,155</w:t>
            </w:r>
          </w:p>
        </w:tc>
      </w:tr>
      <w:tr w:rsidR="00CD7B36" w:rsidRPr="00EB2E7B" w14:paraId="51335095"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21CFFD32"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9</w:t>
            </w:r>
          </w:p>
        </w:tc>
        <w:tc>
          <w:tcPr>
            <w:tcW w:w="3997" w:type="dxa"/>
            <w:tcBorders>
              <w:top w:val="single" w:sz="4" w:space="0" w:color="000000"/>
              <w:left w:val="single" w:sz="4" w:space="0" w:color="000000"/>
              <w:bottom w:val="single" w:sz="4" w:space="0" w:color="000000"/>
              <w:right w:val="single" w:sz="4" w:space="0" w:color="000000"/>
            </w:tcBorders>
            <w:vAlign w:val="center"/>
          </w:tcPr>
          <w:p w14:paraId="4331310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0,6</w:t>
            </w:r>
          </w:p>
        </w:tc>
      </w:tr>
      <w:tr w:rsidR="00CD7B36" w:rsidRPr="00EB2E7B" w14:paraId="017E95EC" w14:textId="77777777">
        <w:trPr>
          <w:trHeight w:val="288"/>
        </w:trPr>
        <w:tc>
          <w:tcPr>
            <w:tcW w:w="3997" w:type="dxa"/>
            <w:tcBorders>
              <w:top w:val="single" w:sz="4" w:space="0" w:color="000000"/>
              <w:left w:val="single" w:sz="4" w:space="0" w:color="000000"/>
              <w:bottom w:val="single" w:sz="4" w:space="0" w:color="000000"/>
              <w:right w:val="single" w:sz="4" w:space="0" w:color="000000"/>
            </w:tcBorders>
            <w:vAlign w:val="center"/>
          </w:tcPr>
          <w:p w14:paraId="38A738F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w:t>
            </w:r>
          </w:p>
        </w:tc>
        <w:tc>
          <w:tcPr>
            <w:tcW w:w="3997" w:type="dxa"/>
            <w:tcBorders>
              <w:top w:val="single" w:sz="4" w:space="0" w:color="000000"/>
              <w:left w:val="single" w:sz="4" w:space="0" w:color="000000"/>
              <w:bottom w:val="single" w:sz="4" w:space="0" w:color="000000"/>
              <w:right w:val="single" w:sz="4" w:space="0" w:color="000000"/>
            </w:tcBorders>
            <w:vAlign w:val="center"/>
          </w:tcPr>
          <w:p w14:paraId="02408D6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0,495</w:t>
            </w:r>
          </w:p>
        </w:tc>
      </w:tr>
      <w:tr w:rsidR="00CD7B36" w:rsidRPr="00EB2E7B" w14:paraId="48F12FB2"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704A33DC"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13</w:t>
            </w:r>
          </w:p>
        </w:tc>
        <w:tc>
          <w:tcPr>
            <w:tcW w:w="3997" w:type="dxa"/>
            <w:tcBorders>
              <w:top w:val="single" w:sz="4" w:space="0" w:color="000000"/>
              <w:left w:val="single" w:sz="4" w:space="0" w:color="000000"/>
              <w:bottom w:val="single" w:sz="4" w:space="0" w:color="000000"/>
              <w:right w:val="single" w:sz="4" w:space="0" w:color="000000"/>
            </w:tcBorders>
            <w:vAlign w:val="center"/>
          </w:tcPr>
          <w:p w14:paraId="69B46770"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0,315</w:t>
            </w:r>
          </w:p>
        </w:tc>
      </w:tr>
      <w:tr w:rsidR="00CD7B36" w:rsidRPr="00EB2E7B" w14:paraId="6FA7D3B2" w14:textId="77777777">
        <w:trPr>
          <w:trHeight w:val="586"/>
        </w:trPr>
        <w:tc>
          <w:tcPr>
            <w:tcW w:w="3997" w:type="dxa"/>
            <w:tcBorders>
              <w:top w:val="single" w:sz="4" w:space="0" w:color="000000"/>
              <w:left w:val="single" w:sz="4" w:space="0" w:color="000000"/>
              <w:bottom w:val="single" w:sz="4" w:space="0" w:color="000000"/>
              <w:right w:val="single" w:sz="4" w:space="0" w:color="000000"/>
            </w:tcBorders>
            <w:vAlign w:val="center"/>
          </w:tcPr>
          <w:p w14:paraId="67BF8ABD" w14:textId="77777777" w:rsidR="00CD7B36" w:rsidRPr="00EB2E7B" w:rsidRDefault="00CD7B36">
            <w:pPr>
              <w:spacing w:after="0" w:line="266" w:lineRule="auto"/>
              <w:ind w:left="0" w:firstLine="0"/>
              <w:jc w:val="center"/>
              <w:rPr>
                <w:rFonts w:asciiTheme="minorHAnsi" w:hAnsiTheme="minorHAnsi" w:cstheme="minorHAnsi"/>
                <w:sz w:val="20"/>
                <w:szCs w:val="20"/>
              </w:rPr>
            </w:pPr>
            <m:oMathPara>
              <m:oMath>
                <m:r>
                  <w:rPr>
                    <w:rFonts w:ascii="Cambria Math" w:hAnsi="Cambria Math" w:cstheme="minorHAnsi"/>
                    <w:sz w:val="20"/>
                    <w:szCs w:val="20"/>
                  </w:rPr>
                  <m:t>15≤n≤39</m:t>
                </m:r>
              </m:oMath>
            </m:oMathPara>
          </w:p>
        </w:tc>
        <w:tc>
          <w:tcPr>
            <w:tcW w:w="3997" w:type="dxa"/>
            <w:tcBorders>
              <w:top w:val="single" w:sz="4" w:space="0" w:color="000000"/>
              <w:left w:val="single" w:sz="4" w:space="0" w:color="000000"/>
              <w:bottom w:val="single" w:sz="4" w:space="0" w:color="000000"/>
              <w:right w:val="single" w:sz="4" w:space="0" w:color="000000"/>
            </w:tcBorders>
            <w:vAlign w:val="center"/>
          </w:tcPr>
          <w:p w14:paraId="3A3A7503" w14:textId="4B2B1B4E" w:rsidR="00CD7B36" w:rsidRPr="00EB2E7B" w:rsidRDefault="005E66A8">
            <w:pPr>
              <w:spacing w:after="0" w:line="266" w:lineRule="auto"/>
              <w:ind w:left="0" w:firstLine="0"/>
              <w:jc w:val="center"/>
              <w:rPr>
                <w:rFonts w:asciiTheme="minorHAnsi" w:hAnsiTheme="minorHAnsi" w:cstheme="minorHAnsi"/>
                <w:sz w:val="20"/>
                <w:szCs w:val="20"/>
              </w:rPr>
            </w:pPr>
            <m:oMathPara>
              <m:oMath>
                <m:r>
                  <w:rPr>
                    <w:rFonts w:ascii="Cambria Math" w:hAnsi="Cambria Math" w:cstheme="minorHAnsi"/>
                    <w:sz w:val="20"/>
                    <w:szCs w:val="20"/>
                  </w:rPr>
                  <m:t>0,225</m:t>
                </m:r>
                <m:f>
                  <m:fPr>
                    <m:ctrlPr>
                      <w:rPr>
                        <w:rFonts w:ascii="Cambria Math" w:hAnsi="Cambria Math" w:cstheme="minorHAnsi"/>
                        <w:i/>
                        <w:sz w:val="20"/>
                        <w:szCs w:val="20"/>
                      </w:rPr>
                    </m:ctrlPr>
                  </m:fPr>
                  <m:num>
                    <m:r>
                      <w:rPr>
                        <w:rFonts w:ascii="Cambria Math" w:hAnsi="Cambria Math" w:cstheme="minorHAnsi"/>
                        <w:sz w:val="20"/>
                        <w:szCs w:val="20"/>
                      </w:rPr>
                      <m:t>15</m:t>
                    </m:r>
                  </m:num>
                  <m:den>
                    <m:r>
                      <w:rPr>
                        <w:rFonts w:ascii="Cambria Math" w:hAnsi="Cambria Math" w:cstheme="minorHAnsi"/>
                        <w:sz w:val="20"/>
                        <w:szCs w:val="20"/>
                      </w:rPr>
                      <m:t>n</m:t>
                    </m:r>
                  </m:den>
                </m:f>
              </m:oMath>
            </m:oMathPara>
          </w:p>
        </w:tc>
      </w:tr>
      <w:tr w:rsidR="00CD7B36" w:rsidRPr="00EB2E7B" w14:paraId="595DCC65" w14:textId="77777777">
        <w:trPr>
          <w:trHeight w:val="286"/>
        </w:trPr>
        <w:tc>
          <w:tcPr>
            <w:tcW w:w="7994" w:type="dxa"/>
            <w:gridSpan w:val="2"/>
            <w:tcBorders>
              <w:top w:val="single" w:sz="4" w:space="0" w:color="000000"/>
              <w:left w:val="single" w:sz="4" w:space="0" w:color="000000"/>
              <w:bottom w:val="single" w:sz="4" w:space="0" w:color="000000"/>
              <w:right w:val="single" w:sz="4" w:space="0" w:color="000000"/>
            </w:tcBorders>
            <w:vAlign w:val="center"/>
          </w:tcPr>
          <w:p w14:paraId="14714B2D"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Harmoniczne parzyste</w:t>
            </w:r>
          </w:p>
        </w:tc>
      </w:tr>
      <w:tr w:rsidR="00CD7B36" w:rsidRPr="00EB2E7B" w14:paraId="26C2D26B"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7E7730B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tc>
        <w:tc>
          <w:tcPr>
            <w:tcW w:w="3997" w:type="dxa"/>
            <w:tcBorders>
              <w:top w:val="single" w:sz="4" w:space="0" w:color="000000"/>
              <w:left w:val="single" w:sz="4" w:space="0" w:color="000000"/>
              <w:bottom w:val="single" w:sz="4" w:space="0" w:color="000000"/>
              <w:right w:val="single" w:sz="4" w:space="0" w:color="000000"/>
            </w:tcBorders>
            <w:vAlign w:val="center"/>
          </w:tcPr>
          <w:p w14:paraId="3D95614E"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1,62</w:t>
            </w:r>
          </w:p>
        </w:tc>
      </w:tr>
      <w:tr w:rsidR="00CD7B36" w:rsidRPr="00EB2E7B" w14:paraId="786445E4"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1B0F07A0"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4</w:t>
            </w:r>
          </w:p>
        </w:tc>
        <w:tc>
          <w:tcPr>
            <w:tcW w:w="3997" w:type="dxa"/>
            <w:tcBorders>
              <w:top w:val="single" w:sz="4" w:space="0" w:color="000000"/>
              <w:left w:val="single" w:sz="4" w:space="0" w:color="000000"/>
              <w:bottom w:val="single" w:sz="4" w:space="0" w:color="000000"/>
              <w:right w:val="single" w:sz="4" w:space="0" w:color="000000"/>
            </w:tcBorders>
            <w:vAlign w:val="center"/>
          </w:tcPr>
          <w:p w14:paraId="2AA433C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0,645</w:t>
            </w:r>
          </w:p>
        </w:tc>
      </w:tr>
      <w:tr w:rsidR="00CD7B36" w:rsidRPr="00EB2E7B" w14:paraId="2B3982AE" w14:textId="77777777">
        <w:trPr>
          <w:trHeight w:val="288"/>
        </w:trPr>
        <w:tc>
          <w:tcPr>
            <w:tcW w:w="3997" w:type="dxa"/>
            <w:tcBorders>
              <w:top w:val="single" w:sz="4" w:space="0" w:color="000000"/>
              <w:left w:val="single" w:sz="4" w:space="0" w:color="000000"/>
              <w:bottom w:val="single" w:sz="4" w:space="0" w:color="000000"/>
              <w:right w:val="single" w:sz="4" w:space="0" w:color="000000"/>
            </w:tcBorders>
            <w:vAlign w:val="center"/>
          </w:tcPr>
          <w:p w14:paraId="39DA36C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6</w:t>
            </w:r>
          </w:p>
        </w:tc>
        <w:tc>
          <w:tcPr>
            <w:tcW w:w="3997" w:type="dxa"/>
            <w:tcBorders>
              <w:top w:val="single" w:sz="4" w:space="0" w:color="000000"/>
              <w:left w:val="single" w:sz="4" w:space="0" w:color="000000"/>
              <w:bottom w:val="single" w:sz="4" w:space="0" w:color="000000"/>
              <w:right w:val="single" w:sz="4" w:space="0" w:color="000000"/>
            </w:tcBorders>
            <w:vAlign w:val="center"/>
          </w:tcPr>
          <w:p w14:paraId="037499B6"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0,45</w:t>
            </w:r>
          </w:p>
        </w:tc>
      </w:tr>
      <w:tr w:rsidR="00CD7B36" w:rsidRPr="00EB2E7B" w14:paraId="4095F454" w14:textId="77777777">
        <w:trPr>
          <w:trHeight w:val="586"/>
        </w:trPr>
        <w:tc>
          <w:tcPr>
            <w:tcW w:w="3997" w:type="dxa"/>
            <w:tcBorders>
              <w:top w:val="single" w:sz="4" w:space="0" w:color="000000"/>
              <w:left w:val="single" w:sz="4" w:space="0" w:color="000000"/>
              <w:bottom w:val="single" w:sz="4" w:space="0" w:color="000000"/>
              <w:right w:val="single" w:sz="4" w:space="0" w:color="000000"/>
            </w:tcBorders>
            <w:vAlign w:val="center"/>
          </w:tcPr>
          <w:p w14:paraId="58572374" w14:textId="77777777" w:rsidR="00CD7B36" w:rsidRPr="00EB2E7B" w:rsidRDefault="00CD7B36">
            <w:pPr>
              <w:spacing w:after="0" w:line="266" w:lineRule="auto"/>
              <w:ind w:left="0" w:firstLine="0"/>
              <w:jc w:val="center"/>
              <w:rPr>
                <w:rFonts w:asciiTheme="minorHAnsi" w:hAnsiTheme="minorHAnsi" w:cstheme="minorHAnsi"/>
                <w:sz w:val="20"/>
                <w:szCs w:val="20"/>
              </w:rPr>
            </w:pPr>
            <m:oMathPara>
              <m:oMath>
                <m:r>
                  <w:rPr>
                    <w:rFonts w:ascii="Cambria Math" w:hAnsi="Cambria Math" w:cstheme="minorHAnsi"/>
                    <w:sz w:val="20"/>
                    <w:szCs w:val="20"/>
                  </w:rPr>
                  <m:t>8≤n≤40</m:t>
                </m:r>
              </m:oMath>
            </m:oMathPara>
          </w:p>
        </w:tc>
        <w:tc>
          <w:tcPr>
            <w:tcW w:w="3997" w:type="dxa"/>
            <w:tcBorders>
              <w:top w:val="single" w:sz="4" w:space="0" w:color="000000"/>
              <w:left w:val="single" w:sz="4" w:space="0" w:color="000000"/>
              <w:bottom w:val="single" w:sz="4" w:space="0" w:color="000000"/>
              <w:right w:val="single" w:sz="4" w:space="0" w:color="000000"/>
            </w:tcBorders>
            <w:vAlign w:val="center"/>
          </w:tcPr>
          <w:p w14:paraId="21F7F59B" w14:textId="1F445452" w:rsidR="00CD7B36" w:rsidRPr="00EB2E7B" w:rsidRDefault="005E66A8">
            <w:pPr>
              <w:spacing w:after="0" w:line="266" w:lineRule="auto"/>
              <w:ind w:left="0" w:firstLine="0"/>
              <w:jc w:val="center"/>
              <w:rPr>
                <w:rFonts w:asciiTheme="minorHAnsi" w:hAnsiTheme="minorHAnsi" w:cstheme="minorHAnsi"/>
                <w:sz w:val="20"/>
                <w:szCs w:val="20"/>
              </w:rPr>
            </w:pPr>
            <m:oMathPara>
              <m:oMath>
                <m:r>
                  <w:rPr>
                    <w:rFonts w:ascii="Cambria Math" w:hAnsi="Cambria Math" w:cstheme="minorHAnsi"/>
                    <w:sz w:val="20"/>
                    <w:szCs w:val="20"/>
                  </w:rPr>
                  <m:t>0,345</m:t>
                </m:r>
                <m:f>
                  <m:fPr>
                    <m:ctrlPr>
                      <w:rPr>
                        <w:rFonts w:ascii="Cambria Math" w:hAnsi="Cambria Math" w:cstheme="minorHAnsi"/>
                        <w:i/>
                        <w:sz w:val="20"/>
                        <w:szCs w:val="20"/>
                      </w:rPr>
                    </m:ctrlPr>
                  </m:fPr>
                  <m:num>
                    <m:r>
                      <w:rPr>
                        <w:rFonts w:ascii="Cambria Math" w:hAnsi="Cambria Math" w:cstheme="minorHAnsi"/>
                        <w:sz w:val="20"/>
                        <w:szCs w:val="20"/>
                      </w:rPr>
                      <m:t>8</m:t>
                    </m:r>
                  </m:num>
                  <m:den>
                    <m:r>
                      <w:rPr>
                        <w:rFonts w:ascii="Cambria Math" w:hAnsi="Cambria Math" w:cstheme="minorHAnsi"/>
                        <w:sz w:val="20"/>
                        <w:szCs w:val="20"/>
                      </w:rPr>
                      <m:t>n</m:t>
                    </m:r>
                  </m:den>
                </m:f>
              </m:oMath>
            </m:oMathPara>
          </w:p>
        </w:tc>
      </w:tr>
    </w:tbl>
    <w:p w14:paraId="53CB1D1F" w14:textId="77777777" w:rsidR="00CD7B36" w:rsidRPr="00EB2E7B" w:rsidRDefault="00CD7B36" w:rsidP="00CD7B36">
      <w:pPr>
        <w:ind w:left="70" w:firstLine="0"/>
        <w:rPr>
          <w:rFonts w:asciiTheme="minorHAnsi" w:hAnsiTheme="minorHAnsi" w:cstheme="minorHAnsi"/>
          <w:sz w:val="20"/>
          <w:szCs w:val="20"/>
        </w:rPr>
      </w:pPr>
    </w:p>
    <w:p w14:paraId="3229099A" w14:textId="77777777" w:rsidR="00CD7B36" w:rsidRPr="00EB2E7B" w:rsidRDefault="00CD7B36" w:rsidP="00CD7B36">
      <w:pPr>
        <w:ind w:left="70" w:firstLine="0"/>
        <w:rPr>
          <w:rFonts w:asciiTheme="minorHAnsi" w:hAnsiTheme="minorHAnsi" w:cstheme="minorHAnsi"/>
          <w:i/>
          <w:iCs/>
          <w:sz w:val="20"/>
          <w:szCs w:val="20"/>
        </w:rPr>
      </w:pPr>
      <w:r w:rsidRPr="00EB2E7B">
        <w:rPr>
          <w:rFonts w:asciiTheme="minorHAnsi" w:hAnsiTheme="minorHAnsi" w:cstheme="minorHAnsi"/>
          <w:i/>
          <w:iCs/>
          <w:sz w:val="20"/>
          <w:szCs w:val="20"/>
        </w:rPr>
        <w:t xml:space="preserve">Tablica 3. Dopuszczalne poziomy dla odbiorników klasy C. </w:t>
      </w:r>
    </w:p>
    <w:tbl>
      <w:tblPr>
        <w:tblStyle w:val="Tabela-Siatka1"/>
        <w:tblW w:w="7994" w:type="dxa"/>
        <w:tblInd w:w="1354" w:type="dxa"/>
        <w:tblCellMar>
          <w:top w:w="9" w:type="dxa"/>
          <w:left w:w="108" w:type="dxa"/>
          <w:right w:w="115" w:type="dxa"/>
        </w:tblCellMar>
        <w:tblLook w:val="04A0" w:firstRow="1" w:lastRow="0" w:firstColumn="1" w:lastColumn="0" w:noHBand="0" w:noVBand="1"/>
      </w:tblPr>
      <w:tblGrid>
        <w:gridCol w:w="3997"/>
        <w:gridCol w:w="3997"/>
      </w:tblGrid>
      <w:tr w:rsidR="00CD7B36" w:rsidRPr="00EB2E7B" w14:paraId="06B2F83E" w14:textId="77777777">
        <w:trPr>
          <w:trHeight w:val="1133"/>
        </w:trPr>
        <w:tc>
          <w:tcPr>
            <w:tcW w:w="3997" w:type="dxa"/>
            <w:tcBorders>
              <w:top w:val="single" w:sz="12" w:space="0" w:color="000000"/>
              <w:left w:val="single" w:sz="12" w:space="0" w:color="000000"/>
              <w:bottom w:val="single" w:sz="12" w:space="0" w:color="000000"/>
              <w:right w:val="single" w:sz="12" w:space="0" w:color="000000"/>
            </w:tcBorders>
            <w:vAlign w:val="center"/>
          </w:tcPr>
          <w:p w14:paraId="6B621C87" w14:textId="77777777" w:rsidR="00CD7B36" w:rsidRPr="00EB2E7B" w:rsidRDefault="00CD7B36">
            <w:pPr>
              <w:spacing w:after="0" w:line="266" w:lineRule="auto"/>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Rząd harmonicznej [n]</w:t>
            </w:r>
          </w:p>
        </w:tc>
        <w:tc>
          <w:tcPr>
            <w:tcW w:w="3997" w:type="dxa"/>
            <w:tcBorders>
              <w:top w:val="single" w:sz="12" w:space="0" w:color="000000"/>
              <w:left w:val="single" w:sz="12" w:space="0" w:color="000000"/>
              <w:bottom w:val="single" w:sz="12" w:space="0" w:color="000000"/>
              <w:right w:val="single" w:sz="12" w:space="0" w:color="000000"/>
            </w:tcBorders>
            <w:vAlign w:val="center"/>
          </w:tcPr>
          <w:p w14:paraId="2DED611A" w14:textId="77777777" w:rsidR="00CD7B36" w:rsidRPr="00EB2E7B" w:rsidRDefault="00CD7B36">
            <w:pPr>
              <w:spacing w:after="0" w:line="266" w:lineRule="auto"/>
              <w:ind w:left="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Maksymalny dopuszczalny prąd harmonicznej, wyrażony w % harmonicznej podstawowej prądu wejściowego [%]</w:t>
            </w:r>
          </w:p>
        </w:tc>
      </w:tr>
      <w:tr w:rsidR="00CD7B36" w:rsidRPr="00EB2E7B" w14:paraId="76D74613" w14:textId="77777777">
        <w:trPr>
          <w:trHeight w:val="298"/>
        </w:trPr>
        <w:tc>
          <w:tcPr>
            <w:tcW w:w="3997" w:type="dxa"/>
            <w:tcBorders>
              <w:top w:val="single" w:sz="12" w:space="0" w:color="000000"/>
              <w:left w:val="single" w:sz="4" w:space="0" w:color="000000"/>
              <w:bottom w:val="single" w:sz="4" w:space="0" w:color="000000"/>
              <w:right w:val="single" w:sz="4" w:space="0" w:color="000000"/>
            </w:tcBorders>
            <w:vAlign w:val="center"/>
          </w:tcPr>
          <w:p w14:paraId="1AEA152D"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tc>
        <w:tc>
          <w:tcPr>
            <w:tcW w:w="3997" w:type="dxa"/>
            <w:tcBorders>
              <w:top w:val="single" w:sz="12" w:space="0" w:color="000000"/>
              <w:left w:val="single" w:sz="4" w:space="0" w:color="000000"/>
              <w:bottom w:val="single" w:sz="4" w:space="0" w:color="000000"/>
              <w:right w:val="single" w:sz="4" w:space="0" w:color="000000"/>
            </w:tcBorders>
            <w:vAlign w:val="center"/>
          </w:tcPr>
          <w:p w14:paraId="213B311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tc>
      </w:tr>
      <w:tr w:rsidR="00CD7B36" w:rsidRPr="00EB2E7B" w14:paraId="07D852E9"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3BA8375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lastRenderedPageBreak/>
              <w:t>3</w:t>
            </w:r>
          </w:p>
        </w:tc>
        <w:tc>
          <w:tcPr>
            <w:tcW w:w="3997" w:type="dxa"/>
            <w:tcBorders>
              <w:top w:val="single" w:sz="4" w:space="0" w:color="000000"/>
              <w:left w:val="single" w:sz="4" w:space="0" w:color="000000"/>
              <w:bottom w:val="single" w:sz="4" w:space="0" w:color="000000"/>
              <w:right w:val="single" w:sz="4" w:space="0" w:color="000000"/>
            </w:tcBorders>
            <w:vAlign w:val="center"/>
          </w:tcPr>
          <w:p w14:paraId="3F6103B7"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30λ*</w:t>
            </w:r>
          </w:p>
        </w:tc>
      </w:tr>
      <w:tr w:rsidR="00CD7B36" w:rsidRPr="00EB2E7B" w14:paraId="7E759204"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10F1567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p>
        </w:tc>
        <w:tc>
          <w:tcPr>
            <w:tcW w:w="3997" w:type="dxa"/>
            <w:tcBorders>
              <w:top w:val="single" w:sz="4" w:space="0" w:color="000000"/>
              <w:left w:val="single" w:sz="4" w:space="0" w:color="000000"/>
              <w:bottom w:val="single" w:sz="4" w:space="0" w:color="000000"/>
              <w:right w:val="single" w:sz="4" w:space="0" w:color="000000"/>
            </w:tcBorders>
            <w:vAlign w:val="center"/>
          </w:tcPr>
          <w:p w14:paraId="158DDD75"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10</w:t>
            </w:r>
          </w:p>
        </w:tc>
      </w:tr>
      <w:tr w:rsidR="00CD7B36" w:rsidRPr="00EB2E7B" w14:paraId="3B1C6FDC"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7F6F8C5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7</w:t>
            </w:r>
          </w:p>
        </w:tc>
        <w:tc>
          <w:tcPr>
            <w:tcW w:w="3997" w:type="dxa"/>
            <w:tcBorders>
              <w:top w:val="single" w:sz="4" w:space="0" w:color="000000"/>
              <w:left w:val="single" w:sz="4" w:space="0" w:color="000000"/>
              <w:bottom w:val="single" w:sz="4" w:space="0" w:color="000000"/>
              <w:right w:val="single" w:sz="4" w:space="0" w:color="000000"/>
            </w:tcBorders>
            <w:vAlign w:val="center"/>
          </w:tcPr>
          <w:p w14:paraId="75683DEC"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7</w:t>
            </w:r>
          </w:p>
        </w:tc>
      </w:tr>
      <w:tr w:rsidR="00CD7B36" w:rsidRPr="00EB2E7B" w14:paraId="356D49BA" w14:textId="77777777">
        <w:trPr>
          <w:trHeight w:val="286"/>
        </w:trPr>
        <w:tc>
          <w:tcPr>
            <w:tcW w:w="3997" w:type="dxa"/>
            <w:tcBorders>
              <w:top w:val="single" w:sz="4" w:space="0" w:color="000000"/>
              <w:left w:val="single" w:sz="4" w:space="0" w:color="000000"/>
              <w:bottom w:val="single" w:sz="4" w:space="0" w:color="000000"/>
              <w:right w:val="single" w:sz="4" w:space="0" w:color="000000"/>
            </w:tcBorders>
            <w:vAlign w:val="center"/>
          </w:tcPr>
          <w:p w14:paraId="4CFC1EC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9</w:t>
            </w:r>
          </w:p>
        </w:tc>
        <w:tc>
          <w:tcPr>
            <w:tcW w:w="3997" w:type="dxa"/>
            <w:tcBorders>
              <w:top w:val="single" w:sz="4" w:space="0" w:color="000000"/>
              <w:left w:val="single" w:sz="4" w:space="0" w:color="000000"/>
              <w:bottom w:val="single" w:sz="4" w:space="0" w:color="000000"/>
              <w:right w:val="single" w:sz="4" w:space="0" w:color="000000"/>
            </w:tcBorders>
            <w:vAlign w:val="center"/>
          </w:tcPr>
          <w:p w14:paraId="7F3528D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p>
        </w:tc>
      </w:tr>
      <w:tr w:rsidR="00CD7B36" w:rsidRPr="00EB2E7B" w14:paraId="18705323" w14:textId="77777777">
        <w:trPr>
          <w:trHeight w:val="564"/>
        </w:trPr>
        <w:tc>
          <w:tcPr>
            <w:tcW w:w="3997" w:type="dxa"/>
            <w:tcBorders>
              <w:top w:val="single" w:sz="4" w:space="0" w:color="000000"/>
              <w:left w:val="single" w:sz="4" w:space="0" w:color="000000"/>
              <w:bottom w:val="single" w:sz="4" w:space="0" w:color="000000"/>
              <w:right w:val="single" w:sz="4" w:space="0" w:color="000000"/>
            </w:tcBorders>
            <w:vAlign w:val="center"/>
          </w:tcPr>
          <w:p w14:paraId="3CB23B4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 ≤ n ≤ 39</w:t>
            </w:r>
          </w:p>
          <w:p w14:paraId="1C985940"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(tylko harmoniczne nieparzyste)</w:t>
            </w:r>
          </w:p>
        </w:tc>
        <w:tc>
          <w:tcPr>
            <w:tcW w:w="3997" w:type="dxa"/>
            <w:tcBorders>
              <w:top w:val="single" w:sz="4" w:space="0" w:color="000000"/>
              <w:left w:val="single" w:sz="4" w:space="0" w:color="000000"/>
              <w:bottom w:val="single" w:sz="4" w:space="0" w:color="000000"/>
              <w:right w:val="single" w:sz="4" w:space="0" w:color="000000"/>
            </w:tcBorders>
            <w:vAlign w:val="center"/>
          </w:tcPr>
          <w:p w14:paraId="1BA4B2E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w:t>
            </w:r>
          </w:p>
        </w:tc>
      </w:tr>
      <w:tr w:rsidR="00CD7B36" w:rsidRPr="00EB2E7B" w14:paraId="27CBDE25" w14:textId="77777777">
        <w:trPr>
          <w:trHeight w:val="286"/>
        </w:trPr>
        <w:tc>
          <w:tcPr>
            <w:tcW w:w="7994" w:type="dxa"/>
            <w:gridSpan w:val="2"/>
            <w:tcBorders>
              <w:top w:val="single" w:sz="4" w:space="0" w:color="000000"/>
              <w:left w:val="single" w:sz="4" w:space="0" w:color="000000"/>
              <w:bottom w:val="single" w:sz="4" w:space="0" w:color="000000"/>
              <w:right w:val="single" w:sz="4" w:space="0" w:color="000000"/>
            </w:tcBorders>
            <w:vAlign w:val="center"/>
          </w:tcPr>
          <w:p w14:paraId="28322BED"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*λ – współczynnik mocy obwodu</w:t>
            </w:r>
          </w:p>
        </w:tc>
      </w:tr>
    </w:tbl>
    <w:p w14:paraId="1C678D58" w14:textId="77777777" w:rsidR="00045CFE" w:rsidRPr="00EB2E7B" w:rsidRDefault="00045CFE" w:rsidP="00CD7B36">
      <w:pPr>
        <w:ind w:left="70" w:firstLine="0"/>
        <w:rPr>
          <w:rFonts w:asciiTheme="minorHAnsi" w:hAnsiTheme="minorHAnsi" w:cstheme="minorHAnsi"/>
          <w:i/>
          <w:iCs/>
          <w:sz w:val="20"/>
          <w:szCs w:val="20"/>
        </w:rPr>
      </w:pPr>
    </w:p>
    <w:p w14:paraId="5315EA03" w14:textId="009983F2" w:rsidR="00CD7B36" w:rsidRPr="00EB2E7B" w:rsidRDefault="00CD7B36" w:rsidP="00CD7B36">
      <w:pPr>
        <w:ind w:left="70" w:firstLine="0"/>
        <w:rPr>
          <w:rFonts w:asciiTheme="minorHAnsi" w:hAnsiTheme="minorHAnsi" w:cstheme="minorHAnsi"/>
          <w:i/>
          <w:iCs/>
          <w:sz w:val="20"/>
          <w:szCs w:val="20"/>
        </w:rPr>
      </w:pPr>
      <w:r w:rsidRPr="00EB2E7B">
        <w:rPr>
          <w:rFonts w:asciiTheme="minorHAnsi" w:hAnsiTheme="minorHAnsi" w:cstheme="minorHAnsi"/>
          <w:i/>
          <w:iCs/>
          <w:sz w:val="20"/>
          <w:szCs w:val="20"/>
        </w:rPr>
        <w:t xml:space="preserve">Tablica 4. Dopuszczalne poziomy dla odbiorników klasy D. </w:t>
      </w:r>
    </w:p>
    <w:tbl>
      <w:tblPr>
        <w:tblStyle w:val="Tabela-Siatka1"/>
        <w:tblW w:w="7996" w:type="dxa"/>
        <w:tblInd w:w="1361" w:type="dxa"/>
        <w:tblCellMar>
          <w:top w:w="9" w:type="dxa"/>
          <w:left w:w="115" w:type="dxa"/>
          <w:right w:w="82" w:type="dxa"/>
        </w:tblCellMar>
        <w:tblLook w:val="04A0" w:firstRow="1" w:lastRow="0" w:firstColumn="1" w:lastColumn="0" w:noHBand="0" w:noVBand="1"/>
      </w:tblPr>
      <w:tblGrid>
        <w:gridCol w:w="2326"/>
        <w:gridCol w:w="3260"/>
        <w:gridCol w:w="2410"/>
      </w:tblGrid>
      <w:tr w:rsidR="00CD7B36" w:rsidRPr="00EB2E7B" w14:paraId="21E7F4A6" w14:textId="77777777">
        <w:trPr>
          <w:trHeight w:val="857"/>
        </w:trPr>
        <w:tc>
          <w:tcPr>
            <w:tcW w:w="2326" w:type="dxa"/>
            <w:tcBorders>
              <w:top w:val="single" w:sz="12" w:space="0" w:color="000000"/>
              <w:left w:val="single" w:sz="12" w:space="0" w:color="000000"/>
              <w:bottom w:val="single" w:sz="12" w:space="0" w:color="000000"/>
              <w:right w:val="single" w:sz="12" w:space="0" w:color="000000"/>
            </w:tcBorders>
            <w:vAlign w:val="center"/>
          </w:tcPr>
          <w:p w14:paraId="0ABF5441" w14:textId="77777777" w:rsidR="00CD7B36" w:rsidRPr="00EB2E7B" w:rsidRDefault="00CD7B36">
            <w:pPr>
              <w:ind w:left="7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Rząd harmonicznej [n]</w:t>
            </w:r>
          </w:p>
        </w:tc>
        <w:tc>
          <w:tcPr>
            <w:tcW w:w="3260" w:type="dxa"/>
            <w:tcBorders>
              <w:top w:val="single" w:sz="12" w:space="0" w:color="000000"/>
              <w:left w:val="single" w:sz="12" w:space="0" w:color="000000"/>
              <w:bottom w:val="single" w:sz="12" w:space="0" w:color="000000"/>
              <w:right w:val="single" w:sz="12" w:space="0" w:color="000000"/>
            </w:tcBorders>
            <w:vAlign w:val="center"/>
          </w:tcPr>
          <w:p w14:paraId="690FE8F3" w14:textId="15ADF499" w:rsidR="00CD7B36" w:rsidRPr="00EB2E7B" w:rsidRDefault="00CD7B36">
            <w:pPr>
              <w:ind w:left="7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Maksymalny dopuszczalny prąd harmonicznej, w przeliczeniu na Wat [</w:t>
            </w:r>
            <w:proofErr w:type="spellStart"/>
            <w:r w:rsidR="005A1893" w:rsidRPr="00EB2E7B">
              <w:rPr>
                <w:rFonts w:asciiTheme="minorHAnsi" w:hAnsiTheme="minorHAnsi" w:cstheme="minorHAnsi"/>
                <w:b/>
                <w:bCs/>
                <w:sz w:val="20"/>
                <w:szCs w:val="20"/>
              </w:rPr>
              <w:t>mA</w:t>
            </w:r>
            <w:proofErr w:type="spellEnd"/>
            <w:r w:rsidRPr="00EB2E7B">
              <w:rPr>
                <w:rFonts w:asciiTheme="minorHAnsi" w:hAnsiTheme="minorHAnsi" w:cstheme="minorHAnsi"/>
                <w:b/>
                <w:bCs/>
                <w:sz w:val="20"/>
                <w:szCs w:val="20"/>
              </w:rPr>
              <w:t>/W</w:t>
            </w:r>
          </w:p>
        </w:tc>
        <w:tc>
          <w:tcPr>
            <w:tcW w:w="2410" w:type="dxa"/>
            <w:tcBorders>
              <w:top w:val="single" w:sz="12" w:space="0" w:color="000000"/>
              <w:left w:val="single" w:sz="12" w:space="0" w:color="000000"/>
              <w:bottom w:val="single" w:sz="12" w:space="0" w:color="000000"/>
              <w:right w:val="single" w:sz="12" w:space="0" w:color="000000"/>
            </w:tcBorders>
            <w:vAlign w:val="center"/>
          </w:tcPr>
          <w:p w14:paraId="226899FB" w14:textId="77777777" w:rsidR="00CD7B36" w:rsidRPr="00EB2E7B" w:rsidRDefault="00CD7B36">
            <w:pPr>
              <w:ind w:left="7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Maksymalny dopuszczalny prąd harmonicznej [A]</w:t>
            </w:r>
          </w:p>
        </w:tc>
      </w:tr>
      <w:tr w:rsidR="00CD7B36" w:rsidRPr="00EB2E7B" w14:paraId="2B560E79" w14:textId="77777777">
        <w:trPr>
          <w:trHeight w:val="298"/>
        </w:trPr>
        <w:tc>
          <w:tcPr>
            <w:tcW w:w="2326" w:type="dxa"/>
            <w:tcBorders>
              <w:top w:val="single" w:sz="12" w:space="0" w:color="000000"/>
              <w:left w:val="single" w:sz="4" w:space="0" w:color="000000"/>
              <w:bottom w:val="single" w:sz="4" w:space="0" w:color="000000"/>
              <w:right w:val="single" w:sz="4" w:space="0" w:color="000000"/>
            </w:tcBorders>
            <w:vAlign w:val="center"/>
          </w:tcPr>
          <w:p w14:paraId="5AA13C3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w:t>
            </w:r>
          </w:p>
        </w:tc>
        <w:tc>
          <w:tcPr>
            <w:tcW w:w="3260" w:type="dxa"/>
            <w:tcBorders>
              <w:top w:val="single" w:sz="12" w:space="0" w:color="000000"/>
              <w:left w:val="single" w:sz="4" w:space="0" w:color="000000"/>
              <w:bottom w:val="single" w:sz="4" w:space="0" w:color="000000"/>
              <w:right w:val="single" w:sz="4" w:space="0" w:color="000000"/>
            </w:tcBorders>
            <w:vAlign w:val="center"/>
          </w:tcPr>
          <w:p w14:paraId="768F5DB2"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3,4</w:t>
            </w:r>
          </w:p>
        </w:tc>
        <w:tc>
          <w:tcPr>
            <w:tcW w:w="2410" w:type="dxa"/>
            <w:tcBorders>
              <w:top w:val="single" w:sz="12" w:space="0" w:color="000000"/>
              <w:left w:val="single" w:sz="4" w:space="0" w:color="000000"/>
              <w:bottom w:val="single" w:sz="4" w:space="0" w:color="000000"/>
              <w:right w:val="single" w:sz="4" w:space="0" w:color="000000"/>
            </w:tcBorders>
            <w:vAlign w:val="center"/>
          </w:tcPr>
          <w:p w14:paraId="750A687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2,3</w:t>
            </w:r>
          </w:p>
        </w:tc>
      </w:tr>
      <w:tr w:rsidR="00CD7B36" w:rsidRPr="00EB2E7B" w14:paraId="4549A37A" w14:textId="77777777">
        <w:trPr>
          <w:trHeight w:val="286"/>
        </w:trPr>
        <w:tc>
          <w:tcPr>
            <w:tcW w:w="2326" w:type="dxa"/>
            <w:tcBorders>
              <w:top w:val="single" w:sz="4" w:space="0" w:color="000000"/>
              <w:left w:val="single" w:sz="4" w:space="0" w:color="000000"/>
              <w:bottom w:val="single" w:sz="4" w:space="0" w:color="000000"/>
              <w:right w:val="single" w:sz="4" w:space="0" w:color="000000"/>
            </w:tcBorders>
            <w:vAlign w:val="center"/>
          </w:tcPr>
          <w:p w14:paraId="1F75F3D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p>
        </w:tc>
        <w:tc>
          <w:tcPr>
            <w:tcW w:w="3260" w:type="dxa"/>
            <w:tcBorders>
              <w:top w:val="single" w:sz="4" w:space="0" w:color="000000"/>
              <w:left w:val="single" w:sz="4" w:space="0" w:color="000000"/>
              <w:bottom w:val="single" w:sz="4" w:space="0" w:color="000000"/>
              <w:right w:val="single" w:sz="4" w:space="0" w:color="000000"/>
            </w:tcBorders>
            <w:vAlign w:val="center"/>
          </w:tcPr>
          <w:p w14:paraId="0B17C48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1,9</w:t>
            </w:r>
          </w:p>
        </w:tc>
        <w:tc>
          <w:tcPr>
            <w:tcW w:w="2410" w:type="dxa"/>
            <w:tcBorders>
              <w:top w:val="single" w:sz="4" w:space="0" w:color="000000"/>
              <w:left w:val="single" w:sz="4" w:space="0" w:color="000000"/>
              <w:bottom w:val="single" w:sz="4" w:space="0" w:color="000000"/>
              <w:right w:val="single" w:sz="4" w:space="0" w:color="000000"/>
            </w:tcBorders>
            <w:vAlign w:val="center"/>
          </w:tcPr>
          <w:p w14:paraId="29DAADC8"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1,14</w:t>
            </w:r>
          </w:p>
        </w:tc>
      </w:tr>
      <w:tr w:rsidR="00CD7B36" w:rsidRPr="00EB2E7B" w14:paraId="279F65FA" w14:textId="77777777">
        <w:trPr>
          <w:trHeight w:val="286"/>
        </w:trPr>
        <w:tc>
          <w:tcPr>
            <w:tcW w:w="2326" w:type="dxa"/>
            <w:tcBorders>
              <w:top w:val="single" w:sz="4" w:space="0" w:color="000000"/>
              <w:left w:val="single" w:sz="4" w:space="0" w:color="000000"/>
              <w:bottom w:val="single" w:sz="4" w:space="0" w:color="000000"/>
              <w:right w:val="single" w:sz="4" w:space="0" w:color="000000"/>
            </w:tcBorders>
            <w:vAlign w:val="center"/>
          </w:tcPr>
          <w:p w14:paraId="351166A6"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7</w:t>
            </w:r>
          </w:p>
        </w:tc>
        <w:tc>
          <w:tcPr>
            <w:tcW w:w="3260" w:type="dxa"/>
            <w:tcBorders>
              <w:top w:val="single" w:sz="4" w:space="0" w:color="000000"/>
              <w:left w:val="single" w:sz="4" w:space="0" w:color="000000"/>
              <w:bottom w:val="single" w:sz="4" w:space="0" w:color="000000"/>
              <w:right w:val="single" w:sz="4" w:space="0" w:color="000000"/>
            </w:tcBorders>
            <w:vAlign w:val="center"/>
          </w:tcPr>
          <w:p w14:paraId="779BB44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1,0</w:t>
            </w:r>
          </w:p>
        </w:tc>
        <w:tc>
          <w:tcPr>
            <w:tcW w:w="2410" w:type="dxa"/>
            <w:tcBorders>
              <w:top w:val="single" w:sz="4" w:space="0" w:color="000000"/>
              <w:left w:val="single" w:sz="4" w:space="0" w:color="000000"/>
              <w:bottom w:val="single" w:sz="4" w:space="0" w:color="000000"/>
              <w:right w:val="single" w:sz="4" w:space="0" w:color="000000"/>
            </w:tcBorders>
            <w:vAlign w:val="center"/>
          </w:tcPr>
          <w:p w14:paraId="2B60476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0,77</w:t>
            </w:r>
          </w:p>
        </w:tc>
      </w:tr>
      <w:tr w:rsidR="00CD7B36" w:rsidRPr="00EB2E7B" w14:paraId="0206924D" w14:textId="77777777">
        <w:trPr>
          <w:trHeight w:val="286"/>
        </w:trPr>
        <w:tc>
          <w:tcPr>
            <w:tcW w:w="2326" w:type="dxa"/>
            <w:tcBorders>
              <w:top w:val="single" w:sz="4" w:space="0" w:color="000000"/>
              <w:left w:val="single" w:sz="4" w:space="0" w:color="000000"/>
              <w:bottom w:val="single" w:sz="4" w:space="0" w:color="000000"/>
              <w:right w:val="single" w:sz="4" w:space="0" w:color="000000"/>
            </w:tcBorders>
            <w:vAlign w:val="center"/>
          </w:tcPr>
          <w:p w14:paraId="2917E676"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9</w:t>
            </w:r>
          </w:p>
        </w:tc>
        <w:tc>
          <w:tcPr>
            <w:tcW w:w="3260" w:type="dxa"/>
            <w:tcBorders>
              <w:top w:val="single" w:sz="4" w:space="0" w:color="000000"/>
              <w:left w:val="single" w:sz="4" w:space="0" w:color="000000"/>
              <w:bottom w:val="single" w:sz="4" w:space="0" w:color="000000"/>
              <w:right w:val="single" w:sz="4" w:space="0" w:color="000000"/>
            </w:tcBorders>
            <w:vAlign w:val="center"/>
          </w:tcPr>
          <w:p w14:paraId="14F1110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0,5</w:t>
            </w:r>
          </w:p>
        </w:tc>
        <w:tc>
          <w:tcPr>
            <w:tcW w:w="2410" w:type="dxa"/>
            <w:tcBorders>
              <w:top w:val="single" w:sz="4" w:space="0" w:color="000000"/>
              <w:left w:val="single" w:sz="4" w:space="0" w:color="000000"/>
              <w:bottom w:val="single" w:sz="4" w:space="0" w:color="000000"/>
              <w:right w:val="single" w:sz="4" w:space="0" w:color="000000"/>
            </w:tcBorders>
            <w:vAlign w:val="center"/>
          </w:tcPr>
          <w:p w14:paraId="7F267940"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0,4</w:t>
            </w:r>
          </w:p>
        </w:tc>
      </w:tr>
      <w:tr w:rsidR="00CD7B36" w:rsidRPr="00EB2E7B" w14:paraId="1E700CAF" w14:textId="77777777">
        <w:trPr>
          <w:trHeight w:val="286"/>
        </w:trPr>
        <w:tc>
          <w:tcPr>
            <w:tcW w:w="2326" w:type="dxa"/>
            <w:tcBorders>
              <w:top w:val="single" w:sz="4" w:space="0" w:color="000000"/>
              <w:left w:val="single" w:sz="4" w:space="0" w:color="000000"/>
              <w:bottom w:val="single" w:sz="4" w:space="0" w:color="000000"/>
              <w:right w:val="single" w:sz="4" w:space="0" w:color="000000"/>
            </w:tcBorders>
            <w:vAlign w:val="center"/>
          </w:tcPr>
          <w:p w14:paraId="512745CD"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w:t>
            </w:r>
          </w:p>
        </w:tc>
        <w:tc>
          <w:tcPr>
            <w:tcW w:w="3260" w:type="dxa"/>
            <w:tcBorders>
              <w:top w:val="single" w:sz="4" w:space="0" w:color="000000"/>
              <w:left w:val="single" w:sz="4" w:space="0" w:color="000000"/>
              <w:bottom w:val="single" w:sz="4" w:space="0" w:color="000000"/>
              <w:right w:val="single" w:sz="4" w:space="0" w:color="000000"/>
            </w:tcBorders>
            <w:vAlign w:val="center"/>
          </w:tcPr>
          <w:p w14:paraId="6AAD9B4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0,35</w:t>
            </w:r>
          </w:p>
        </w:tc>
        <w:tc>
          <w:tcPr>
            <w:tcW w:w="2410" w:type="dxa"/>
            <w:tcBorders>
              <w:top w:val="single" w:sz="4" w:space="0" w:color="000000"/>
              <w:left w:val="single" w:sz="4" w:space="0" w:color="000000"/>
              <w:bottom w:val="single" w:sz="4" w:space="0" w:color="000000"/>
              <w:right w:val="single" w:sz="4" w:space="0" w:color="000000"/>
            </w:tcBorders>
            <w:vAlign w:val="center"/>
          </w:tcPr>
          <w:p w14:paraId="212B8A9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0,33</w:t>
            </w:r>
          </w:p>
        </w:tc>
      </w:tr>
      <w:tr w:rsidR="00CD7B36" w:rsidRPr="00EB2E7B" w14:paraId="61E96B9D" w14:textId="77777777">
        <w:trPr>
          <w:trHeight w:val="840"/>
        </w:trPr>
        <w:tc>
          <w:tcPr>
            <w:tcW w:w="2326" w:type="dxa"/>
            <w:tcBorders>
              <w:top w:val="single" w:sz="4" w:space="0" w:color="000000"/>
              <w:left w:val="single" w:sz="4" w:space="0" w:color="000000"/>
              <w:bottom w:val="single" w:sz="4" w:space="0" w:color="000000"/>
              <w:right w:val="single" w:sz="4" w:space="0" w:color="000000"/>
            </w:tcBorders>
            <w:vAlign w:val="center"/>
          </w:tcPr>
          <w:p w14:paraId="4BA362E6"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13 ≤ n ≤ 39</w:t>
            </w:r>
          </w:p>
          <w:p w14:paraId="5615FCC7"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(tylko harmoniczne nieparzyste)</w:t>
            </w:r>
          </w:p>
        </w:tc>
        <w:tc>
          <w:tcPr>
            <w:tcW w:w="3260" w:type="dxa"/>
            <w:tcBorders>
              <w:top w:val="single" w:sz="4" w:space="0" w:color="000000"/>
              <w:left w:val="single" w:sz="4" w:space="0" w:color="000000"/>
              <w:bottom w:val="single" w:sz="4" w:space="0" w:color="000000"/>
              <w:right w:val="single" w:sz="4" w:space="0" w:color="000000"/>
            </w:tcBorders>
            <w:vAlign w:val="center"/>
          </w:tcPr>
          <w:p w14:paraId="248F355D" w14:textId="110D9FDA" w:rsidR="00CD7B36" w:rsidRPr="00EB2E7B" w:rsidRDefault="00792922">
            <w:pPr>
              <w:spacing w:after="0" w:line="266" w:lineRule="auto"/>
              <w:ind w:left="0" w:firstLine="0"/>
              <w:jc w:val="center"/>
              <w:rPr>
                <w:rFonts w:asciiTheme="minorHAnsi" w:hAnsiTheme="minorHAnsi" w:cstheme="minorHAnsi"/>
                <w:sz w:val="20"/>
                <w:szCs w:val="20"/>
              </w:rPr>
            </w:pPr>
            <m:oMathPara>
              <m:oMath>
                <m:f>
                  <m:fPr>
                    <m:ctrlPr>
                      <w:rPr>
                        <w:rFonts w:ascii="Cambria Math" w:hAnsi="Cambria Math" w:cstheme="minorHAnsi"/>
                        <w:i/>
                        <w:sz w:val="20"/>
                        <w:szCs w:val="20"/>
                      </w:rPr>
                    </m:ctrlPr>
                  </m:fPr>
                  <m:num>
                    <m:r>
                      <w:rPr>
                        <w:rFonts w:ascii="Cambria Math" w:hAnsi="Cambria Math" w:cstheme="minorHAnsi"/>
                        <w:sz w:val="20"/>
                        <w:szCs w:val="20"/>
                      </w:rPr>
                      <m:t>3,85</m:t>
                    </m:r>
                  </m:num>
                  <m:den>
                    <m:r>
                      <w:rPr>
                        <w:rFonts w:ascii="Cambria Math" w:hAnsi="Cambria Math" w:cstheme="minorHAnsi"/>
                        <w:sz w:val="20"/>
                        <w:szCs w:val="20"/>
                      </w:rPr>
                      <m:t>n</m:t>
                    </m:r>
                  </m:den>
                </m:f>
              </m:oMath>
            </m:oMathPara>
          </w:p>
        </w:tc>
        <w:tc>
          <w:tcPr>
            <w:tcW w:w="2410" w:type="dxa"/>
            <w:tcBorders>
              <w:top w:val="single" w:sz="4" w:space="0" w:color="000000"/>
              <w:left w:val="single" w:sz="4" w:space="0" w:color="000000"/>
              <w:bottom w:val="single" w:sz="4" w:space="0" w:color="000000"/>
              <w:right w:val="single" w:sz="4" w:space="0" w:color="000000"/>
            </w:tcBorders>
            <w:vAlign w:val="center"/>
          </w:tcPr>
          <w:p w14:paraId="24FEE6C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Patrz Tablica 1.</w:t>
            </w:r>
          </w:p>
        </w:tc>
      </w:tr>
    </w:tbl>
    <w:p w14:paraId="6EA743A8" w14:textId="77777777" w:rsidR="00045CFE" w:rsidRPr="00EB2E7B" w:rsidRDefault="00045CFE" w:rsidP="00011B45">
      <w:pPr>
        <w:ind w:left="70" w:firstLine="0"/>
        <w:rPr>
          <w:rFonts w:asciiTheme="minorHAnsi" w:hAnsiTheme="minorHAnsi" w:cstheme="minorHAnsi"/>
          <w:sz w:val="20"/>
          <w:szCs w:val="20"/>
        </w:rPr>
      </w:pPr>
    </w:p>
    <w:p w14:paraId="52D24CC3" w14:textId="328D37ED" w:rsidR="00CD7B36" w:rsidRPr="00EB2E7B" w:rsidRDefault="00CD7B36" w:rsidP="00045CFE">
      <w:pPr>
        <w:pStyle w:val="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Dopuszczalne poziomy emisji harmonicznych prądu powodowane przez odbiorniki o fazowym prądzie znamionowym &gt;16A: </w:t>
      </w:r>
    </w:p>
    <w:p w14:paraId="68D7AFCD" w14:textId="77777777" w:rsidR="00CD7B36" w:rsidRPr="00EB2E7B" w:rsidRDefault="00CD7B36" w:rsidP="00FE170D">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Dopuszczalne poziomy emisji harmonicznych prądu powodowane przez odbiorniki o fazowym prądzie znamionowym &gt;16A zakwalifikowane do Klasy A, Klasy B, Klasy C oraz Klasy D podano w Tablicy 5. </w:t>
      </w:r>
    </w:p>
    <w:p w14:paraId="358038F2" w14:textId="23B3AC55" w:rsidR="00CD7B36" w:rsidRPr="00EB2E7B" w:rsidRDefault="00CD7B36" w:rsidP="00CD7B36">
      <w:pPr>
        <w:ind w:left="70" w:firstLine="0"/>
        <w:rPr>
          <w:rFonts w:asciiTheme="minorHAnsi" w:hAnsiTheme="minorHAnsi" w:cstheme="minorHAnsi"/>
          <w:i/>
          <w:iCs/>
          <w:sz w:val="20"/>
          <w:szCs w:val="20"/>
        </w:rPr>
      </w:pPr>
      <w:r w:rsidRPr="00EB2E7B">
        <w:rPr>
          <w:rFonts w:asciiTheme="minorHAnsi" w:hAnsiTheme="minorHAnsi" w:cstheme="minorHAnsi"/>
          <w:i/>
          <w:iCs/>
          <w:sz w:val="20"/>
          <w:szCs w:val="20"/>
        </w:rPr>
        <w:t xml:space="preserve">Tablica 5. </w:t>
      </w:r>
    </w:p>
    <w:tbl>
      <w:tblPr>
        <w:tblStyle w:val="Tabela-Siatka1"/>
        <w:tblW w:w="7866" w:type="dxa"/>
        <w:tblInd w:w="1361" w:type="dxa"/>
        <w:tblCellMar>
          <w:top w:w="9" w:type="dxa"/>
          <w:left w:w="115" w:type="dxa"/>
          <w:right w:w="87" w:type="dxa"/>
        </w:tblCellMar>
        <w:tblLook w:val="04A0" w:firstRow="1" w:lastRow="0" w:firstColumn="1" w:lastColumn="0" w:noHBand="0" w:noVBand="1"/>
      </w:tblPr>
      <w:tblGrid>
        <w:gridCol w:w="3044"/>
        <w:gridCol w:w="4822"/>
      </w:tblGrid>
      <w:tr w:rsidR="00CD7B36" w:rsidRPr="00EB2E7B" w14:paraId="5FDE8B49" w14:textId="77777777">
        <w:trPr>
          <w:trHeight w:val="857"/>
        </w:trPr>
        <w:tc>
          <w:tcPr>
            <w:tcW w:w="3044" w:type="dxa"/>
            <w:tcBorders>
              <w:top w:val="single" w:sz="12" w:space="0" w:color="000000"/>
              <w:left w:val="single" w:sz="12" w:space="0" w:color="000000"/>
              <w:bottom w:val="single" w:sz="12" w:space="0" w:color="000000"/>
              <w:right w:val="single" w:sz="12" w:space="0" w:color="000000"/>
            </w:tcBorders>
            <w:vAlign w:val="center"/>
          </w:tcPr>
          <w:p w14:paraId="13155DDB" w14:textId="77777777" w:rsidR="00CD7B36" w:rsidRPr="00EB2E7B" w:rsidRDefault="00CD7B36">
            <w:pPr>
              <w:spacing w:after="0" w:line="266" w:lineRule="auto"/>
              <w:ind w:left="0" w:firstLine="0"/>
              <w:jc w:val="center"/>
              <w:rPr>
                <w:rFonts w:asciiTheme="minorHAnsi" w:hAnsiTheme="minorHAnsi" w:cstheme="minorHAnsi"/>
                <w:b/>
                <w:bCs/>
                <w:color w:val="000000" w:themeColor="text1"/>
                <w:sz w:val="20"/>
                <w:szCs w:val="20"/>
              </w:rPr>
            </w:pPr>
            <w:r w:rsidRPr="00EB2E7B">
              <w:rPr>
                <w:rFonts w:asciiTheme="minorHAnsi" w:hAnsiTheme="minorHAnsi" w:cstheme="minorHAnsi"/>
                <w:b/>
                <w:bCs/>
                <w:color w:val="000000" w:themeColor="text1"/>
                <w:sz w:val="20"/>
                <w:szCs w:val="20"/>
              </w:rPr>
              <w:t>Rząd harmonicznej [n]</w:t>
            </w:r>
          </w:p>
        </w:tc>
        <w:tc>
          <w:tcPr>
            <w:tcW w:w="4822" w:type="dxa"/>
            <w:tcBorders>
              <w:top w:val="single" w:sz="12" w:space="0" w:color="000000"/>
              <w:left w:val="single" w:sz="12" w:space="0" w:color="000000"/>
              <w:bottom w:val="single" w:sz="12" w:space="0" w:color="000000"/>
              <w:right w:val="single" w:sz="12" w:space="0" w:color="000000"/>
            </w:tcBorders>
            <w:vAlign w:val="center"/>
          </w:tcPr>
          <w:p w14:paraId="35BE480B" w14:textId="77777777" w:rsidR="00CD7B36" w:rsidRPr="00EB2E7B" w:rsidRDefault="00CD7B36">
            <w:pPr>
              <w:spacing w:after="0" w:line="266" w:lineRule="auto"/>
              <w:ind w:left="0" w:firstLine="0"/>
              <w:jc w:val="center"/>
              <w:rPr>
                <w:rFonts w:asciiTheme="minorHAnsi" w:hAnsiTheme="minorHAnsi" w:cstheme="minorHAnsi"/>
                <w:b/>
                <w:bCs/>
                <w:color w:val="000000" w:themeColor="text1"/>
                <w:sz w:val="20"/>
                <w:szCs w:val="20"/>
              </w:rPr>
            </w:pPr>
            <w:r w:rsidRPr="00EB2E7B">
              <w:rPr>
                <w:rFonts w:asciiTheme="minorHAnsi" w:hAnsiTheme="minorHAnsi" w:cstheme="minorHAnsi"/>
                <w:b/>
                <w:bCs/>
                <w:color w:val="000000" w:themeColor="text1"/>
                <w:sz w:val="20"/>
                <w:szCs w:val="20"/>
              </w:rPr>
              <w:t>Maksymalny dopuszczalny prąd harmonicznej, wyrażony w % harmonicznej podstawowej prądu zasilającego [%]</w:t>
            </w:r>
          </w:p>
        </w:tc>
      </w:tr>
      <w:tr w:rsidR="00CD7B36" w:rsidRPr="00EB2E7B" w14:paraId="1D745587" w14:textId="77777777">
        <w:trPr>
          <w:trHeight w:val="298"/>
        </w:trPr>
        <w:tc>
          <w:tcPr>
            <w:tcW w:w="3044" w:type="dxa"/>
            <w:tcBorders>
              <w:top w:val="single" w:sz="12" w:space="0" w:color="000000"/>
              <w:left w:val="single" w:sz="4" w:space="0" w:color="000000"/>
              <w:bottom w:val="single" w:sz="4" w:space="0" w:color="000000"/>
              <w:right w:val="single" w:sz="4" w:space="0" w:color="000000"/>
            </w:tcBorders>
            <w:vAlign w:val="center"/>
          </w:tcPr>
          <w:p w14:paraId="77925FA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w:t>
            </w:r>
          </w:p>
        </w:tc>
        <w:tc>
          <w:tcPr>
            <w:tcW w:w="4822" w:type="dxa"/>
            <w:tcBorders>
              <w:top w:val="single" w:sz="12" w:space="0" w:color="000000"/>
              <w:left w:val="single" w:sz="4" w:space="0" w:color="000000"/>
              <w:bottom w:val="single" w:sz="4" w:space="0" w:color="000000"/>
              <w:right w:val="single" w:sz="4" w:space="0" w:color="000000"/>
            </w:tcBorders>
            <w:vAlign w:val="center"/>
          </w:tcPr>
          <w:p w14:paraId="456DB98E"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21,6</w:t>
            </w:r>
          </w:p>
        </w:tc>
      </w:tr>
      <w:tr w:rsidR="00CD7B36" w:rsidRPr="00EB2E7B" w14:paraId="7D3B514B"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1301E6D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5</w:t>
            </w:r>
          </w:p>
        </w:tc>
        <w:tc>
          <w:tcPr>
            <w:tcW w:w="4822" w:type="dxa"/>
            <w:tcBorders>
              <w:top w:val="single" w:sz="4" w:space="0" w:color="000000"/>
              <w:left w:val="single" w:sz="4" w:space="0" w:color="000000"/>
              <w:bottom w:val="single" w:sz="4" w:space="0" w:color="000000"/>
              <w:right w:val="single" w:sz="4" w:space="0" w:color="000000"/>
            </w:tcBorders>
            <w:vAlign w:val="center"/>
          </w:tcPr>
          <w:p w14:paraId="4B00EAC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10,7</w:t>
            </w:r>
          </w:p>
        </w:tc>
      </w:tr>
      <w:tr w:rsidR="00CD7B36" w:rsidRPr="00EB2E7B" w14:paraId="1012E6E9"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67AAA042"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7</w:t>
            </w:r>
          </w:p>
        </w:tc>
        <w:tc>
          <w:tcPr>
            <w:tcW w:w="4822" w:type="dxa"/>
            <w:tcBorders>
              <w:top w:val="single" w:sz="4" w:space="0" w:color="000000"/>
              <w:left w:val="single" w:sz="4" w:space="0" w:color="000000"/>
              <w:bottom w:val="single" w:sz="4" w:space="0" w:color="000000"/>
              <w:right w:val="single" w:sz="4" w:space="0" w:color="000000"/>
            </w:tcBorders>
            <w:vAlign w:val="center"/>
          </w:tcPr>
          <w:p w14:paraId="17D2E11D"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7,2</w:t>
            </w:r>
          </w:p>
        </w:tc>
      </w:tr>
      <w:tr w:rsidR="00CD7B36" w:rsidRPr="00EB2E7B" w14:paraId="48FF8190"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4031362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9</w:t>
            </w:r>
          </w:p>
        </w:tc>
        <w:tc>
          <w:tcPr>
            <w:tcW w:w="4822" w:type="dxa"/>
            <w:tcBorders>
              <w:top w:val="single" w:sz="4" w:space="0" w:color="000000"/>
              <w:left w:val="single" w:sz="4" w:space="0" w:color="000000"/>
              <w:bottom w:val="single" w:sz="4" w:space="0" w:color="000000"/>
              <w:right w:val="single" w:sz="4" w:space="0" w:color="000000"/>
            </w:tcBorders>
            <w:vAlign w:val="center"/>
          </w:tcPr>
          <w:p w14:paraId="3AF7A19B"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3,8</w:t>
            </w:r>
          </w:p>
        </w:tc>
      </w:tr>
      <w:tr w:rsidR="00CD7B36" w:rsidRPr="00EB2E7B" w14:paraId="28E1972B"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0D1A4B6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w:t>
            </w:r>
          </w:p>
        </w:tc>
        <w:tc>
          <w:tcPr>
            <w:tcW w:w="4822" w:type="dxa"/>
            <w:tcBorders>
              <w:top w:val="single" w:sz="4" w:space="0" w:color="000000"/>
              <w:left w:val="single" w:sz="4" w:space="0" w:color="000000"/>
              <w:bottom w:val="single" w:sz="4" w:space="0" w:color="000000"/>
              <w:right w:val="single" w:sz="4" w:space="0" w:color="000000"/>
            </w:tcBorders>
            <w:vAlign w:val="center"/>
          </w:tcPr>
          <w:p w14:paraId="44CA887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3,1</w:t>
            </w:r>
          </w:p>
        </w:tc>
      </w:tr>
      <w:tr w:rsidR="00CD7B36" w:rsidRPr="00EB2E7B" w14:paraId="2298F4FB" w14:textId="77777777">
        <w:trPr>
          <w:trHeight w:val="288"/>
        </w:trPr>
        <w:tc>
          <w:tcPr>
            <w:tcW w:w="3044" w:type="dxa"/>
            <w:tcBorders>
              <w:top w:val="single" w:sz="4" w:space="0" w:color="000000"/>
              <w:left w:val="single" w:sz="4" w:space="0" w:color="000000"/>
              <w:bottom w:val="single" w:sz="4" w:space="0" w:color="000000"/>
              <w:right w:val="single" w:sz="4" w:space="0" w:color="000000"/>
            </w:tcBorders>
            <w:vAlign w:val="center"/>
          </w:tcPr>
          <w:p w14:paraId="71711BF8"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13</w:t>
            </w:r>
          </w:p>
        </w:tc>
        <w:tc>
          <w:tcPr>
            <w:tcW w:w="4822" w:type="dxa"/>
            <w:tcBorders>
              <w:top w:val="single" w:sz="4" w:space="0" w:color="000000"/>
              <w:left w:val="single" w:sz="4" w:space="0" w:color="000000"/>
              <w:bottom w:val="single" w:sz="4" w:space="0" w:color="000000"/>
              <w:right w:val="single" w:sz="4" w:space="0" w:color="000000"/>
            </w:tcBorders>
            <w:vAlign w:val="center"/>
          </w:tcPr>
          <w:p w14:paraId="1B4AE0A6"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w:t>
            </w:r>
          </w:p>
        </w:tc>
      </w:tr>
      <w:tr w:rsidR="00CD7B36" w:rsidRPr="00EB2E7B" w14:paraId="043B41C1"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60FB0F42"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15</w:t>
            </w:r>
          </w:p>
        </w:tc>
        <w:tc>
          <w:tcPr>
            <w:tcW w:w="4822" w:type="dxa"/>
            <w:tcBorders>
              <w:top w:val="single" w:sz="4" w:space="0" w:color="000000"/>
              <w:left w:val="single" w:sz="4" w:space="0" w:color="000000"/>
              <w:bottom w:val="single" w:sz="4" w:space="0" w:color="000000"/>
              <w:right w:val="single" w:sz="4" w:space="0" w:color="000000"/>
            </w:tcBorders>
            <w:vAlign w:val="center"/>
          </w:tcPr>
          <w:p w14:paraId="1A853B2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0,7</w:t>
            </w:r>
          </w:p>
        </w:tc>
      </w:tr>
      <w:tr w:rsidR="00CD7B36" w:rsidRPr="00EB2E7B" w14:paraId="0B095967"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705642E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17</w:t>
            </w:r>
          </w:p>
        </w:tc>
        <w:tc>
          <w:tcPr>
            <w:tcW w:w="4822" w:type="dxa"/>
            <w:tcBorders>
              <w:top w:val="single" w:sz="4" w:space="0" w:color="000000"/>
              <w:left w:val="single" w:sz="4" w:space="0" w:color="000000"/>
              <w:bottom w:val="single" w:sz="4" w:space="0" w:color="000000"/>
              <w:right w:val="single" w:sz="4" w:space="0" w:color="000000"/>
            </w:tcBorders>
            <w:vAlign w:val="center"/>
          </w:tcPr>
          <w:p w14:paraId="3850B3AA"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1,2</w:t>
            </w:r>
          </w:p>
        </w:tc>
      </w:tr>
      <w:tr w:rsidR="00CD7B36" w:rsidRPr="00EB2E7B" w14:paraId="7F798557"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00B7735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19</w:t>
            </w:r>
          </w:p>
        </w:tc>
        <w:tc>
          <w:tcPr>
            <w:tcW w:w="4822" w:type="dxa"/>
            <w:tcBorders>
              <w:top w:val="single" w:sz="4" w:space="0" w:color="000000"/>
              <w:left w:val="single" w:sz="4" w:space="0" w:color="000000"/>
              <w:bottom w:val="single" w:sz="4" w:space="0" w:color="000000"/>
              <w:right w:val="single" w:sz="4" w:space="0" w:color="000000"/>
            </w:tcBorders>
            <w:vAlign w:val="center"/>
          </w:tcPr>
          <w:p w14:paraId="18D005C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1,1</w:t>
            </w:r>
          </w:p>
        </w:tc>
      </w:tr>
      <w:tr w:rsidR="00CD7B36" w:rsidRPr="00EB2E7B" w14:paraId="44C6FCD0"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73FD6A3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21</w:t>
            </w:r>
          </w:p>
        </w:tc>
        <w:tc>
          <w:tcPr>
            <w:tcW w:w="4822" w:type="dxa"/>
            <w:tcBorders>
              <w:top w:val="single" w:sz="4" w:space="0" w:color="000000"/>
              <w:left w:val="single" w:sz="4" w:space="0" w:color="000000"/>
              <w:bottom w:val="single" w:sz="4" w:space="0" w:color="000000"/>
              <w:right w:val="single" w:sz="4" w:space="0" w:color="000000"/>
            </w:tcBorders>
            <w:vAlign w:val="center"/>
          </w:tcPr>
          <w:p w14:paraId="5BE03E68"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≤0,6</w:t>
            </w:r>
          </w:p>
        </w:tc>
      </w:tr>
      <w:tr w:rsidR="00CD7B36" w:rsidRPr="00EB2E7B" w14:paraId="409F532C"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20DD9A05"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lastRenderedPageBreak/>
              <w:t>23</w:t>
            </w:r>
          </w:p>
        </w:tc>
        <w:tc>
          <w:tcPr>
            <w:tcW w:w="4822" w:type="dxa"/>
            <w:tcBorders>
              <w:top w:val="single" w:sz="4" w:space="0" w:color="000000"/>
              <w:left w:val="single" w:sz="4" w:space="0" w:color="000000"/>
              <w:bottom w:val="single" w:sz="4" w:space="0" w:color="000000"/>
              <w:right w:val="single" w:sz="4" w:space="0" w:color="000000"/>
            </w:tcBorders>
            <w:vAlign w:val="center"/>
          </w:tcPr>
          <w:p w14:paraId="706A7F37"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0,9</w:t>
            </w:r>
          </w:p>
        </w:tc>
      </w:tr>
      <w:tr w:rsidR="00CD7B36" w:rsidRPr="00EB2E7B" w14:paraId="0235439B"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3B4691EE"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25</w:t>
            </w:r>
          </w:p>
        </w:tc>
        <w:tc>
          <w:tcPr>
            <w:tcW w:w="4822" w:type="dxa"/>
            <w:tcBorders>
              <w:top w:val="single" w:sz="4" w:space="0" w:color="000000"/>
              <w:left w:val="single" w:sz="4" w:space="0" w:color="000000"/>
              <w:bottom w:val="single" w:sz="4" w:space="0" w:color="000000"/>
              <w:right w:val="single" w:sz="4" w:space="0" w:color="000000"/>
            </w:tcBorders>
            <w:vAlign w:val="center"/>
          </w:tcPr>
          <w:p w14:paraId="1D59343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0,8</w:t>
            </w:r>
          </w:p>
        </w:tc>
      </w:tr>
      <w:tr w:rsidR="00CD7B36" w:rsidRPr="00EB2E7B" w14:paraId="039C6FF5" w14:textId="77777777">
        <w:trPr>
          <w:trHeight w:val="288"/>
        </w:trPr>
        <w:tc>
          <w:tcPr>
            <w:tcW w:w="3044" w:type="dxa"/>
            <w:tcBorders>
              <w:top w:val="single" w:sz="4" w:space="0" w:color="000000"/>
              <w:left w:val="single" w:sz="4" w:space="0" w:color="000000"/>
              <w:bottom w:val="single" w:sz="4" w:space="0" w:color="000000"/>
              <w:right w:val="single" w:sz="4" w:space="0" w:color="000000"/>
            </w:tcBorders>
            <w:vAlign w:val="center"/>
          </w:tcPr>
          <w:p w14:paraId="506F3D1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27</w:t>
            </w:r>
          </w:p>
        </w:tc>
        <w:tc>
          <w:tcPr>
            <w:tcW w:w="4822" w:type="dxa"/>
            <w:tcBorders>
              <w:top w:val="single" w:sz="4" w:space="0" w:color="000000"/>
              <w:left w:val="single" w:sz="4" w:space="0" w:color="000000"/>
              <w:bottom w:val="single" w:sz="4" w:space="0" w:color="000000"/>
              <w:right w:val="single" w:sz="4" w:space="0" w:color="000000"/>
            </w:tcBorders>
            <w:vAlign w:val="center"/>
          </w:tcPr>
          <w:p w14:paraId="56869203"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≤0,6</w:t>
            </w:r>
          </w:p>
        </w:tc>
      </w:tr>
      <w:tr w:rsidR="00CD7B36" w:rsidRPr="00EB2E7B" w14:paraId="27DF81F9"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237FCEF1"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29</w:t>
            </w:r>
          </w:p>
        </w:tc>
        <w:tc>
          <w:tcPr>
            <w:tcW w:w="4822" w:type="dxa"/>
            <w:tcBorders>
              <w:top w:val="single" w:sz="4" w:space="0" w:color="000000"/>
              <w:left w:val="single" w:sz="4" w:space="0" w:color="000000"/>
              <w:bottom w:val="single" w:sz="4" w:space="0" w:color="000000"/>
              <w:right w:val="single" w:sz="4" w:space="0" w:color="000000"/>
            </w:tcBorders>
            <w:vAlign w:val="center"/>
          </w:tcPr>
          <w:p w14:paraId="7932AB38"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0,7</w:t>
            </w:r>
          </w:p>
        </w:tc>
      </w:tr>
      <w:tr w:rsidR="00CD7B36" w:rsidRPr="00EB2E7B" w14:paraId="4FFE6CDB"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448A0666"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31</w:t>
            </w:r>
          </w:p>
        </w:tc>
        <w:tc>
          <w:tcPr>
            <w:tcW w:w="4822" w:type="dxa"/>
            <w:tcBorders>
              <w:top w:val="single" w:sz="4" w:space="0" w:color="000000"/>
              <w:left w:val="single" w:sz="4" w:space="0" w:color="000000"/>
              <w:bottom w:val="single" w:sz="4" w:space="0" w:color="000000"/>
              <w:right w:val="single" w:sz="4" w:space="0" w:color="000000"/>
            </w:tcBorders>
            <w:vAlign w:val="center"/>
          </w:tcPr>
          <w:p w14:paraId="7E2441D4"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0,7</w:t>
            </w:r>
          </w:p>
        </w:tc>
      </w:tr>
      <w:tr w:rsidR="00CD7B36" w:rsidRPr="00EB2E7B" w14:paraId="79A3CD60" w14:textId="77777777">
        <w:trPr>
          <w:trHeight w:val="286"/>
        </w:trPr>
        <w:tc>
          <w:tcPr>
            <w:tcW w:w="3044" w:type="dxa"/>
            <w:tcBorders>
              <w:top w:val="single" w:sz="4" w:space="0" w:color="000000"/>
              <w:left w:val="single" w:sz="4" w:space="0" w:color="000000"/>
              <w:bottom w:val="single" w:sz="4" w:space="0" w:color="000000"/>
              <w:right w:val="single" w:sz="4" w:space="0" w:color="000000"/>
            </w:tcBorders>
            <w:vAlign w:val="center"/>
          </w:tcPr>
          <w:p w14:paraId="6EA2FDB9"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≥33</w:t>
            </w:r>
          </w:p>
        </w:tc>
        <w:tc>
          <w:tcPr>
            <w:tcW w:w="4822" w:type="dxa"/>
            <w:tcBorders>
              <w:top w:val="single" w:sz="4" w:space="0" w:color="000000"/>
              <w:left w:val="single" w:sz="4" w:space="0" w:color="000000"/>
              <w:bottom w:val="single" w:sz="4" w:space="0" w:color="000000"/>
              <w:right w:val="single" w:sz="4" w:space="0" w:color="000000"/>
            </w:tcBorders>
            <w:vAlign w:val="center"/>
          </w:tcPr>
          <w:p w14:paraId="7DEC9F2F" w14:textId="77777777" w:rsidR="00CD7B36" w:rsidRPr="00EB2E7B" w:rsidRDefault="00CD7B36">
            <w:pPr>
              <w:spacing w:after="0" w:line="266" w:lineRule="auto"/>
              <w:ind w:left="0" w:firstLine="0"/>
              <w:jc w:val="center"/>
              <w:rPr>
                <w:rFonts w:asciiTheme="minorHAnsi" w:hAnsiTheme="minorHAnsi" w:cstheme="minorHAnsi"/>
                <w:sz w:val="20"/>
                <w:szCs w:val="20"/>
              </w:rPr>
            </w:pPr>
            <w:r w:rsidRPr="00EB2E7B">
              <w:rPr>
                <w:rFonts w:asciiTheme="minorHAnsi" w:hAnsiTheme="minorHAnsi" w:cstheme="minorHAnsi"/>
                <w:sz w:val="20"/>
                <w:szCs w:val="20"/>
              </w:rPr>
              <w:t>≤0,6</w:t>
            </w:r>
          </w:p>
        </w:tc>
      </w:tr>
    </w:tbl>
    <w:p w14:paraId="56A56E43" w14:textId="77777777" w:rsidR="003620DB" w:rsidRPr="00EB2E7B" w:rsidRDefault="003620DB" w:rsidP="003620DB">
      <w:pPr>
        <w:ind w:left="70" w:firstLine="0"/>
        <w:rPr>
          <w:rFonts w:asciiTheme="minorHAnsi" w:hAnsiTheme="minorHAnsi" w:cstheme="minorHAnsi"/>
          <w:sz w:val="20"/>
          <w:szCs w:val="20"/>
        </w:rPr>
      </w:pPr>
    </w:p>
    <w:p w14:paraId="6C05F219" w14:textId="77777777" w:rsidR="00CD7B36" w:rsidRPr="00EB2E7B" w:rsidRDefault="00CD7B36">
      <w:pPr>
        <w:pStyle w:val="Nagwek2"/>
        <w:rPr>
          <w:rFonts w:asciiTheme="minorHAnsi" w:hAnsiTheme="minorHAnsi" w:cstheme="minorHAnsi"/>
          <w:bCs/>
          <w:sz w:val="20"/>
          <w:szCs w:val="20"/>
        </w:rPr>
      </w:pPr>
      <w:bookmarkStart w:id="408" w:name="_Toc173236760"/>
      <w:bookmarkStart w:id="409" w:name="_Toc174311954"/>
      <w:bookmarkStart w:id="410" w:name="_Toc180153757"/>
      <w:bookmarkStart w:id="411" w:name="_Toc239333364"/>
      <w:r w:rsidRPr="00EB2E7B">
        <w:rPr>
          <w:rFonts w:asciiTheme="minorHAnsi" w:hAnsiTheme="minorHAnsi" w:cstheme="minorHAnsi"/>
          <w:sz w:val="20"/>
          <w:szCs w:val="20"/>
        </w:rPr>
        <w:t>STANDARDY JAKOŚCIOWE OBSŁUGI UŻYTKOWNIKÓW SYSTEMU</w:t>
      </w:r>
      <w:bookmarkEnd w:id="408"/>
      <w:bookmarkEnd w:id="409"/>
      <w:bookmarkEnd w:id="410"/>
      <w:bookmarkEnd w:id="411"/>
    </w:p>
    <w:p w14:paraId="3B25A4F0" w14:textId="77777777" w:rsidR="00CD7B36" w:rsidRPr="00EB2E7B" w:rsidRDefault="00CD7B36" w:rsidP="0069254B">
      <w:pPr>
        <w:pStyle w:val="Nagwek3"/>
        <w:ind w:left="1134" w:hanging="1134"/>
        <w:rPr>
          <w:rFonts w:asciiTheme="minorHAnsi" w:hAnsiTheme="minorHAnsi" w:cstheme="minorHAnsi"/>
          <w:sz w:val="20"/>
          <w:szCs w:val="20"/>
        </w:rPr>
      </w:pPr>
      <w:bookmarkStart w:id="412" w:name="_Ref75425309"/>
      <w:bookmarkStart w:id="413" w:name="_Ref173226445"/>
      <w:r w:rsidRPr="00EB2E7B">
        <w:rPr>
          <w:rFonts w:asciiTheme="minorHAnsi" w:hAnsiTheme="minorHAnsi" w:cstheme="minorHAnsi"/>
          <w:sz w:val="20"/>
          <w:szCs w:val="20"/>
        </w:rPr>
        <w:t xml:space="preserve">Ustala </w:t>
      </w:r>
      <w:bookmarkEnd w:id="412"/>
      <w:r w:rsidRPr="00EB2E7B">
        <w:rPr>
          <w:rFonts w:asciiTheme="minorHAnsi" w:hAnsiTheme="minorHAnsi" w:cstheme="minorHAnsi"/>
          <w:sz w:val="20"/>
          <w:szCs w:val="20"/>
        </w:rPr>
        <w:t>się następujące standardy jakościowe obsługi odbiorców:</w:t>
      </w:r>
      <w:bookmarkEnd w:id="413"/>
    </w:p>
    <w:p w14:paraId="2E356EC5" w14:textId="77777777" w:rsidR="00CD7B36" w:rsidRPr="00EB2E7B" w:rsidRDefault="00CD7B36" w:rsidP="0069254B">
      <w:pPr>
        <w:pStyle w:val="1przed"/>
        <w:numPr>
          <w:ilvl w:val="0"/>
          <w:numId w:val="236"/>
        </w:numPr>
        <w:ind w:left="1701" w:hanging="567"/>
        <w:rPr>
          <w:rFonts w:asciiTheme="minorHAnsi" w:hAnsiTheme="minorHAnsi" w:cstheme="minorHAnsi"/>
          <w:sz w:val="20"/>
          <w:szCs w:val="20"/>
        </w:rPr>
      </w:pPr>
      <w:r w:rsidRPr="00EB2E7B">
        <w:rPr>
          <w:rFonts w:asciiTheme="minorHAnsi" w:hAnsiTheme="minorHAnsi" w:cstheme="minorHAnsi"/>
          <w:sz w:val="20"/>
          <w:szCs w:val="20"/>
        </w:rPr>
        <w:t>przyjmowanie od odbiorców przez całą dobę, zgłoszeń i reklamacji związanych z  dostarczaniem energii elektrycznej z sieci,</w:t>
      </w:r>
    </w:p>
    <w:p w14:paraId="52E73E67" w14:textId="77777777" w:rsidR="00CD7B36" w:rsidRPr="00EB2E7B" w:rsidRDefault="00CD7B36" w:rsidP="0069254B">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bezzwłoczne przystępowanie do usuwania zakłóceń w dostarczaniu energii elektrycznej, spowodowanych nieprawidłową pracą sieci,</w:t>
      </w:r>
    </w:p>
    <w:p w14:paraId="0C51D029" w14:textId="77777777" w:rsidR="00CD7B36" w:rsidRPr="00EB2E7B" w:rsidRDefault="00CD7B36" w:rsidP="0069254B">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udzielanie odbiorcom, na ich żądanie, informacji o przewidywanym terminie wznowienia dostarczania energii elektrycznej przerwanego z powodu awarii w sieci,</w:t>
      </w:r>
    </w:p>
    <w:p w14:paraId="39AB6719" w14:textId="77777777" w:rsidR="00CD7B36" w:rsidRPr="00EB2E7B" w:rsidRDefault="00CD7B36" w:rsidP="0069254B">
      <w:pPr>
        <w:pStyle w:val="1przed"/>
        <w:ind w:left="1701" w:hanging="567"/>
        <w:rPr>
          <w:rFonts w:asciiTheme="minorHAnsi" w:hAnsiTheme="minorHAnsi" w:cstheme="minorHAnsi"/>
          <w:sz w:val="20"/>
          <w:szCs w:val="20"/>
        </w:rPr>
      </w:pPr>
      <w:bookmarkStart w:id="414" w:name="_Ref190093417"/>
      <w:r w:rsidRPr="00EB2E7B">
        <w:rPr>
          <w:rFonts w:asciiTheme="minorHAnsi" w:hAnsiTheme="minorHAnsi" w:cstheme="minorHAnsi"/>
          <w:sz w:val="20"/>
          <w:szCs w:val="20"/>
        </w:rPr>
        <w:t>powiadamianie odbiorców z co najmniej 5-dniowym wyprzedzeniem, o terminach i czasie planowanych przerw w dostarczaniu energii elektrycznej w formie:</w:t>
      </w:r>
      <w:bookmarkEnd w:id="414"/>
    </w:p>
    <w:p w14:paraId="7F9EF861" w14:textId="77777777" w:rsidR="00CD7B36" w:rsidRPr="00EB2E7B" w:rsidRDefault="00CD7B36" w:rsidP="0069254B">
      <w:pPr>
        <w:pStyle w:val="apo"/>
        <w:numPr>
          <w:ilvl w:val="0"/>
          <w:numId w:val="23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ogłoszeń prasowych, internetowych, komunikatów radiowych lub telewizyjnych lub w inny sposób zwyczajowo przyjęty na danym terenie – odbiorców zasilanych z sieci o napięciu znamionowym nie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10AB9A53" w14:textId="583C2978" w:rsidR="00CD7B36" w:rsidRPr="00EB2E7B" w:rsidRDefault="00CD7B36" w:rsidP="00620ED0">
      <w:pPr>
        <w:pStyle w:val="apo"/>
        <w:numPr>
          <w:ilvl w:val="0"/>
          <w:numId w:val="23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indywidualnych zawiadomień pisemnych, telefonicznych lub za pomocą innego środka komunikowania się – odbiorców zasilanych z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224C2A03" w14:textId="68458017" w:rsidR="00CD7B36" w:rsidRPr="00EB2E7B" w:rsidRDefault="00CD7B36" w:rsidP="00620ED0">
      <w:pPr>
        <w:pStyle w:val="apo"/>
        <w:numPr>
          <w:ilvl w:val="0"/>
          <w:numId w:val="237"/>
        </w:numPr>
        <w:ind w:left="2268" w:hanging="567"/>
        <w:rPr>
          <w:rFonts w:asciiTheme="minorHAnsi" w:hAnsiTheme="minorHAnsi" w:cstheme="minorHAnsi"/>
          <w:sz w:val="20"/>
          <w:szCs w:val="20"/>
        </w:rPr>
      </w:pPr>
      <w:r w:rsidRPr="00EB2E7B">
        <w:rPr>
          <w:rFonts w:asciiTheme="minorHAnsi" w:hAnsiTheme="minorHAnsi" w:cstheme="minorHAnsi"/>
          <w:sz w:val="20"/>
          <w:szCs w:val="20"/>
        </w:rPr>
        <w:t>wiadomości wysyłanych na adres poczty elektronicznej, jeżeli odbiorca udostępnił ten adres przedsiębiorstwu energetycznemu w umowie dystrybucji albo w umowie kompleksowej, lub w sposób określony w tych umowach.</w:t>
      </w:r>
    </w:p>
    <w:p w14:paraId="5EF46FFB" w14:textId="77777777" w:rsidR="00CD7B36" w:rsidRPr="00EB2E7B" w:rsidRDefault="00CD7B36" w:rsidP="0069254B">
      <w:pPr>
        <w:pStyle w:val="1przed"/>
        <w:ind w:left="1701" w:hanging="567"/>
        <w:rPr>
          <w:rFonts w:asciiTheme="minorHAnsi" w:hAnsiTheme="minorHAnsi" w:cstheme="minorHAnsi"/>
          <w:sz w:val="20"/>
          <w:szCs w:val="20"/>
        </w:rPr>
      </w:pPr>
      <w:bookmarkStart w:id="415" w:name="_Ref173226793"/>
      <w:r w:rsidRPr="00EB2E7B">
        <w:rPr>
          <w:rFonts w:asciiTheme="minorHAnsi" w:hAnsiTheme="minorHAnsi" w:cstheme="minorHAnsi"/>
          <w:sz w:val="20"/>
          <w:szCs w:val="20"/>
        </w:rPr>
        <w:t>informowanie na piśmie, lub w inny sposób określony w umowie dystrybucji albo w umowie kompleksowej, z co najmniej:</w:t>
      </w:r>
      <w:bookmarkEnd w:id="415"/>
    </w:p>
    <w:p w14:paraId="6278E78B" w14:textId="77777777" w:rsidR="00CD7B36" w:rsidRPr="00EB2E7B" w:rsidRDefault="00CD7B36" w:rsidP="00C64B02">
      <w:pPr>
        <w:pStyle w:val="apo"/>
        <w:numPr>
          <w:ilvl w:val="0"/>
          <w:numId w:val="23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tygodniowym wyprzedzeniem – odbiorców zasilanych z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o zamierzonej zmianie nastawień w automatyce zabezpieczeniowej i innych parametrach mających wpływ na współpracę ruchową z siecią,</w:t>
      </w:r>
    </w:p>
    <w:p w14:paraId="5357A6E5" w14:textId="4BD09D76" w:rsidR="00CD7B36" w:rsidRPr="00EB2E7B" w:rsidRDefault="00CD7B36" w:rsidP="00620ED0">
      <w:pPr>
        <w:pStyle w:val="apo"/>
        <w:numPr>
          <w:ilvl w:val="0"/>
          <w:numId w:val="23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rocznym wyprzedzeniem – odbiorców zasilanych z sieci o napięciu znamionowym równym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niższym, o konieczności dostosowania urządzeń i instalacji do zmienionego napięcia znamionowego, podwyższonego poziomu prądów zwarcia, zmiany rodzaju przyłącza lub innych warunków funkcjonowania sieci,</w:t>
      </w:r>
    </w:p>
    <w:p w14:paraId="64AA9281" w14:textId="6D7DD8EB" w:rsidR="00CD7B36" w:rsidRPr="00EB2E7B" w:rsidRDefault="00CD7B36" w:rsidP="00620ED0">
      <w:pPr>
        <w:pStyle w:val="apo"/>
        <w:numPr>
          <w:ilvl w:val="0"/>
          <w:numId w:val="238"/>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3-letnim wyprzedzeniem – odbiorców zasilanych z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o konieczności dostosowania urządzeń i instalacji do zmienionego napięcia znamionowego, podwyższonego poziomu prądów zwarcia lub zmianie innych warunków funkcjonowania sieci,</w:t>
      </w:r>
    </w:p>
    <w:p w14:paraId="7EC34D9B" w14:textId="77777777" w:rsidR="00CD7B36" w:rsidRPr="00EB2E7B" w:rsidRDefault="00CD7B36" w:rsidP="00C64B02">
      <w:pPr>
        <w:pStyle w:val="1przed"/>
        <w:ind w:left="2268" w:hanging="567"/>
        <w:rPr>
          <w:rFonts w:asciiTheme="minorHAnsi" w:hAnsiTheme="minorHAnsi" w:cstheme="minorHAnsi"/>
          <w:sz w:val="20"/>
          <w:szCs w:val="20"/>
        </w:rPr>
      </w:pPr>
      <w:bookmarkStart w:id="416" w:name="_Ref190094011"/>
      <w:r w:rsidRPr="00EB2E7B">
        <w:rPr>
          <w:rFonts w:asciiTheme="minorHAnsi" w:hAnsiTheme="minorHAnsi" w:cstheme="minorHAnsi"/>
          <w:sz w:val="20"/>
          <w:szCs w:val="20"/>
        </w:rPr>
        <w:lastRenderedPageBreak/>
        <w:t>odpłatne podejmowanie stosownych czynności w sieci w celu umożliwienia bezpiecznego wykonania, przez odbiorcę lub inny podmiot, prac w obszarze oddziaływania tej sieci,</w:t>
      </w:r>
      <w:bookmarkEnd w:id="416"/>
    </w:p>
    <w:p w14:paraId="25851EFC" w14:textId="77777777" w:rsidR="00CD7B36" w:rsidRPr="00EB2E7B" w:rsidRDefault="00CD7B36" w:rsidP="00C64B02">
      <w:pPr>
        <w:pStyle w:val="1przed"/>
        <w:ind w:left="2268" w:hanging="567"/>
        <w:rPr>
          <w:rFonts w:asciiTheme="minorHAnsi" w:hAnsiTheme="minorHAnsi" w:cstheme="minorHAnsi"/>
          <w:sz w:val="20"/>
          <w:szCs w:val="20"/>
        </w:rPr>
      </w:pPr>
      <w:r w:rsidRPr="00EB2E7B">
        <w:rPr>
          <w:rFonts w:asciiTheme="minorHAnsi" w:hAnsiTheme="minorHAnsi" w:cstheme="minorHAnsi"/>
          <w:sz w:val="20"/>
          <w:szCs w:val="20"/>
        </w:rPr>
        <w:t>nieodpłatne udzielanie informacji w sprawie zasad rozliczeń oraz aktualnej Taryfy ACPRO,</w:t>
      </w:r>
    </w:p>
    <w:p w14:paraId="7F025DC5" w14:textId="425C0934" w:rsidR="00CD7B36" w:rsidRPr="00EB2E7B" w:rsidRDefault="00CD7B36" w:rsidP="00C64B02">
      <w:pPr>
        <w:pStyle w:val="1przed"/>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rozpatrywanie wniosków i reklamacji, odbiorcy w sprawie rozliczeń i udzielanie odpowiedzi, nie później niż w terminie 14 dni kalendarzowych od dnia złożenia wniosku lub zgłoszenia reklamacji, chyba że w umowie między stronami określono inny termin, z wyłączeniem spraw określonych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EA3AC2" w:rsidRPr="00EB2E7B">
        <w:rPr>
          <w:rFonts w:asciiTheme="minorHAnsi" w:hAnsiTheme="minorHAnsi" w:cstheme="minorHAnsi"/>
          <w:sz w:val="20"/>
          <w:szCs w:val="20"/>
        </w:rPr>
        <w:fldChar w:fldCharType="begin"/>
      </w:r>
      <w:r w:rsidR="00EA3AC2" w:rsidRPr="00EB2E7B">
        <w:rPr>
          <w:rFonts w:asciiTheme="minorHAnsi" w:hAnsiTheme="minorHAnsi" w:cstheme="minorHAnsi"/>
          <w:sz w:val="20"/>
          <w:szCs w:val="20"/>
        </w:rPr>
        <w:instrText xml:space="preserve"> REF _Ref190093955 \w \h  \* MERGEFORMAT </w:instrText>
      </w:r>
      <w:r w:rsidR="00EA3AC2" w:rsidRPr="00EB2E7B">
        <w:rPr>
          <w:rFonts w:asciiTheme="minorHAnsi" w:hAnsiTheme="minorHAnsi" w:cstheme="minorHAnsi"/>
          <w:sz w:val="20"/>
          <w:szCs w:val="20"/>
        </w:rPr>
      </w:r>
      <w:r w:rsidR="00EA3AC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w:t>
      </w:r>
      <w:r w:rsidR="00EA3AC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które są rozpatrywane w terminie 14 dni kalendarzowych od zakończenia stosownych kontroli i pomiarów,</w:t>
      </w:r>
    </w:p>
    <w:p w14:paraId="18D43F90" w14:textId="77777777" w:rsidR="00CD7B36" w:rsidRPr="00EB2E7B" w:rsidRDefault="00CD7B36" w:rsidP="00C64B02">
      <w:pPr>
        <w:pStyle w:val="1przed"/>
        <w:ind w:left="2268" w:hanging="567"/>
        <w:rPr>
          <w:rFonts w:asciiTheme="minorHAnsi" w:hAnsiTheme="minorHAnsi" w:cstheme="minorHAnsi"/>
          <w:sz w:val="20"/>
          <w:szCs w:val="20"/>
        </w:rPr>
      </w:pPr>
      <w:bookmarkStart w:id="417" w:name="_Ref190093955"/>
      <w:r w:rsidRPr="00EB2E7B">
        <w:rPr>
          <w:rFonts w:asciiTheme="minorHAnsi" w:hAnsiTheme="minorHAnsi" w:cstheme="minorHAnsi"/>
          <w:sz w:val="20"/>
          <w:szCs w:val="20"/>
        </w:rPr>
        <w:t>na wniosek odbiorcy dokonywanie sprawdzenia dotrzymania parametrów jakościowych energii elektrycznej, dostarczanej z sieci, określonych w aktach wykonawczych do Ustawy, albo ustalonych w umowie dystrybucji albo w umowie kompleksowej, przez wykonanie odpowiednich pomiarów. W przypadku zgodności zmierzonych parametrów jakościowych energii elektrycznej z parametrami określonymi w aktach wykonawczych do Ustawy, albo ustalonymi w umowie dystrybucji albo w umowie kompleksowej, koszty sprawdzenia i pomiarów ponosi odbiorca na zasadach określonych w Taryfie ACPRO,</w:t>
      </w:r>
      <w:bookmarkEnd w:id="417"/>
    </w:p>
    <w:p w14:paraId="2197277E" w14:textId="1653696A" w:rsidR="00CD7B36" w:rsidRPr="00EB2E7B" w:rsidRDefault="00CD7B36" w:rsidP="00C64B02">
      <w:pPr>
        <w:pStyle w:val="1przed"/>
        <w:ind w:left="2268" w:hanging="567"/>
        <w:rPr>
          <w:rFonts w:asciiTheme="minorHAnsi" w:hAnsiTheme="minorHAnsi" w:cstheme="minorHAnsi"/>
          <w:sz w:val="20"/>
          <w:szCs w:val="20"/>
        </w:rPr>
      </w:pPr>
      <w:r w:rsidRPr="00EB2E7B">
        <w:rPr>
          <w:rFonts w:asciiTheme="minorHAnsi" w:hAnsiTheme="minorHAnsi" w:cstheme="minorHAnsi"/>
          <w:sz w:val="20"/>
          <w:szCs w:val="20"/>
        </w:rPr>
        <w:t>na pisemny wniosek odbiorcy, po rozpatrzeniu i uznaniu jego zasadności, udziela bonifikaty w wysokości określonej w Taryfie ACPRO za niedotrzymanie parametrów jakościowych energii elektrycznej określonych w aktach wykonawczych do Ustawy, albo ustalonych w umowie dystrybucji albo w umowie kompleksowej,</w:t>
      </w:r>
    </w:p>
    <w:p w14:paraId="3ED2DEBF" w14:textId="3CFA32CC" w:rsidR="00CD7B36" w:rsidRPr="00EB2E7B" w:rsidRDefault="00CD7B36" w:rsidP="00C64B02">
      <w:pPr>
        <w:pStyle w:val="1przed"/>
        <w:ind w:left="2268" w:hanging="567"/>
        <w:rPr>
          <w:rFonts w:asciiTheme="minorHAnsi" w:hAnsiTheme="minorHAnsi" w:cstheme="minorHAnsi"/>
          <w:sz w:val="20"/>
          <w:szCs w:val="20"/>
        </w:rPr>
      </w:pPr>
      <w:r w:rsidRPr="00EB2E7B">
        <w:rPr>
          <w:rFonts w:asciiTheme="minorHAnsi" w:hAnsiTheme="minorHAnsi" w:cstheme="minorHAnsi"/>
          <w:sz w:val="20"/>
          <w:szCs w:val="20"/>
        </w:rPr>
        <w:t>niezwłocznie przekazuje odbiorcy protokoły z czynności określonych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C73844" w:rsidRPr="00EB2E7B">
        <w:rPr>
          <w:rFonts w:asciiTheme="minorHAnsi" w:hAnsiTheme="minorHAnsi" w:cstheme="minorHAnsi"/>
          <w:sz w:val="20"/>
          <w:szCs w:val="20"/>
        </w:rPr>
        <w:fldChar w:fldCharType="begin"/>
      </w:r>
      <w:r w:rsidR="00C73844" w:rsidRPr="00EB2E7B">
        <w:rPr>
          <w:rFonts w:asciiTheme="minorHAnsi" w:hAnsiTheme="minorHAnsi" w:cstheme="minorHAnsi"/>
          <w:sz w:val="20"/>
          <w:szCs w:val="20"/>
        </w:rPr>
        <w:instrText xml:space="preserve"> REF _Ref190094011 \w \h  \* MERGEFORMAT </w:instrText>
      </w:r>
      <w:r w:rsidR="00C73844" w:rsidRPr="00EB2E7B">
        <w:rPr>
          <w:rFonts w:asciiTheme="minorHAnsi" w:hAnsiTheme="minorHAnsi" w:cstheme="minorHAnsi"/>
          <w:sz w:val="20"/>
          <w:szCs w:val="20"/>
        </w:rPr>
      </w:r>
      <w:r w:rsidR="00C7384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6)</w:t>
      </w:r>
      <w:r w:rsidR="00C7384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w:t>
      </w:r>
      <w:r w:rsidR="00C73844" w:rsidRPr="00EB2E7B">
        <w:rPr>
          <w:rFonts w:asciiTheme="minorHAnsi" w:hAnsiTheme="minorHAnsi" w:cstheme="minorHAnsi"/>
          <w:sz w:val="20"/>
          <w:szCs w:val="20"/>
        </w:rPr>
        <w:fldChar w:fldCharType="begin"/>
      </w:r>
      <w:r w:rsidR="00C73844" w:rsidRPr="00EB2E7B">
        <w:rPr>
          <w:rFonts w:asciiTheme="minorHAnsi" w:hAnsiTheme="minorHAnsi" w:cstheme="minorHAnsi"/>
          <w:sz w:val="20"/>
          <w:szCs w:val="20"/>
        </w:rPr>
        <w:instrText xml:space="preserve"> REF _Ref190093955 \w \h  \* MERGEFORMAT </w:instrText>
      </w:r>
      <w:r w:rsidR="00C73844" w:rsidRPr="00EB2E7B">
        <w:rPr>
          <w:rFonts w:asciiTheme="minorHAnsi" w:hAnsiTheme="minorHAnsi" w:cstheme="minorHAnsi"/>
          <w:sz w:val="20"/>
          <w:szCs w:val="20"/>
        </w:rPr>
      </w:r>
      <w:r w:rsidR="00C7384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w:t>
      </w:r>
      <w:r w:rsidR="00C73844"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5543EA88" w14:textId="4FF26B6F" w:rsidR="00473957" w:rsidRPr="00EB2E7B" w:rsidRDefault="00CD7B36" w:rsidP="00C64B02">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Reklamacje odbiorcy dotyczące prawidłowości działania układu pomiarowo-rozliczeniowego są rozpatrywane na zasadach i w terminach określonych w  </w:t>
      </w:r>
      <w:r w:rsidR="000914D9" w:rsidRPr="00EB2E7B">
        <w:rPr>
          <w:rFonts w:asciiTheme="minorHAnsi" w:hAnsiTheme="minorHAnsi" w:cstheme="minorHAnsi"/>
          <w:sz w:val="20"/>
          <w:szCs w:val="20"/>
        </w:rPr>
        <w:t xml:space="preserve">pkt </w:t>
      </w:r>
      <w:r w:rsidR="00F33696" w:rsidRPr="00EB2E7B">
        <w:rPr>
          <w:rFonts w:asciiTheme="minorHAnsi" w:hAnsiTheme="minorHAnsi" w:cstheme="minorHAnsi"/>
          <w:sz w:val="20"/>
          <w:szCs w:val="20"/>
        </w:rPr>
        <w:fldChar w:fldCharType="begin"/>
      </w:r>
      <w:r w:rsidR="00F33696" w:rsidRPr="00EB2E7B">
        <w:rPr>
          <w:rFonts w:asciiTheme="minorHAnsi" w:hAnsiTheme="minorHAnsi" w:cstheme="minorHAnsi"/>
          <w:sz w:val="20"/>
          <w:szCs w:val="20"/>
        </w:rPr>
        <w:instrText xml:space="preserve"> REF _Ref190094098 \w \h  \* MERGEFORMAT </w:instrText>
      </w:r>
      <w:r w:rsidR="00F33696" w:rsidRPr="00EB2E7B">
        <w:rPr>
          <w:rFonts w:asciiTheme="minorHAnsi" w:hAnsiTheme="minorHAnsi" w:cstheme="minorHAnsi"/>
          <w:sz w:val="20"/>
          <w:szCs w:val="20"/>
        </w:rPr>
      </w:r>
      <w:r w:rsidR="00F3369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II.4.7.1</w:t>
      </w:r>
      <w:r w:rsidR="00F33696" w:rsidRPr="00EB2E7B">
        <w:rPr>
          <w:rFonts w:asciiTheme="minorHAnsi" w:hAnsiTheme="minorHAnsi" w:cstheme="minorHAnsi"/>
          <w:sz w:val="20"/>
          <w:szCs w:val="20"/>
        </w:rPr>
        <w:fldChar w:fldCharType="end"/>
      </w:r>
      <w:r w:rsidR="008C233A" w:rsidRPr="00EB2E7B">
        <w:rPr>
          <w:rFonts w:asciiTheme="minorHAnsi" w:hAnsiTheme="minorHAnsi" w:cstheme="minorHAnsi"/>
          <w:sz w:val="20"/>
          <w:szCs w:val="20"/>
        </w:rPr>
        <w:t>.</w:t>
      </w:r>
    </w:p>
    <w:p w14:paraId="09C9AA4D" w14:textId="68A2EAA2" w:rsidR="003B303C" w:rsidRPr="00EB2E7B" w:rsidRDefault="00BC31BD" w:rsidP="003B303C">
      <w:pPr>
        <w:pStyle w:val="Nagwek3"/>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Na żądanie odbiorcy ACPRO dokonuje sprawdzenia prawidłowości działania układu pomiarowo-rozliczeniowego na zasadach i w terminach określonych w ustawie Prawo energetyczne i aktach wykonawczych do niej oraz pkt. </w:t>
      </w:r>
      <w:r w:rsidR="008064F9" w:rsidRPr="00EB2E7B">
        <w:rPr>
          <w:rFonts w:asciiTheme="minorHAnsi" w:hAnsiTheme="minorHAnsi" w:cstheme="minorHAnsi"/>
          <w:sz w:val="20"/>
          <w:szCs w:val="20"/>
        </w:rPr>
        <w:fldChar w:fldCharType="begin"/>
      </w:r>
      <w:r w:rsidR="008064F9" w:rsidRPr="00EB2E7B">
        <w:rPr>
          <w:rFonts w:asciiTheme="minorHAnsi" w:hAnsiTheme="minorHAnsi" w:cstheme="minorHAnsi"/>
          <w:sz w:val="20"/>
          <w:szCs w:val="20"/>
        </w:rPr>
        <w:instrText xml:space="preserve"> REF _Ref75433632 \w \h  \* MERGEFORMAT </w:instrText>
      </w:r>
      <w:r w:rsidR="008064F9" w:rsidRPr="00EB2E7B">
        <w:rPr>
          <w:rFonts w:asciiTheme="minorHAnsi" w:hAnsiTheme="minorHAnsi" w:cstheme="minorHAnsi"/>
          <w:sz w:val="20"/>
          <w:szCs w:val="20"/>
        </w:rPr>
      </w:r>
      <w:r w:rsidR="008064F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II.4.7</w:t>
      </w:r>
      <w:r w:rsidR="008064F9"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708F0662" w14:textId="55601F6C" w:rsidR="00FA6C38" w:rsidRPr="00EB2E7B" w:rsidRDefault="00FA6C38" w:rsidP="00FA6C38">
      <w:pPr>
        <w:pStyle w:val="Nagwek1"/>
        <w:numPr>
          <w:ilvl w:val="0"/>
          <w:numId w:val="0"/>
        </w:numPr>
        <w:ind w:left="1134"/>
        <w:rPr>
          <w:rFonts w:asciiTheme="minorHAnsi" w:eastAsiaTheme="minorEastAsia" w:hAnsiTheme="minorHAnsi" w:cstheme="minorHAnsi"/>
          <w:sz w:val="20"/>
          <w:szCs w:val="20"/>
        </w:rPr>
      </w:pPr>
    </w:p>
    <w:p w14:paraId="794785AE" w14:textId="77777777" w:rsidR="005976B9" w:rsidRPr="00EB2E7B" w:rsidRDefault="005976B9" w:rsidP="00FE170D">
      <w:pPr>
        <w:ind w:left="70" w:firstLine="0"/>
        <w:rPr>
          <w:rFonts w:asciiTheme="minorHAnsi" w:hAnsiTheme="minorHAnsi" w:cstheme="minorHAnsi"/>
          <w:sz w:val="20"/>
          <w:szCs w:val="20"/>
        </w:rPr>
      </w:pPr>
    </w:p>
    <w:p w14:paraId="29893CDF" w14:textId="77777777" w:rsidR="00473957" w:rsidRPr="00EB2E7B" w:rsidRDefault="0077111A"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10F10C35" w14:textId="77777777" w:rsidR="00BB6BE1" w:rsidRPr="00EB2E7B" w:rsidRDefault="00BB6BE1" w:rsidP="00BB6BE1">
      <w:pPr>
        <w:ind w:left="70" w:firstLine="0"/>
        <w:jc w:val="center"/>
        <w:rPr>
          <w:rFonts w:asciiTheme="minorHAnsi" w:hAnsiTheme="minorHAnsi" w:cstheme="minorHAnsi"/>
          <w:b/>
          <w:bCs/>
          <w:sz w:val="20"/>
          <w:szCs w:val="20"/>
        </w:rPr>
      </w:pPr>
    </w:p>
    <w:p w14:paraId="0A6E14E4" w14:textId="77777777" w:rsidR="00BB6BE1" w:rsidRPr="00EB2E7B" w:rsidRDefault="00BB6BE1" w:rsidP="00BB6BE1">
      <w:pPr>
        <w:ind w:left="70" w:firstLine="0"/>
        <w:jc w:val="center"/>
        <w:rPr>
          <w:rFonts w:asciiTheme="minorHAnsi" w:hAnsiTheme="minorHAnsi" w:cstheme="minorHAnsi"/>
          <w:b/>
          <w:bCs/>
          <w:sz w:val="20"/>
          <w:szCs w:val="20"/>
        </w:rPr>
      </w:pPr>
    </w:p>
    <w:p w14:paraId="3C2414D1" w14:textId="77777777" w:rsidR="00BB6BE1" w:rsidRPr="00EB2E7B" w:rsidRDefault="00BB6BE1" w:rsidP="00BB6BE1">
      <w:pPr>
        <w:ind w:left="70" w:firstLine="0"/>
        <w:jc w:val="center"/>
        <w:rPr>
          <w:rFonts w:asciiTheme="minorHAnsi" w:hAnsiTheme="minorHAnsi" w:cstheme="minorHAnsi"/>
          <w:b/>
          <w:bCs/>
          <w:sz w:val="20"/>
          <w:szCs w:val="20"/>
        </w:rPr>
      </w:pPr>
    </w:p>
    <w:p w14:paraId="4F3F7349" w14:textId="77777777" w:rsidR="00BB6BE1" w:rsidRPr="00EB2E7B" w:rsidRDefault="00BB6BE1" w:rsidP="00BB6BE1">
      <w:pPr>
        <w:ind w:left="70" w:firstLine="0"/>
        <w:jc w:val="center"/>
        <w:rPr>
          <w:rFonts w:asciiTheme="minorHAnsi" w:hAnsiTheme="minorHAnsi" w:cstheme="minorHAnsi"/>
          <w:b/>
          <w:bCs/>
          <w:sz w:val="20"/>
          <w:szCs w:val="20"/>
        </w:rPr>
      </w:pPr>
    </w:p>
    <w:p w14:paraId="50369DCC" w14:textId="77777777" w:rsidR="00BB6BE1" w:rsidRPr="00EB2E7B" w:rsidRDefault="00BB6BE1" w:rsidP="00BB6BE1">
      <w:pPr>
        <w:ind w:left="70" w:firstLine="0"/>
        <w:jc w:val="center"/>
        <w:rPr>
          <w:rFonts w:asciiTheme="minorHAnsi" w:hAnsiTheme="minorHAnsi" w:cstheme="minorHAnsi"/>
          <w:b/>
          <w:bCs/>
          <w:sz w:val="20"/>
          <w:szCs w:val="20"/>
        </w:rPr>
      </w:pPr>
    </w:p>
    <w:p w14:paraId="5A5072A0" w14:textId="77777777" w:rsidR="00BB6BE1" w:rsidRPr="00EB2E7B" w:rsidRDefault="00BB6BE1" w:rsidP="00BB6BE1">
      <w:pPr>
        <w:ind w:left="70" w:firstLine="0"/>
        <w:jc w:val="center"/>
        <w:rPr>
          <w:rFonts w:asciiTheme="minorHAnsi" w:hAnsiTheme="minorHAnsi" w:cstheme="minorHAnsi"/>
          <w:b/>
          <w:bCs/>
          <w:sz w:val="20"/>
          <w:szCs w:val="20"/>
        </w:rPr>
      </w:pPr>
    </w:p>
    <w:p w14:paraId="5B4A43F5" w14:textId="77777777" w:rsidR="00BB6BE1" w:rsidRPr="00EB2E7B" w:rsidRDefault="00BB6BE1" w:rsidP="00BB6BE1">
      <w:pPr>
        <w:ind w:left="70" w:firstLine="0"/>
        <w:jc w:val="center"/>
        <w:rPr>
          <w:rFonts w:asciiTheme="minorHAnsi" w:hAnsiTheme="minorHAnsi" w:cstheme="minorHAnsi"/>
          <w:b/>
          <w:bCs/>
          <w:sz w:val="20"/>
          <w:szCs w:val="20"/>
        </w:rPr>
      </w:pPr>
    </w:p>
    <w:p w14:paraId="4B1DF40E" w14:textId="77777777" w:rsidR="00473957" w:rsidRPr="00EB2E7B" w:rsidRDefault="0077111A" w:rsidP="00BB6BE1">
      <w:pPr>
        <w:pStyle w:val="Tekstpodstawowywcity"/>
        <w:rPr>
          <w:rFonts w:asciiTheme="minorHAnsi" w:hAnsiTheme="minorHAnsi" w:cstheme="minorHAnsi"/>
          <w:sz w:val="20"/>
          <w:szCs w:val="20"/>
        </w:rPr>
      </w:pPr>
      <w:r w:rsidRPr="00EB2E7B">
        <w:rPr>
          <w:rFonts w:asciiTheme="minorHAnsi" w:hAnsiTheme="minorHAnsi" w:cstheme="minorHAnsi"/>
          <w:sz w:val="20"/>
          <w:szCs w:val="20"/>
        </w:rPr>
        <w:t xml:space="preserve">INSTRUKCJA RUCHU I EKSPLOATACJI SIECI DYSTRYBUCYJNEJ </w:t>
      </w:r>
    </w:p>
    <w:p w14:paraId="5728A60F" w14:textId="77777777" w:rsidR="00473957" w:rsidRPr="00EB2E7B" w:rsidRDefault="00473957" w:rsidP="005D19E7">
      <w:pPr>
        <w:ind w:left="70" w:firstLine="0"/>
        <w:rPr>
          <w:rFonts w:asciiTheme="minorHAnsi" w:hAnsiTheme="minorHAnsi" w:cstheme="minorHAnsi"/>
          <w:sz w:val="20"/>
          <w:szCs w:val="20"/>
        </w:rPr>
      </w:pPr>
    </w:p>
    <w:p w14:paraId="4D7779A5" w14:textId="77777777" w:rsidR="00473957" w:rsidRPr="00EB2E7B" w:rsidRDefault="00473957" w:rsidP="005D19E7">
      <w:pPr>
        <w:ind w:left="70" w:firstLine="0"/>
        <w:rPr>
          <w:rFonts w:asciiTheme="minorHAnsi" w:hAnsiTheme="minorHAnsi" w:cstheme="minorHAnsi"/>
          <w:sz w:val="20"/>
          <w:szCs w:val="20"/>
        </w:rPr>
      </w:pPr>
    </w:p>
    <w:p w14:paraId="7B8293DE" w14:textId="77777777" w:rsidR="00473957" w:rsidRPr="00EB2E7B" w:rsidRDefault="0077111A" w:rsidP="00B07211">
      <w:pPr>
        <w:pStyle w:val="Nagwek1"/>
        <w:numPr>
          <w:ilvl w:val="0"/>
          <w:numId w:val="0"/>
        </w:numPr>
        <w:jc w:val="center"/>
        <w:rPr>
          <w:rFonts w:asciiTheme="minorHAnsi" w:hAnsiTheme="minorHAnsi" w:cstheme="minorHAnsi"/>
          <w:sz w:val="20"/>
          <w:szCs w:val="20"/>
        </w:rPr>
      </w:pPr>
      <w:bookmarkStart w:id="418" w:name="_Toc239333365"/>
      <w:r w:rsidRPr="00EB2E7B">
        <w:rPr>
          <w:rFonts w:asciiTheme="minorHAnsi" w:hAnsiTheme="minorHAnsi" w:cstheme="minorHAnsi"/>
          <w:sz w:val="20"/>
          <w:szCs w:val="20"/>
        </w:rPr>
        <w:t>CZĘŚĆ:</w:t>
      </w:r>
      <w:bookmarkEnd w:id="418"/>
    </w:p>
    <w:p w14:paraId="5B6F9F30" w14:textId="77777777" w:rsidR="00473957" w:rsidRPr="00EB2E7B" w:rsidRDefault="0077111A" w:rsidP="00EE7359">
      <w:pPr>
        <w:pStyle w:val="Nagwek1"/>
        <w:numPr>
          <w:ilvl w:val="0"/>
          <w:numId w:val="0"/>
        </w:numPr>
        <w:jc w:val="center"/>
        <w:rPr>
          <w:rFonts w:asciiTheme="minorHAnsi" w:hAnsiTheme="minorHAnsi" w:cstheme="minorHAnsi"/>
          <w:sz w:val="20"/>
          <w:szCs w:val="20"/>
        </w:rPr>
      </w:pPr>
      <w:bookmarkStart w:id="419" w:name="_Toc180153758"/>
      <w:bookmarkStart w:id="420" w:name="_Toc239333366"/>
      <w:r w:rsidRPr="00EB2E7B">
        <w:rPr>
          <w:rFonts w:asciiTheme="minorHAnsi" w:hAnsiTheme="minorHAnsi" w:cstheme="minorHAnsi"/>
          <w:sz w:val="20"/>
          <w:szCs w:val="20"/>
        </w:rPr>
        <w:t>BILANSOWANIE SYSTEMU DYSTRYBUCYJNEGO I ZARZĄDZANIE OGRANICZENIAMI SYSTEMOWYMI</w:t>
      </w:r>
      <w:bookmarkEnd w:id="419"/>
      <w:bookmarkEnd w:id="420"/>
    </w:p>
    <w:p w14:paraId="643AD1DF" w14:textId="77777777" w:rsidR="00A54D70" w:rsidRPr="00EB2E7B" w:rsidRDefault="00A54D70"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68295292" w14:textId="086B3646" w:rsidR="004317DD" w:rsidRPr="00EB2E7B" w:rsidRDefault="00A93DFA" w:rsidP="00A42849">
      <w:pPr>
        <w:pStyle w:val="Nagwek1"/>
        <w:numPr>
          <w:ilvl w:val="0"/>
          <w:numId w:val="85"/>
        </w:numPr>
        <w:rPr>
          <w:rFonts w:asciiTheme="minorHAnsi" w:hAnsiTheme="minorHAnsi" w:cstheme="minorHAnsi"/>
          <w:sz w:val="20"/>
          <w:szCs w:val="20"/>
        </w:rPr>
      </w:pPr>
      <w:bookmarkStart w:id="421" w:name="_Toc239333367"/>
      <w:bookmarkStart w:id="422" w:name="_Toc180153760"/>
      <w:r w:rsidRPr="00EB2E7B">
        <w:rPr>
          <w:rFonts w:asciiTheme="minorHAnsi" w:eastAsiaTheme="minorEastAsia" w:hAnsiTheme="minorHAnsi" w:cstheme="minorHAnsi"/>
          <w:sz w:val="20"/>
          <w:szCs w:val="20"/>
        </w:rPr>
        <w:lastRenderedPageBreak/>
        <w:t>POSTANOWIENIA WSTĘPNE</w:t>
      </w:r>
      <w:bookmarkEnd w:id="421"/>
    </w:p>
    <w:p w14:paraId="6977C85F" w14:textId="5E2730D0" w:rsidR="00473957" w:rsidRPr="00EB2E7B" w:rsidRDefault="0077111A" w:rsidP="0024189C">
      <w:pPr>
        <w:pStyle w:val="ANagwek2"/>
        <w:rPr>
          <w:rFonts w:asciiTheme="minorHAnsi" w:hAnsiTheme="minorHAnsi" w:cstheme="minorHAnsi"/>
          <w:sz w:val="20"/>
          <w:szCs w:val="20"/>
        </w:rPr>
      </w:pPr>
      <w:bookmarkStart w:id="423" w:name="_Toc239333368"/>
      <w:r w:rsidRPr="00EB2E7B">
        <w:rPr>
          <w:rFonts w:asciiTheme="minorHAnsi" w:hAnsiTheme="minorHAnsi" w:cstheme="minorHAnsi"/>
          <w:sz w:val="20"/>
          <w:szCs w:val="20"/>
        </w:rPr>
        <w:t>UWARUNKOWANIA FORMALNO-PRAWNE</w:t>
      </w:r>
      <w:bookmarkEnd w:id="422"/>
      <w:bookmarkEnd w:id="423"/>
    </w:p>
    <w:p w14:paraId="334EC4B9" w14:textId="6E396900" w:rsidR="00473957" w:rsidRPr="00EB2E7B" w:rsidRDefault="00FD7D88" w:rsidP="004854C6">
      <w:pPr>
        <w:pStyle w:val="ANagwek3"/>
        <w:rPr>
          <w:rFonts w:asciiTheme="minorHAnsi" w:hAnsiTheme="minorHAnsi" w:cstheme="minorHAnsi"/>
          <w:sz w:val="20"/>
          <w:szCs w:val="20"/>
        </w:rPr>
      </w:pPr>
      <w:bookmarkStart w:id="424" w:name="_Ref75767871"/>
      <w:r w:rsidRPr="00EB2E7B">
        <w:rPr>
          <w:rFonts w:asciiTheme="minorHAnsi" w:hAnsiTheme="minorHAnsi" w:cstheme="minorHAnsi"/>
          <w:sz w:val="20"/>
          <w:szCs w:val="20"/>
        </w:rPr>
        <w:t>Uwarunkowania formalno-prawne części Instrukcji Ruchu i Eksploatacji Sieci Dystrybucyjnej - Bilansowanie systemu dystrybucyjnego i zarządzanie ograniczeniami systemowymi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-Bilansowanie) wynikają z następujących przepisów i dokumentów</w:t>
      </w:r>
      <w:r w:rsidR="0077111A" w:rsidRPr="00EB2E7B">
        <w:rPr>
          <w:rFonts w:asciiTheme="minorHAnsi" w:hAnsiTheme="minorHAnsi" w:cstheme="minorHAnsi"/>
          <w:sz w:val="20"/>
          <w:szCs w:val="20"/>
        </w:rPr>
        <w:t>:</w:t>
      </w:r>
      <w:bookmarkEnd w:id="424"/>
      <w:r w:rsidR="0077111A" w:rsidRPr="00EB2E7B">
        <w:rPr>
          <w:rFonts w:asciiTheme="minorHAnsi" w:hAnsiTheme="minorHAnsi" w:cstheme="minorHAnsi"/>
          <w:sz w:val="20"/>
          <w:szCs w:val="20"/>
        </w:rPr>
        <w:t xml:space="preserve"> </w:t>
      </w:r>
    </w:p>
    <w:p w14:paraId="6FDDA95F" w14:textId="5E297179" w:rsidR="00473957" w:rsidRPr="00EB2E7B" w:rsidRDefault="00CC6847" w:rsidP="00EE7359">
      <w:pPr>
        <w:pStyle w:val="1przed"/>
        <w:numPr>
          <w:ilvl w:val="0"/>
          <w:numId w:val="168"/>
        </w:numPr>
        <w:ind w:left="1701" w:hanging="567"/>
        <w:rPr>
          <w:rFonts w:asciiTheme="minorHAnsi" w:hAnsiTheme="minorHAnsi" w:cstheme="minorHAnsi"/>
          <w:sz w:val="20"/>
          <w:szCs w:val="20"/>
        </w:rPr>
      </w:pPr>
      <w:r w:rsidRPr="00EB2E7B">
        <w:rPr>
          <w:rFonts w:asciiTheme="minorHAnsi" w:hAnsiTheme="minorHAnsi" w:cstheme="minorHAnsi"/>
          <w:sz w:val="20"/>
          <w:szCs w:val="20"/>
        </w:rPr>
        <w:t>ustawy z dnia 10 kwietnia 1997 r. Prawo energetyczne - zwanej dalej „Ustawą” lub „ustawą Prawo energetyczne” (Dz. U. z 2024 r., poz. 266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oraz wydanymi na jej podstawie aktami wykonawczymi</w:t>
      </w:r>
      <w:r w:rsidR="009D7431"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25B79C3F" w14:textId="11BDD464" w:rsidR="00473957" w:rsidRPr="00EB2E7B" w:rsidRDefault="00C003C5"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ustawy z dnia 20 maja 2021 r. o zmianie ustawy - Prawo energetyczne oraz niektórych innych ustaw – zwaną dalej „Ustawą OIRE” (Dz.U. z 2021 r., poz. 1093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w:t>
      </w:r>
      <w:r w:rsidR="009D7431"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0FF1E4BF" w14:textId="0BC74A35" w:rsidR="00473957" w:rsidRPr="00EB2E7B" w:rsidRDefault="00CC6847"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ustawy z dnia 20 lutego 2015 r. o odnawialnych źródłach energii – zwanej dalej „Ustawą OZE” (Dz. U. z 2024 r., poz. 1361</w:t>
      </w:r>
      <w:r w:rsidR="00025A7A" w:rsidRPr="00EB2E7B">
        <w:rPr>
          <w:rFonts w:asciiTheme="minorHAnsi" w:hAnsiTheme="minorHAnsi" w:cstheme="minorHAnsi"/>
          <w:sz w:val="20"/>
          <w:szCs w:val="20"/>
        </w:rPr>
        <w:t xml:space="preserve"> z </w:t>
      </w:r>
      <w:proofErr w:type="spellStart"/>
      <w:r w:rsidR="00025A7A" w:rsidRPr="00EB2E7B">
        <w:rPr>
          <w:rFonts w:asciiTheme="minorHAnsi" w:hAnsiTheme="minorHAnsi" w:cstheme="minorHAnsi"/>
          <w:sz w:val="20"/>
          <w:szCs w:val="20"/>
        </w:rPr>
        <w:t>późn</w:t>
      </w:r>
      <w:proofErr w:type="spellEnd"/>
      <w:r w:rsidR="00025A7A" w:rsidRPr="00EB2E7B">
        <w:rPr>
          <w:rFonts w:asciiTheme="minorHAnsi" w:hAnsiTheme="minorHAnsi" w:cstheme="minorHAnsi"/>
          <w:sz w:val="20"/>
          <w:szCs w:val="20"/>
        </w:rPr>
        <w:t>. zmianami</w:t>
      </w:r>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4DE12E48" w14:textId="3E494521" w:rsidR="00473957" w:rsidRPr="00EB2E7B" w:rsidRDefault="00CC6847"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ustawy z dnia 8 grudnia 2017 r. o rynku mocy, zwanej dalej „ustawą o rynku mocy” (Dz. U. z 2023 r., poz. 2131</w:t>
      </w:r>
      <w:r w:rsidR="00E82414" w:rsidRPr="00EB2E7B">
        <w:rPr>
          <w:rFonts w:asciiTheme="minorHAnsi" w:hAnsiTheme="minorHAnsi" w:cstheme="minorHAnsi"/>
          <w:sz w:val="20"/>
          <w:szCs w:val="20"/>
        </w:rPr>
        <w:t xml:space="preserve"> z </w:t>
      </w:r>
      <w:proofErr w:type="spellStart"/>
      <w:r w:rsidR="00E82414" w:rsidRPr="00EB2E7B">
        <w:rPr>
          <w:rFonts w:asciiTheme="minorHAnsi" w:hAnsiTheme="minorHAnsi" w:cstheme="minorHAnsi"/>
          <w:sz w:val="20"/>
          <w:szCs w:val="20"/>
        </w:rPr>
        <w:t>późn</w:t>
      </w:r>
      <w:proofErr w:type="spellEnd"/>
      <w:r w:rsidR="00E82414" w:rsidRPr="00EB2E7B">
        <w:rPr>
          <w:rFonts w:asciiTheme="minorHAnsi" w:hAnsiTheme="minorHAnsi" w:cstheme="minorHAnsi"/>
          <w:sz w:val="20"/>
          <w:szCs w:val="20"/>
        </w:rPr>
        <w:t>. zmianami</w:t>
      </w:r>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2A6B2C92" w14:textId="77E672C5" w:rsidR="00473957" w:rsidRPr="00EB2E7B" w:rsidRDefault="00CC6847"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ustawy z dnia 11 stycznia 2018 r. o elektromobilności i paliwach alternatywnych, zwanej dalej „ustawą o elektromobilności” (Dz. U. z 2024 r., poz. 1289</w:t>
      </w:r>
      <w:r w:rsidR="00E82414" w:rsidRPr="00EB2E7B">
        <w:rPr>
          <w:rFonts w:asciiTheme="minorHAnsi" w:hAnsiTheme="minorHAnsi" w:cstheme="minorHAnsi"/>
          <w:sz w:val="20"/>
          <w:szCs w:val="20"/>
        </w:rPr>
        <w:t xml:space="preserve"> z </w:t>
      </w:r>
      <w:proofErr w:type="spellStart"/>
      <w:r w:rsidR="00E82414" w:rsidRPr="00EB2E7B">
        <w:rPr>
          <w:rFonts w:asciiTheme="minorHAnsi" w:hAnsiTheme="minorHAnsi" w:cstheme="minorHAnsi"/>
          <w:sz w:val="20"/>
          <w:szCs w:val="20"/>
        </w:rPr>
        <w:t>późn</w:t>
      </w:r>
      <w:proofErr w:type="spellEnd"/>
      <w:r w:rsidR="00E82414" w:rsidRPr="00EB2E7B">
        <w:rPr>
          <w:rFonts w:asciiTheme="minorHAnsi" w:hAnsiTheme="minorHAnsi" w:cstheme="minorHAnsi"/>
          <w:sz w:val="20"/>
          <w:szCs w:val="20"/>
        </w:rPr>
        <w:t>. zmianami</w:t>
      </w:r>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6C99A9FD" w14:textId="4E9A0524" w:rsidR="00473957" w:rsidRPr="00EB2E7B" w:rsidRDefault="00CC6847"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ustawy z dnia 30 maja 2014 r. o prawach konsumenta, zwanej dalej „ustawą o prawach konsumenta” (Dz. U. z 2023 r., poz. 2759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w:t>
      </w:r>
      <w:r w:rsidR="0077111A" w:rsidRPr="00EB2E7B">
        <w:rPr>
          <w:rFonts w:asciiTheme="minorHAnsi" w:hAnsiTheme="minorHAnsi" w:cstheme="minorHAnsi"/>
          <w:sz w:val="20"/>
          <w:szCs w:val="20"/>
        </w:rPr>
        <w:t xml:space="preserve"> </w:t>
      </w:r>
    </w:p>
    <w:p w14:paraId="5E1B3DA7" w14:textId="2473E959" w:rsidR="00473957" w:rsidRPr="00EB2E7B" w:rsidRDefault="00C003C5"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rozporządzenia Komisji (UE) 2017/2195 z dnia 23 listopada 2017 r. ustanawiając</w:t>
      </w:r>
      <w:r w:rsidR="006660C7" w:rsidRPr="00EB2E7B">
        <w:rPr>
          <w:rFonts w:asciiTheme="minorHAnsi" w:hAnsiTheme="minorHAnsi" w:cstheme="minorHAnsi"/>
          <w:sz w:val="20"/>
          <w:szCs w:val="20"/>
        </w:rPr>
        <w:t>ego</w:t>
      </w:r>
      <w:r w:rsidRPr="00EB2E7B">
        <w:rPr>
          <w:rFonts w:asciiTheme="minorHAnsi" w:hAnsiTheme="minorHAnsi" w:cstheme="minorHAnsi"/>
          <w:sz w:val="20"/>
          <w:szCs w:val="20"/>
        </w:rPr>
        <w:t xml:space="preserve"> wytyczne dotyczące bilansowania (Dz. Urz. UE L 312/6 z 28.11.2017 r.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zmianami) - EB GL</w:t>
      </w:r>
      <w:r w:rsidR="0077111A" w:rsidRPr="00EB2E7B">
        <w:rPr>
          <w:rFonts w:asciiTheme="minorHAnsi" w:hAnsiTheme="minorHAnsi" w:cstheme="minorHAnsi"/>
          <w:sz w:val="20"/>
          <w:szCs w:val="20"/>
        </w:rPr>
        <w:t xml:space="preserve">, </w:t>
      </w:r>
    </w:p>
    <w:p w14:paraId="56191B7D" w14:textId="319ED578" w:rsidR="00473957" w:rsidRPr="00EB2E7B" w:rsidRDefault="00C003C5"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koncesji na dystrybucję energii elektrycznej udzielonej przez Prezesa URE</w:t>
      </w:r>
      <w:r w:rsidR="0077111A" w:rsidRPr="00EB2E7B">
        <w:rPr>
          <w:rFonts w:asciiTheme="minorHAnsi" w:hAnsiTheme="minorHAnsi" w:cstheme="minorHAnsi"/>
          <w:sz w:val="20"/>
          <w:szCs w:val="20"/>
        </w:rPr>
        <w:t xml:space="preserve">. </w:t>
      </w:r>
    </w:p>
    <w:p w14:paraId="300FCFAD" w14:textId="0C801D9D" w:rsidR="009D7431" w:rsidRPr="00EB2E7B" w:rsidRDefault="00C003C5"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decyzji Prezesa URE wyznaczającej ACPRO operatorem systemu dystrybucyjnego elektroenergetycznego</w:t>
      </w:r>
      <w:r w:rsidR="009D7431" w:rsidRPr="00EB2E7B">
        <w:rPr>
          <w:rFonts w:asciiTheme="minorHAnsi" w:hAnsiTheme="minorHAnsi" w:cstheme="minorHAnsi"/>
          <w:sz w:val="20"/>
          <w:szCs w:val="20"/>
        </w:rPr>
        <w:t>,</w:t>
      </w:r>
    </w:p>
    <w:p w14:paraId="6784624D" w14:textId="748EFEBB" w:rsidR="009D7431" w:rsidRPr="00EB2E7B" w:rsidRDefault="00C003C5" w:rsidP="00EE7359">
      <w:pPr>
        <w:pStyle w:val="1przed"/>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IRiESP</w:t>
      </w:r>
      <w:proofErr w:type="spellEnd"/>
      <w:r w:rsidR="009D7431" w:rsidRPr="00EB2E7B">
        <w:rPr>
          <w:rFonts w:asciiTheme="minorHAnsi" w:hAnsiTheme="minorHAnsi" w:cstheme="minorHAnsi"/>
          <w:sz w:val="20"/>
          <w:szCs w:val="20"/>
        </w:rPr>
        <w:t>,</w:t>
      </w:r>
    </w:p>
    <w:p w14:paraId="04D0AAE9" w14:textId="66445599" w:rsidR="00C003C5" w:rsidRPr="00EB2E7B" w:rsidRDefault="00C003C5"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WDB,</w:t>
      </w:r>
    </w:p>
    <w:p w14:paraId="60C218C5" w14:textId="57A39309" w:rsidR="00C003C5" w:rsidRPr="00EB2E7B" w:rsidRDefault="00C003C5" w:rsidP="00EE7359">
      <w:pPr>
        <w:pStyle w:val="1przed"/>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OSDp</w:t>
      </w:r>
      <w:proofErr w:type="spellEnd"/>
    </w:p>
    <w:p w14:paraId="394CB2B0" w14:textId="78B59D75" w:rsidR="00C003C5" w:rsidRPr="00EB2E7B" w:rsidRDefault="00C003C5"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Taryfy ACPRO.</w:t>
      </w:r>
    </w:p>
    <w:p w14:paraId="1C4072DD" w14:textId="7F610809" w:rsidR="00473957" w:rsidRPr="00EB2E7B" w:rsidRDefault="00582388" w:rsidP="004854C6">
      <w:pPr>
        <w:pStyle w:val="ANagwek3"/>
        <w:rPr>
          <w:rFonts w:asciiTheme="minorHAnsi" w:hAnsiTheme="minorHAnsi" w:cstheme="minorHAnsi"/>
          <w:sz w:val="20"/>
          <w:szCs w:val="20"/>
        </w:rPr>
      </w:pPr>
      <w:r>
        <w:rPr>
          <w:rFonts w:asciiTheme="minorHAnsi" w:hAnsiTheme="minorHAnsi" w:cstheme="minorHAnsi"/>
          <w:sz w:val="20"/>
          <w:szCs w:val="20"/>
        </w:rPr>
        <w:t xml:space="preserve">ACPRO jest Operatorem Systemu Dystrybucyjnego, którego sieć dystrybucyjna nie posiada bezpośredniego połączenia z siecią przesyłową OSP i zgodnie z postanowieniami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 xml:space="preserve"> pełni rolę operatora typu OSDn.</w:t>
      </w:r>
    </w:p>
    <w:p w14:paraId="6F8343B3" w14:textId="73958183" w:rsidR="00473957" w:rsidRPr="00EB2E7B" w:rsidRDefault="004E7F58" w:rsidP="004854C6">
      <w:pPr>
        <w:pStyle w:val="ANagwek3"/>
        <w:rPr>
          <w:rFonts w:asciiTheme="minorHAnsi" w:hAnsiTheme="minorHAnsi" w:cstheme="minorHAnsi"/>
          <w:sz w:val="20"/>
          <w:szCs w:val="20"/>
        </w:rPr>
      </w:pPr>
      <w:bookmarkStart w:id="425" w:name="_Hlk99040912"/>
      <w:r w:rsidRPr="00EB2E7B">
        <w:rPr>
          <w:rFonts w:asciiTheme="minorHAnsi" w:hAnsiTheme="minorHAnsi" w:cstheme="minorHAnsi"/>
          <w:sz w:val="20"/>
          <w:szCs w:val="20"/>
        </w:rPr>
        <w:t>Podmioty, których sieci, urządzenia i instalacje są przyłączone do sieci dystrybucyjnej ACPRO i posiadające zawarte z ACPRO umowy dystrybucji, mogą być URB zgodnie z zasadami i warunkami określonymi w WDB. Wówczas taki podmiot powinien mieć zawartą również umowę przesyłową</w:t>
      </w:r>
      <w:r w:rsidR="0016433A" w:rsidRPr="00EB2E7B">
        <w:rPr>
          <w:rFonts w:asciiTheme="minorHAnsi" w:hAnsiTheme="minorHAnsi" w:cstheme="minorHAnsi"/>
          <w:sz w:val="20"/>
          <w:szCs w:val="20"/>
        </w:rPr>
        <w:t>.</w:t>
      </w:r>
      <w:bookmarkEnd w:id="425"/>
      <w:r w:rsidR="0077111A" w:rsidRPr="00EB2E7B">
        <w:rPr>
          <w:rFonts w:asciiTheme="minorHAnsi" w:hAnsiTheme="minorHAnsi" w:cstheme="minorHAnsi"/>
          <w:sz w:val="20"/>
          <w:szCs w:val="20"/>
        </w:rPr>
        <w:t xml:space="preserve"> </w:t>
      </w:r>
    </w:p>
    <w:p w14:paraId="19C92BCE" w14:textId="16FAC06D" w:rsidR="00473957" w:rsidRPr="00EB2E7B" w:rsidRDefault="004E7F58" w:rsidP="004854C6">
      <w:pPr>
        <w:pStyle w:val="ANagwek3"/>
        <w:rPr>
          <w:rFonts w:asciiTheme="minorHAnsi" w:hAnsiTheme="minorHAnsi" w:cstheme="minorHAnsi"/>
          <w:sz w:val="20"/>
          <w:szCs w:val="20"/>
        </w:rPr>
      </w:pPr>
      <w:bookmarkStart w:id="426" w:name="_Ref174345536"/>
      <w:r w:rsidRPr="00EB2E7B">
        <w:rPr>
          <w:rFonts w:asciiTheme="minorHAnsi" w:hAnsiTheme="minorHAnsi" w:cstheme="minorHAnsi"/>
          <w:sz w:val="20"/>
          <w:szCs w:val="20"/>
        </w:rPr>
        <w:t xml:space="preserve">Każdy OSDn oraz ACPRO realizuje określone w Ustawie obowiązki w zakresie współpracy z OSP dotyczące bilansowania systemu i zarządzania ograniczeniami systemowymi oraz określone w ustawie o rynku mocy obowiązki w zakresie współpracy z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zgodnie </w:t>
      </w:r>
      <w:r w:rsidRPr="00EB2E7B">
        <w:rPr>
          <w:rFonts w:asciiTheme="minorHAnsi" w:hAnsiTheme="minorHAnsi" w:cstheme="minorHAnsi"/>
          <w:sz w:val="20"/>
          <w:szCs w:val="20"/>
        </w:rPr>
        <w:lastRenderedPageBreak/>
        <w:t xml:space="preserve">z postanowieniami umów zawartych pomiędzy ACPRO a OSDn oraz ACPRO a </w:t>
      </w:r>
      <w:proofErr w:type="spellStart"/>
      <w:r w:rsidRPr="00EB2E7B">
        <w:rPr>
          <w:rFonts w:asciiTheme="minorHAnsi" w:hAnsiTheme="minorHAnsi" w:cstheme="minorHAnsi"/>
          <w:sz w:val="20"/>
          <w:szCs w:val="20"/>
        </w:rPr>
        <w:t>OSDp</w:t>
      </w:r>
      <w:proofErr w:type="spellEnd"/>
      <w:r w:rsidR="008A0206" w:rsidRPr="00EB2E7B">
        <w:rPr>
          <w:rFonts w:asciiTheme="minorHAnsi" w:hAnsiTheme="minorHAnsi" w:cstheme="minorHAnsi"/>
          <w:sz w:val="20"/>
          <w:szCs w:val="20"/>
        </w:rPr>
        <w:t xml:space="preserve"> oraz</w:t>
      </w:r>
      <w:r w:rsidRPr="00EB2E7B">
        <w:rPr>
          <w:rFonts w:asciiTheme="minorHAnsi" w:hAnsiTheme="minorHAnsi" w:cstheme="minorHAnsi"/>
          <w:sz w:val="20"/>
          <w:szCs w:val="20"/>
        </w:rPr>
        <w:t xml:space="preserve"> odpowiednio zapisami WDB lub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426"/>
    </w:p>
    <w:p w14:paraId="11089450" w14:textId="546E3A80" w:rsidR="00EE53B5" w:rsidRPr="00EB2E7B" w:rsidRDefault="00EE53B5" w:rsidP="004854C6">
      <w:pPr>
        <w:pStyle w:val="ANagwek3"/>
        <w:rPr>
          <w:rFonts w:asciiTheme="minorHAnsi" w:hAnsiTheme="minorHAnsi" w:cstheme="minorHAnsi"/>
          <w:sz w:val="20"/>
          <w:szCs w:val="20"/>
        </w:rPr>
      </w:pPr>
      <w:r w:rsidRPr="00EB2E7B">
        <w:rPr>
          <w:rFonts w:asciiTheme="minorHAnsi" w:hAnsiTheme="minorHAnsi" w:cstheme="minorHAnsi"/>
          <w:sz w:val="20"/>
          <w:szCs w:val="20"/>
        </w:rPr>
        <w:t>Podmiot, którego sieci, urządzenia i instalacje są przyłączone do sieci dystrybucyjnej ACPRO nieobjętej podstawowym lub rozszerzonym obszarem RB i</w:t>
      </w:r>
      <w:r w:rsidR="007E14D1" w:rsidRPr="00EB2E7B">
        <w:rPr>
          <w:rFonts w:asciiTheme="minorHAnsi" w:hAnsiTheme="minorHAnsi" w:cstheme="minorHAnsi"/>
          <w:sz w:val="20"/>
          <w:szCs w:val="20"/>
        </w:rPr>
        <w:t> </w:t>
      </w:r>
      <w:r w:rsidRPr="00EB2E7B">
        <w:rPr>
          <w:rFonts w:asciiTheme="minorHAnsi" w:hAnsiTheme="minorHAnsi" w:cstheme="minorHAnsi"/>
          <w:sz w:val="20"/>
          <w:szCs w:val="20"/>
        </w:rPr>
        <w:t>który posiada umowę dystrybucji z ACPRO albo umowę kompleksową zawartą ze sprzedawcą posiadającym zawartą GUD z ACPRO, jest URD.</w:t>
      </w:r>
    </w:p>
    <w:p w14:paraId="16E0FD39" w14:textId="112E6DCC" w:rsidR="00EE53B5" w:rsidRPr="00EB2E7B" w:rsidRDefault="00EE53B5" w:rsidP="00FA7CC4">
      <w:pPr>
        <w:ind w:left="1134" w:firstLine="0"/>
        <w:rPr>
          <w:rFonts w:asciiTheme="minorHAnsi" w:hAnsiTheme="minorHAnsi" w:cstheme="minorHAnsi"/>
          <w:sz w:val="20"/>
          <w:szCs w:val="20"/>
        </w:rPr>
      </w:pPr>
      <w:r w:rsidRPr="00EB2E7B">
        <w:rPr>
          <w:rFonts w:asciiTheme="minorHAnsi" w:hAnsiTheme="minorHAnsi" w:cstheme="minorHAnsi"/>
          <w:sz w:val="20"/>
          <w:szCs w:val="20"/>
        </w:rPr>
        <w:t>Zasady obsługi podmiotów przyłączonych do sieci OSDn (zwanych dalej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reguluje stosowna instrukcja ruchu i eksploatacji sieci dystrybucyjnej opracowana przez OSDn.</w:t>
      </w:r>
    </w:p>
    <w:p w14:paraId="642E1489" w14:textId="417FBF7F" w:rsidR="007E14D1" w:rsidRPr="00EB2E7B" w:rsidRDefault="00FA2C10"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Tryb i zasady powiadamiania ACPRO o zawartych umowach kompleksowych określone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-Bilansowanie, nie dotyczą umów kompleksowych zawieranych przez sprzedawcę z urzędu z URD w gospodarstwie domowym, który nie skorzystał z prawa wyboru sprzedawcy.</w:t>
      </w:r>
    </w:p>
    <w:p w14:paraId="55A24863" w14:textId="5C92F1CE" w:rsidR="00473957" w:rsidRPr="00EB2E7B" w:rsidRDefault="00B60EFC" w:rsidP="0024189C">
      <w:pPr>
        <w:pStyle w:val="ANagwek2"/>
        <w:rPr>
          <w:rFonts w:asciiTheme="minorHAnsi" w:hAnsiTheme="minorHAnsi" w:cstheme="minorHAnsi"/>
          <w:sz w:val="20"/>
          <w:szCs w:val="20"/>
        </w:rPr>
      </w:pPr>
      <w:bookmarkStart w:id="427" w:name="_Toc239333369"/>
      <w:r w:rsidRPr="00EB2E7B">
        <w:rPr>
          <w:rFonts w:asciiTheme="minorHAnsi" w:hAnsiTheme="minorHAnsi" w:cstheme="minorHAnsi"/>
          <w:sz w:val="20"/>
          <w:szCs w:val="20"/>
        </w:rPr>
        <w:t>ZAKRES PRZEDMIOTOWY I PODMIOTOWY</w:t>
      </w:r>
      <w:bookmarkEnd w:id="427"/>
    </w:p>
    <w:p w14:paraId="4482C6AF" w14:textId="23C72BB9" w:rsidR="00B576A9" w:rsidRPr="00EB2E7B" w:rsidRDefault="00CC6847" w:rsidP="004854C6">
      <w:pPr>
        <w:pStyle w:val="ANagwek3"/>
        <w:numPr>
          <w:ilvl w:val="2"/>
          <w:numId w:val="390"/>
        </w:numPr>
        <w:rPr>
          <w:rFonts w:asciiTheme="minorHAnsi" w:hAnsiTheme="minorHAnsi" w:cstheme="minorHAnsi"/>
          <w:sz w:val="20"/>
          <w:szCs w:val="20"/>
        </w:rPr>
      </w:pP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-Bilansowanie określa zasady, procedury i uwarunkowania bilansowania systemu dystrybucyjnego oraz realizacji umów sprzedaży lub umów kompleksowych zawartych przez podmioty przyłączone do sieci dystrybucyjnej i</w:t>
      </w:r>
      <w:r w:rsidR="00E01C08" w:rsidRPr="00EB2E7B">
        <w:rPr>
          <w:rFonts w:asciiTheme="minorHAnsi" w:hAnsiTheme="minorHAnsi" w:cstheme="minorHAnsi"/>
          <w:sz w:val="20"/>
          <w:szCs w:val="20"/>
        </w:rPr>
        <w:t> </w:t>
      </w:r>
      <w:r w:rsidRPr="00EB2E7B">
        <w:rPr>
          <w:rFonts w:asciiTheme="minorHAnsi" w:hAnsiTheme="minorHAnsi" w:cstheme="minorHAnsi"/>
          <w:sz w:val="20"/>
          <w:szCs w:val="20"/>
        </w:rPr>
        <w:t>realizowanych w sieci dystrybucyjnej przez ACPRO, a w szczególności:</w:t>
      </w:r>
    </w:p>
    <w:p w14:paraId="680D1142"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podmioty i warunki bilansowania systemu dystrybucyjnego, </w:t>
      </w:r>
    </w:p>
    <w:p w14:paraId="585C05DD" w14:textId="6E4158C0"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kodyfikacji podmiotów, </w:t>
      </w:r>
    </w:p>
    <w:p w14:paraId="5D59D6E9"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procedury powiadamiania o zawartych umowach sprzedaży energii elektrycznej lub umowach kompleksowych i weryfikacji powiadomień, </w:t>
      </w:r>
    </w:p>
    <w:p w14:paraId="5A968A80"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pozyskiwania i udostępniania danych pomiarowych, </w:t>
      </w:r>
    </w:p>
    <w:p w14:paraId="5C4C32E1" w14:textId="097ED815"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współpracy </w:t>
      </w:r>
      <w:r w:rsidR="005E7FF7" w:rsidRPr="00EB2E7B">
        <w:rPr>
          <w:rFonts w:asciiTheme="minorHAnsi" w:hAnsiTheme="minorHAnsi" w:cstheme="minorHAnsi"/>
          <w:sz w:val="20"/>
          <w:szCs w:val="20"/>
        </w:rPr>
        <w:t xml:space="preserve">ACPRO i </w:t>
      </w:r>
      <w:r w:rsidRPr="00EB2E7B">
        <w:rPr>
          <w:rFonts w:asciiTheme="minorHAnsi" w:hAnsiTheme="minorHAnsi" w:cstheme="minorHAnsi"/>
          <w:sz w:val="20"/>
          <w:szCs w:val="20"/>
        </w:rPr>
        <w:t xml:space="preserve">OSDn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zakresie przekazywania danych pomiarowych dla potrzeb rozliczeń na RB oraz zasady współpracy w zakresie wymiany informacji dla potrzeb rynku mocy, </w:t>
      </w:r>
    </w:p>
    <w:p w14:paraId="7248CE88"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procedurę zmiany sprzedawcy, </w:t>
      </w:r>
    </w:p>
    <w:p w14:paraId="6E282DB7"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bilansowania handlowego w obszarze rynku detalicznego, </w:t>
      </w:r>
    </w:p>
    <w:p w14:paraId="166EBE7E"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opracowania, aktualizacji i udostępniania standardowych profili zużycia, </w:t>
      </w:r>
    </w:p>
    <w:p w14:paraId="318EA8BD"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postępowanie reklamacyjne, </w:t>
      </w:r>
    </w:p>
    <w:p w14:paraId="48EC20A5" w14:textId="55C40988"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zarządzanie ograniczeniami systemowymi, </w:t>
      </w:r>
    </w:p>
    <w:p w14:paraId="25AD2672"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udzielania informacji i obsługi odbiorców, </w:t>
      </w:r>
    </w:p>
    <w:p w14:paraId="7EA8A858"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sprzedaży rezerwowej, </w:t>
      </w:r>
    </w:p>
    <w:p w14:paraId="274F3C5E" w14:textId="77777777" w:rsidR="00B576A9"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zasady wymiany informacji w obszarze rynku detalicznego, </w:t>
      </w:r>
    </w:p>
    <w:p w14:paraId="25CBBA7E" w14:textId="30F6250E" w:rsidR="00B576A9" w:rsidRPr="00EB2E7B" w:rsidRDefault="00CC6847"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zasady współpracy dotyczące usługi IRP i usługi IZP</w:t>
      </w:r>
      <w:r w:rsidR="00B576A9" w:rsidRPr="00EB2E7B">
        <w:rPr>
          <w:rFonts w:asciiTheme="minorHAnsi" w:hAnsiTheme="minorHAnsi" w:cstheme="minorHAnsi"/>
          <w:sz w:val="20"/>
          <w:szCs w:val="20"/>
        </w:rPr>
        <w:t>,</w:t>
      </w:r>
    </w:p>
    <w:p w14:paraId="5B84162D" w14:textId="2AE52F46" w:rsidR="00473957" w:rsidRPr="00EB2E7B" w:rsidRDefault="00B576A9" w:rsidP="00E01C08">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istotne postanowienia umów o świadczenie usług dystrybucji zawieranych ze sprzedawcami energii elektrycznej (GUD).</w:t>
      </w:r>
    </w:p>
    <w:p w14:paraId="3C7AC99C"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 xml:space="preserve">od dnia przystąpienia ACPRO do CSIRE —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-Bilansowanie określa zasady, procedury i uwarunkowania bilansowania systemu dystrybucyjnego oraz realizacji umów sprzedaży lub umów </w:t>
      </w:r>
      <w:r>
        <w:rPr>
          <w:rFonts w:asciiTheme="minorHAnsi" w:hAnsiTheme="minorHAnsi" w:cstheme="minorHAnsi"/>
          <w:sz w:val="20"/>
          <w:szCs w:val="20"/>
        </w:rPr>
        <w:lastRenderedPageBreak/>
        <w:t>kompleksowych zawartych przez podmioty przyłączone do sieci dystrybucyjnej i realizowanych w sieci dystrybucyjnej przez ACPRO, a w szczególności:</w:t>
      </w:r>
    </w:p>
    <w:p w14:paraId="4D9549A0"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podmioty i warunki bilansowania systemu dystrybucyjnego,</w:t>
      </w:r>
    </w:p>
    <w:p w14:paraId="733664CD"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zasady kodyfikacji podmiotów,</w:t>
      </w:r>
    </w:p>
    <w:p w14:paraId="08C5F8F9"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zasady sprzedaży rezerwowej,</w:t>
      </w:r>
    </w:p>
    <w:p w14:paraId="2DED1C89"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4) zasady współpracy OSDn z </w:t>
      </w:r>
      <w:proofErr w:type="spellStart"/>
      <w:r>
        <w:rPr>
          <w:rFonts w:asciiTheme="minorHAnsi" w:hAnsiTheme="minorHAnsi" w:cstheme="minorHAnsi"/>
          <w:sz w:val="20"/>
          <w:szCs w:val="20"/>
        </w:rPr>
        <w:t>OSDp</w:t>
      </w:r>
      <w:proofErr w:type="spellEnd"/>
      <w:r>
        <w:rPr>
          <w:rFonts w:asciiTheme="minorHAnsi" w:hAnsiTheme="minorHAnsi" w:cstheme="minorHAnsi"/>
          <w:sz w:val="20"/>
          <w:szCs w:val="20"/>
        </w:rPr>
        <w:t xml:space="preserve"> w zakresie przekazywania danych pomiarowych dla potrzeb rozliczeń na RB oraz zasady współpracy w zakresie wymiany informacji dla potrzeb rynku mocy,</w:t>
      </w:r>
    </w:p>
    <w:p w14:paraId="7C6C707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5) zasady współpracy dotyczące usługi IRP,</w:t>
      </w:r>
    </w:p>
    <w:p w14:paraId="67233DA6"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6) zasady pozyskiwania i udostępniania danych pomiarowych,</w:t>
      </w:r>
    </w:p>
    <w:p w14:paraId="4E0100F7"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7) procedurę zmiany sprzedawcy oraz zgłaszania i przyjmowania przez ACPRO do realizacji umów sprzedaży i umów kompleksowych,</w:t>
      </w:r>
    </w:p>
    <w:p w14:paraId="178EE0A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8) zasady bilansowania handlowego w obszarze rynku detalicznego,</w:t>
      </w:r>
    </w:p>
    <w:p w14:paraId="5F4CD668"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9) zasady opracowania, aktualizacji i udostępniania standardowych profili zużycia,</w:t>
      </w:r>
    </w:p>
    <w:p w14:paraId="21CA4407"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10) postępowanie reklamacyjne i obowiązki informacyjne,</w:t>
      </w:r>
    </w:p>
    <w:p w14:paraId="67A077C3"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11) zarządzanie ograniczeniami systemowymi,</w:t>
      </w:r>
    </w:p>
    <w:p w14:paraId="121F6F06"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12) zasady wymiany informacji w obszarze rynku detalicznego,</w:t>
      </w:r>
    </w:p>
    <w:p w14:paraId="5AF3045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13) istotne postanowienia umów o świadczeniu usług dystrybucji zawieranych ze sprzedawcami energii elektrycznej (GUD i GUD-K).</w:t>
      </w:r>
    </w:p>
    <w:p w14:paraId="7553ABD7" w14:textId="4ED5DDD7"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Obszar </w:t>
      </w:r>
      <w:r w:rsidR="0062131F" w:rsidRPr="00EB2E7B">
        <w:rPr>
          <w:rFonts w:asciiTheme="minorHAnsi" w:hAnsiTheme="minorHAnsi" w:cstheme="minorHAnsi"/>
          <w:sz w:val="20"/>
          <w:szCs w:val="20"/>
        </w:rPr>
        <w:t>sieci, dla którego ACPRO wykonuje określone w Ustawie obowiązki w zakresie współpracy z OSP dotyczące bilansowania systemu i zarządzania ograniczeniami obejmuje sieć dystrybucyjną ACPRO, z</w:t>
      </w:r>
      <w:r w:rsidR="00143318" w:rsidRPr="00EB2E7B">
        <w:rPr>
          <w:rFonts w:asciiTheme="minorHAnsi" w:hAnsiTheme="minorHAnsi" w:cstheme="minorHAnsi"/>
          <w:sz w:val="20"/>
          <w:szCs w:val="20"/>
        </w:rPr>
        <w:t> </w:t>
      </w:r>
      <w:r w:rsidR="0062131F" w:rsidRPr="00EB2E7B">
        <w:rPr>
          <w:rFonts w:asciiTheme="minorHAnsi" w:hAnsiTheme="minorHAnsi" w:cstheme="minorHAnsi"/>
          <w:sz w:val="20"/>
          <w:szCs w:val="20"/>
        </w:rPr>
        <w:t>wyłączeniem miejsc dostarczania podmiotów, których urządzenia i sieci są objęte obszarem RB</w:t>
      </w:r>
      <w:r w:rsidRPr="00EB2E7B">
        <w:rPr>
          <w:rFonts w:asciiTheme="minorHAnsi" w:hAnsiTheme="minorHAnsi" w:cstheme="minorHAnsi"/>
          <w:sz w:val="20"/>
          <w:szCs w:val="20"/>
        </w:rPr>
        <w:t xml:space="preserve">. </w:t>
      </w:r>
    </w:p>
    <w:p w14:paraId="25F43BBC" w14:textId="7DAC6E92" w:rsidR="00571819" w:rsidRPr="00EB2E7B" w:rsidRDefault="0077111A" w:rsidP="004854C6">
      <w:pPr>
        <w:pStyle w:val="ANagwek3"/>
        <w:rPr>
          <w:rFonts w:asciiTheme="minorHAnsi" w:hAnsiTheme="minorHAnsi" w:cstheme="minorHAnsi"/>
          <w:sz w:val="20"/>
          <w:szCs w:val="20"/>
        </w:rPr>
      </w:pPr>
      <w:bookmarkStart w:id="428" w:name="_Ref190168409"/>
      <w:r w:rsidRPr="00EB2E7B">
        <w:rPr>
          <w:rFonts w:asciiTheme="minorHAnsi" w:hAnsiTheme="minorHAnsi" w:cstheme="minorHAnsi"/>
          <w:sz w:val="20"/>
          <w:szCs w:val="20"/>
        </w:rPr>
        <w:t xml:space="preserve">Procedury </w:t>
      </w:r>
      <w:r w:rsidR="0062131F" w:rsidRPr="00EB2E7B">
        <w:rPr>
          <w:rFonts w:asciiTheme="minorHAnsi" w:hAnsiTheme="minorHAnsi" w:cstheme="minorHAnsi"/>
          <w:sz w:val="20"/>
          <w:szCs w:val="20"/>
        </w:rPr>
        <w:t xml:space="preserve">bilansowania systemu dystrybucyjnego i zarządzania ograniczeniami systemowymi określone w </w:t>
      </w:r>
      <w:proofErr w:type="spellStart"/>
      <w:r w:rsidR="0062131F" w:rsidRPr="00EB2E7B">
        <w:rPr>
          <w:rFonts w:asciiTheme="minorHAnsi" w:hAnsiTheme="minorHAnsi" w:cstheme="minorHAnsi"/>
          <w:sz w:val="20"/>
          <w:szCs w:val="20"/>
        </w:rPr>
        <w:t>IRiESD</w:t>
      </w:r>
      <w:proofErr w:type="spellEnd"/>
      <w:r w:rsidR="0062131F" w:rsidRPr="00EB2E7B">
        <w:rPr>
          <w:rFonts w:asciiTheme="minorHAnsi" w:hAnsiTheme="minorHAnsi" w:cstheme="minorHAnsi"/>
          <w:sz w:val="20"/>
          <w:szCs w:val="20"/>
        </w:rPr>
        <w:t>-Bilansowanie obowiązują</w:t>
      </w:r>
      <w:r w:rsidRPr="00EB2E7B">
        <w:rPr>
          <w:rFonts w:asciiTheme="minorHAnsi" w:hAnsiTheme="minorHAnsi" w:cstheme="minorHAnsi"/>
          <w:sz w:val="20"/>
          <w:szCs w:val="20"/>
        </w:rPr>
        <w:t>:</w:t>
      </w:r>
      <w:bookmarkEnd w:id="428"/>
      <w:r w:rsidRPr="00EB2E7B">
        <w:rPr>
          <w:rFonts w:asciiTheme="minorHAnsi" w:hAnsiTheme="minorHAnsi" w:cstheme="minorHAnsi"/>
          <w:sz w:val="20"/>
          <w:szCs w:val="20"/>
        </w:rPr>
        <w:t xml:space="preserve"> </w:t>
      </w:r>
    </w:p>
    <w:p w14:paraId="0878300D" w14:textId="77777777" w:rsidR="0062131F" w:rsidRPr="00EB2E7B" w:rsidRDefault="0062131F" w:rsidP="00CE1EE4">
      <w:pPr>
        <w:pStyle w:val="aprzed"/>
        <w:numPr>
          <w:ilvl w:val="0"/>
          <w:numId w:val="421"/>
        </w:numPr>
        <w:ind w:left="1701" w:hanging="566"/>
        <w:rPr>
          <w:rFonts w:asciiTheme="minorHAnsi" w:hAnsiTheme="minorHAnsi" w:cstheme="minorHAnsi"/>
          <w:sz w:val="20"/>
          <w:szCs w:val="20"/>
        </w:rPr>
      </w:pPr>
      <w:bookmarkStart w:id="429" w:name="_Ref190167873"/>
      <w:r w:rsidRPr="00EB2E7B">
        <w:rPr>
          <w:rFonts w:asciiTheme="minorHAnsi" w:hAnsiTheme="minorHAnsi" w:cstheme="minorHAnsi"/>
          <w:sz w:val="20"/>
          <w:szCs w:val="20"/>
        </w:rPr>
        <w:t>ACPRO,</w:t>
      </w:r>
      <w:bookmarkEnd w:id="429"/>
    </w:p>
    <w:p w14:paraId="2CB852DF" w14:textId="6E44176C" w:rsidR="00781192" w:rsidRPr="00EB2E7B" w:rsidRDefault="006B05B8" w:rsidP="00CE1EE4">
      <w:pPr>
        <w:pStyle w:val="aprzed"/>
        <w:numPr>
          <w:ilvl w:val="0"/>
          <w:numId w:val="421"/>
        </w:numPr>
        <w:ind w:left="1701" w:hanging="566"/>
        <w:rPr>
          <w:rFonts w:asciiTheme="minorHAnsi" w:hAnsiTheme="minorHAnsi" w:cstheme="minorHAnsi"/>
          <w:sz w:val="20"/>
          <w:szCs w:val="20"/>
        </w:rPr>
      </w:pPr>
      <w:r w:rsidRPr="00EB2E7B">
        <w:rPr>
          <w:rFonts w:asciiTheme="minorHAnsi" w:hAnsiTheme="minorHAnsi" w:cstheme="minorHAnsi"/>
          <w:sz w:val="20"/>
          <w:szCs w:val="20"/>
        </w:rPr>
        <w:t>OSDn wyznaczonych na sieciach dystrybucyjnych przyłączonych bezpośrednio do sieci dystrybucyjnej ACPRO,</w:t>
      </w:r>
    </w:p>
    <w:p w14:paraId="05D80B7D" w14:textId="5B08378B" w:rsidR="0062131F" w:rsidRPr="00EB2E7B" w:rsidRDefault="0062131F" w:rsidP="00CE1EE4">
      <w:pPr>
        <w:pStyle w:val="aprzed"/>
        <w:numPr>
          <w:ilvl w:val="0"/>
          <w:numId w:val="421"/>
        </w:numPr>
        <w:ind w:left="1701" w:hanging="567"/>
        <w:rPr>
          <w:rFonts w:asciiTheme="minorHAnsi" w:hAnsiTheme="minorHAnsi" w:cstheme="minorHAnsi"/>
          <w:sz w:val="20"/>
          <w:szCs w:val="20"/>
        </w:rPr>
      </w:pPr>
      <w:bookmarkStart w:id="430" w:name="_Ref190096578"/>
      <w:r w:rsidRPr="00EB2E7B">
        <w:rPr>
          <w:rFonts w:asciiTheme="minorHAnsi" w:hAnsiTheme="minorHAnsi" w:cstheme="minorHAnsi"/>
          <w:sz w:val="20"/>
          <w:szCs w:val="20"/>
        </w:rPr>
        <w:t xml:space="preserve">„sąsiednich OSDn” tzn. OSDn, których sieci są połączone </w:t>
      </w:r>
      <w:r w:rsidR="00A327D1" w:rsidRPr="00EB2E7B">
        <w:rPr>
          <w:rFonts w:asciiTheme="minorHAnsi" w:hAnsiTheme="minorHAnsi" w:cstheme="minorHAnsi"/>
          <w:sz w:val="20"/>
          <w:szCs w:val="20"/>
        </w:rPr>
        <w:t>pośrednio</w:t>
      </w:r>
      <w:r w:rsidRPr="00EB2E7B">
        <w:rPr>
          <w:rFonts w:asciiTheme="minorHAnsi" w:hAnsiTheme="minorHAnsi" w:cstheme="minorHAnsi"/>
          <w:sz w:val="20"/>
          <w:szCs w:val="20"/>
        </w:rPr>
        <w:t xml:space="preserve"> z sieciami ACPRO,</w:t>
      </w:r>
      <w:bookmarkEnd w:id="430"/>
    </w:p>
    <w:p w14:paraId="4C3D66B1" w14:textId="77777777" w:rsidR="0062131F" w:rsidRPr="00EB2E7B" w:rsidRDefault="0062131F" w:rsidP="00CE1EE4">
      <w:pPr>
        <w:pStyle w:val="aprzed"/>
        <w:numPr>
          <w:ilvl w:val="0"/>
          <w:numId w:val="421"/>
        </w:numPr>
        <w:ind w:left="1701" w:hanging="567"/>
        <w:rPr>
          <w:rFonts w:asciiTheme="minorHAnsi" w:hAnsiTheme="minorHAnsi" w:cstheme="minorHAnsi"/>
          <w:sz w:val="20"/>
          <w:szCs w:val="20"/>
        </w:rPr>
      </w:pPr>
      <w:r w:rsidRPr="00EB2E7B">
        <w:rPr>
          <w:rFonts w:asciiTheme="minorHAnsi" w:hAnsiTheme="minorHAnsi" w:cstheme="minorHAnsi"/>
          <w:sz w:val="20"/>
          <w:szCs w:val="20"/>
        </w:rPr>
        <w:t>podmioty przyłączone do sieci dystrybucyjnej ACPRO,</w:t>
      </w:r>
    </w:p>
    <w:p w14:paraId="6A997B8D" w14:textId="77777777" w:rsidR="0062131F" w:rsidRPr="00EB2E7B" w:rsidRDefault="0062131F" w:rsidP="00CE1EE4">
      <w:pPr>
        <w:pStyle w:val="aprzed"/>
        <w:numPr>
          <w:ilvl w:val="0"/>
          <w:numId w:val="421"/>
        </w:numPr>
        <w:ind w:left="1701" w:hanging="567"/>
        <w:rPr>
          <w:rFonts w:asciiTheme="minorHAnsi" w:hAnsiTheme="minorHAnsi" w:cstheme="minorHAnsi"/>
          <w:sz w:val="20"/>
          <w:szCs w:val="20"/>
        </w:rPr>
      </w:pPr>
      <w:r w:rsidRPr="00EB2E7B">
        <w:rPr>
          <w:rFonts w:asciiTheme="minorHAnsi" w:hAnsiTheme="minorHAnsi" w:cstheme="minorHAnsi"/>
          <w:sz w:val="20"/>
          <w:szCs w:val="20"/>
        </w:rPr>
        <w:t>sprzedawców, którzy mają zawarte GUD z ACPRO,</w:t>
      </w:r>
    </w:p>
    <w:p w14:paraId="4AB4A591" w14:textId="6F93E5BE" w:rsidR="0062131F" w:rsidRPr="00EB2E7B" w:rsidRDefault="0062131F" w:rsidP="00CE1EE4">
      <w:pPr>
        <w:pStyle w:val="aprzed"/>
        <w:numPr>
          <w:ilvl w:val="0"/>
          <w:numId w:val="421"/>
        </w:numPr>
        <w:ind w:left="1701" w:hanging="567"/>
        <w:rPr>
          <w:rFonts w:asciiTheme="minorHAnsi" w:hAnsiTheme="minorHAnsi" w:cstheme="minorHAnsi"/>
          <w:sz w:val="20"/>
          <w:szCs w:val="20"/>
        </w:rPr>
      </w:pPr>
      <w:r w:rsidRPr="00EB2E7B">
        <w:rPr>
          <w:rFonts w:asciiTheme="minorHAnsi" w:hAnsiTheme="minorHAnsi" w:cstheme="minorHAnsi"/>
          <w:sz w:val="20"/>
          <w:szCs w:val="20"/>
        </w:rPr>
        <w:t>sprzedawców pełniących na obszarze ACPRO funkcję sprzedawcy rezerwowego,</w:t>
      </w:r>
    </w:p>
    <w:p w14:paraId="0F40969A" w14:textId="17E18A75" w:rsidR="0062131F" w:rsidRPr="00EB2E7B" w:rsidRDefault="0062131F" w:rsidP="00CE1EE4">
      <w:pPr>
        <w:pStyle w:val="aprzed"/>
        <w:numPr>
          <w:ilvl w:val="0"/>
          <w:numId w:val="421"/>
        </w:numPr>
        <w:ind w:left="1701" w:hanging="567"/>
        <w:rPr>
          <w:rFonts w:asciiTheme="minorHAnsi" w:hAnsiTheme="minorHAnsi" w:cstheme="minorHAnsi"/>
          <w:sz w:val="20"/>
          <w:szCs w:val="20"/>
        </w:rPr>
      </w:pPr>
      <w:r w:rsidRPr="00EB2E7B">
        <w:rPr>
          <w:rFonts w:asciiTheme="minorHAnsi" w:hAnsiTheme="minorHAnsi" w:cstheme="minorHAnsi"/>
          <w:sz w:val="20"/>
          <w:szCs w:val="20"/>
        </w:rPr>
        <w:t>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działających na obszarze ACPRO,</w:t>
      </w:r>
    </w:p>
    <w:p w14:paraId="3BDE4D24" w14:textId="42897BA7" w:rsidR="0062131F" w:rsidRPr="00EB2E7B" w:rsidRDefault="0062131F" w:rsidP="00CE1EE4">
      <w:pPr>
        <w:pStyle w:val="aprzed"/>
        <w:numPr>
          <w:ilvl w:val="0"/>
          <w:numId w:val="421"/>
        </w:numPr>
        <w:ind w:left="1701" w:hanging="567"/>
        <w:rPr>
          <w:rFonts w:asciiTheme="minorHAnsi" w:hAnsiTheme="minorHAnsi" w:cstheme="minorHAnsi"/>
          <w:sz w:val="20"/>
          <w:szCs w:val="20"/>
        </w:rPr>
      </w:pPr>
      <w:bookmarkStart w:id="431" w:name="_Ref190167974"/>
      <w:r w:rsidRPr="00EB2E7B">
        <w:rPr>
          <w:rFonts w:asciiTheme="minorHAnsi" w:hAnsiTheme="minorHAnsi" w:cstheme="minorHAnsi"/>
          <w:sz w:val="20"/>
          <w:szCs w:val="20"/>
        </w:rPr>
        <w:t>DUB działających na obszarze ACPRO,</w:t>
      </w:r>
      <w:bookmarkEnd w:id="431"/>
    </w:p>
    <w:p w14:paraId="54BFA1C5" w14:textId="5DFDCFF3" w:rsidR="007100B0" w:rsidRPr="00EB2E7B" w:rsidRDefault="0062131F" w:rsidP="00CE1EE4">
      <w:pPr>
        <w:pStyle w:val="aprzed"/>
        <w:numPr>
          <w:ilvl w:val="0"/>
          <w:numId w:val="421"/>
        </w:numPr>
        <w:ind w:left="1701" w:hanging="567"/>
        <w:rPr>
          <w:rFonts w:asciiTheme="minorHAnsi" w:hAnsiTheme="minorHAnsi" w:cstheme="minorHAnsi"/>
          <w:sz w:val="20"/>
          <w:szCs w:val="20"/>
        </w:rPr>
      </w:pPr>
      <w:bookmarkStart w:id="432" w:name="_Ref190167888"/>
      <w:r w:rsidRPr="00EB2E7B">
        <w:rPr>
          <w:rFonts w:asciiTheme="minorHAnsi" w:hAnsiTheme="minorHAnsi" w:cstheme="minorHAnsi"/>
          <w:sz w:val="20"/>
          <w:szCs w:val="20"/>
        </w:rPr>
        <w:t xml:space="preserve">podmioty pełniące, zgodnie z WDB, funkcje OH lub OHT i reprezentujące podmioty wymienione w lit. </w:t>
      </w:r>
      <w:r w:rsidR="00ED1716" w:rsidRPr="00EB2E7B">
        <w:rPr>
          <w:rFonts w:asciiTheme="minorHAnsi" w:hAnsiTheme="minorHAnsi" w:cstheme="minorHAnsi"/>
          <w:sz w:val="20"/>
          <w:szCs w:val="20"/>
        </w:rPr>
        <w:fldChar w:fldCharType="begin"/>
      </w:r>
      <w:r w:rsidR="00ED1716" w:rsidRPr="00EB2E7B">
        <w:rPr>
          <w:rFonts w:asciiTheme="minorHAnsi" w:hAnsiTheme="minorHAnsi" w:cstheme="minorHAnsi"/>
          <w:sz w:val="20"/>
          <w:szCs w:val="20"/>
        </w:rPr>
        <w:instrText xml:space="preserve"> REF _Ref190167873 \w \h </w:instrText>
      </w:r>
      <w:r w:rsidR="00C377F1" w:rsidRPr="00EB2E7B">
        <w:rPr>
          <w:rFonts w:asciiTheme="minorHAnsi" w:hAnsiTheme="minorHAnsi" w:cstheme="minorHAnsi"/>
          <w:sz w:val="20"/>
          <w:szCs w:val="20"/>
        </w:rPr>
        <w:instrText xml:space="preserve"> \* MERGEFORMAT </w:instrText>
      </w:r>
      <w:r w:rsidR="00ED1716" w:rsidRPr="00EB2E7B">
        <w:rPr>
          <w:rFonts w:asciiTheme="minorHAnsi" w:hAnsiTheme="minorHAnsi" w:cstheme="minorHAnsi"/>
          <w:sz w:val="20"/>
          <w:szCs w:val="20"/>
        </w:rPr>
      </w:r>
      <w:r w:rsidR="00ED171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ED1716" w:rsidRPr="00EB2E7B">
        <w:rPr>
          <w:rFonts w:asciiTheme="minorHAnsi" w:hAnsiTheme="minorHAnsi" w:cstheme="minorHAnsi"/>
          <w:sz w:val="20"/>
          <w:szCs w:val="20"/>
        </w:rPr>
        <w:fldChar w:fldCharType="end"/>
      </w:r>
      <w:r w:rsidR="00C377F1" w:rsidRPr="00EB2E7B">
        <w:rPr>
          <w:rFonts w:asciiTheme="minorHAnsi" w:hAnsiTheme="minorHAnsi" w:cstheme="minorHAnsi"/>
          <w:sz w:val="20"/>
          <w:szCs w:val="20"/>
        </w:rPr>
        <w:t xml:space="preserve"> –</w:t>
      </w:r>
      <w:r w:rsidR="00A40376" w:rsidRPr="00EB2E7B">
        <w:rPr>
          <w:rFonts w:asciiTheme="minorHAnsi" w:hAnsiTheme="minorHAnsi" w:cstheme="minorHAnsi"/>
          <w:sz w:val="20"/>
          <w:szCs w:val="20"/>
        </w:rPr>
        <w:t xml:space="preserve"> </w:t>
      </w:r>
      <w:r w:rsidR="00FA27BC" w:rsidRPr="00EB2E7B">
        <w:rPr>
          <w:rFonts w:asciiTheme="minorHAnsi" w:hAnsiTheme="minorHAnsi" w:cstheme="minorHAnsi"/>
          <w:sz w:val="20"/>
          <w:szCs w:val="20"/>
        </w:rPr>
        <w:fldChar w:fldCharType="begin"/>
      </w:r>
      <w:r w:rsidR="00FA27BC" w:rsidRPr="00EB2E7B">
        <w:rPr>
          <w:rFonts w:asciiTheme="minorHAnsi" w:hAnsiTheme="minorHAnsi" w:cstheme="minorHAnsi"/>
          <w:sz w:val="20"/>
          <w:szCs w:val="20"/>
        </w:rPr>
        <w:instrText xml:space="preserve"> REF _Ref190167974 \w \h  \* MERGEFORMAT </w:instrText>
      </w:r>
      <w:r w:rsidR="00FA27BC" w:rsidRPr="00EB2E7B">
        <w:rPr>
          <w:rFonts w:asciiTheme="minorHAnsi" w:hAnsiTheme="minorHAnsi" w:cstheme="minorHAnsi"/>
          <w:sz w:val="20"/>
          <w:szCs w:val="20"/>
        </w:rPr>
      </w:r>
      <w:r w:rsidR="00FA27B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w:t>
      </w:r>
      <w:r w:rsidR="00FA27BC" w:rsidRPr="00EB2E7B">
        <w:rPr>
          <w:rFonts w:asciiTheme="minorHAnsi" w:hAnsiTheme="minorHAnsi" w:cstheme="minorHAnsi"/>
          <w:sz w:val="20"/>
          <w:szCs w:val="20"/>
        </w:rPr>
        <w:fldChar w:fldCharType="end"/>
      </w:r>
      <w:r w:rsidR="00A40376" w:rsidRPr="00EB2E7B">
        <w:rPr>
          <w:rFonts w:asciiTheme="minorHAnsi" w:hAnsiTheme="minorHAnsi" w:cstheme="minorHAnsi"/>
          <w:sz w:val="20"/>
          <w:szCs w:val="20"/>
        </w:rPr>
        <w:t xml:space="preserve"> </w:t>
      </w:r>
      <w:r w:rsidRPr="00EB2E7B">
        <w:rPr>
          <w:rFonts w:asciiTheme="minorHAnsi" w:hAnsiTheme="minorHAnsi" w:cstheme="minorHAnsi"/>
          <w:sz w:val="20"/>
          <w:szCs w:val="20"/>
        </w:rPr>
        <w:t>– w przypadku, gdy ich działalność dotyczy obszaru ACPRO.</w:t>
      </w:r>
      <w:bookmarkEnd w:id="432"/>
    </w:p>
    <w:p w14:paraId="22A6E052" w14:textId="2364D79B" w:rsidR="00435729" w:rsidRPr="00EB2E7B" w:rsidRDefault="00435729" w:rsidP="0024189C">
      <w:pPr>
        <w:pStyle w:val="ANagwek2"/>
        <w:rPr>
          <w:rFonts w:asciiTheme="minorHAnsi" w:hAnsiTheme="minorHAnsi" w:cstheme="minorHAnsi"/>
          <w:sz w:val="20"/>
          <w:szCs w:val="20"/>
        </w:rPr>
      </w:pPr>
      <w:bookmarkStart w:id="433" w:name="_Toc239333370"/>
      <w:r w:rsidRPr="00EB2E7B">
        <w:rPr>
          <w:rFonts w:asciiTheme="minorHAnsi" w:hAnsiTheme="minorHAnsi" w:cstheme="minorHAnsi"/>
          <w:sz w:val="20"/>
          <w:szCs w:val="20"/>
        </w:rPr>
        <w:lastRenderedPageBreak/>
        <w:t>OGÓLNE ZASADY FUNKCJONOWANIA RYNKU BILANSUJĄCEGO I</w:t>
      </w:r>
      <w:r w:rsidR="00AE401B" w:rsidRPr="00EB2E7B">
        <w:rPr>
          <w:rFonts w:asciiTheme="minorHAnsi" w:hAnsiTheme="minorHAnsi" w:cstheme="minorHAnsi"/>
          <w:sz w:val="20"/>
          <w:szCs w:val="20"/>
        </w:rPr>
        <w:t> </w:t>
      </w:r>
      <w:r w:rsidRPr="00EB2E7B">
        <w:rPr>
          <w:rFonts w:asciiTheme="minorHAnsi" w:hAnsiTheme="minorHAnsi" w:cstheme="minorHAnsi"/>
          <w:sz w:val="20"/>
          <w:szCs w:val="20"/>
        </w:rPr>
        <w:t>DETALICZNEGO</w:t>
      </w:r>
      <w:bookmarkEnd w:id="433"/>
    </w:p>
    <w:p w14:paraId="3071D305" w14:textId="16E7B8A2" w:rsidR="00473957" w:rsidRPr="00EB2E7B" w:rsidRDefault="00582388" w:rsidP="004854C6">
      <w:pPr>
        <w:pStyle w:val="ANagwek3"/>
        <w:rPr>
          <w:rFonts w:asciiTheme="minorHAnsi" w:hAnsiTheme="minorHAnsi" w:cstheme="minorHAnsi"/>
          <w:sz w:val="20"/>
          <w:szCs w:val="20"/>
        </w:rPr>
      </w:pPr>
      <w:r w:rsidRPr="00EB2E7B">
        <w:rPr>
          <w:rFonts w:asciiTheme="minorHAnsi" w:hAnsiTheme="minorHAnsi" w:cstheme="minorHAnsi"/>
          <w:sz w:val="20"/>
          <w:szCs w:val="20"/>
        </w:rPr>
        <w:t>P</w:t>
      </w:r>
      <w:r w:rsidR="0077111A" w:rsidRPr="00EB2E7B">
        <w:rPr>
          <w:rFonts w:asciiTheme="minorHAnsi" w:hAnsiTheme="minorHAnsi" w:cstheme="minorHAnsi"/>
          <w:sz w:val="20"/>
          <w:szCs w:val="20"/>
        </w:rPr>
        <w:t xml:space="preserve">odmiotem </w:t>
      </w:r>
      <w:r w:rsidR="0062131F" w:rsidRPr="00EB2E7B">
        <w:rPr>
          <w:rFonts w:asciiTheme="minorHAnsi" w:hAnsiTheme="minorHAnsi" w:cstheme="minorHAnsi"/>
          <w:sz w:val="20"/>
          <w:szCs w:val="20"/>
        </w:rPr>
        <w:t>odpowiedzialnym za funkcjonowanie RB jest OSP. Zasady funkcjonowania RB, w tym obszar RB, określają WDB. Na RB działają URB, którymi mogą być:</w:t>
      </w:r>
    </w:p>
    <w:p w14:paraId="1AEE41D4" w14:textId="0793786D" w:rsidR="0062131F" w:rsidRPr="00EB2E7B" w:rsidRDefault="0062131F" w:rsidP="00CE1EE4">
      <w:pPr>
        <w:pStyle w:val="1przed"/>
        <w:numPr>
          <w:ilvl w:val="0"/>
          <w:numId w:val="216"/>
        </w:numPr>
        <w:ind w:left="1701" w:hanging="567"/>
        <w:rPr>
          <w:rFonts w:asciiTheme="minorHAnsi" w:hAnsiTheme="minorHAnsi" w:cstheme="minorHAnsi"/>
          <w:sz w:val="20"/>
          <w:szCs w:val="20"/>
        </w:rPr>
      </w:pPr>
      <w:r w:rsidRPr="00EB2E7B">
        <w:rPr>
          <w:rFonts w:asciiTheme="minorHAnsi" w:hAnsiTheme="minorHAnsi" w:cstheme="minorHAnsi"/>
          <w:sz w:val="20"/>
          <w:szCs w:val="20"/>
        </w:rPr>
        <w:t>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w:t>
      </w:r>
    </w:p>
    <w:p w14:paraId="4160327D" w14:textId="77777777" w:rsidR="0062131F" w:rsidRPr="00EB2E7B" w:rsidRDefault="0062131F" w:rsidP="00CE1EE4">
      <w:pPr>
        <w:pStyle w:val="1przed"/>
        <w:numPr>
          <w:ilvl w:val="0"/>
          <w:numId w:val="216"/>
        </w:numPr>
        <w:ind w:left="1701" w:hanging="567"/>
        <w:rPr>
          <w:rFonts w:asciiTheme="minorHAnsi" w:hAnsiTheme="minorHAnsi" w:cstheme="minorHAnsi"/>
          <w:sz w:val="20"/>
          <w:szCs w:val="20"/>
        </w:rPr>
      </w:pPr>
      <w:r w:rsidRPr="00EB2E7B">
        <w:rPr>
          <w:rFonts w:asciiTheme="minorHAnsi" w:hAnsiTheme="minorHAnsi" w:cstheme="minorHAnsi"/>
          <w:sz w:val="20"/>
          <w:szCs w:val="20"/>
        </w:rPr>
        <w:t>DUB.</w:t>
      </w:r>
    </w:p>
    <w:p w14:paraId="227DC266" w14:textId="29BEB706" w:rsidR="0062131F" w:rsidRPr="00EB2E7B" w:rsidRDefault="0062131F" w:rsidP="007670F4">
      <w:pPr>
        <w:ind w:left="1134" w:firstLine="0"/>
        <w:rPr>
          <w:rFonts w:asciiTheme="minorHAnsi" w:hAnsiTheme="minorHAnsi" w:cstheme="minorHAnsi"/>
          <w:sz w:val="20"/>
          <w:szCs w:val="20"/>
        </w:rPr>
      </w:pPr>
      <w:r w:rsidRPr="00EB2E7B">
        <w:rPr>
          <w:rFonts w:asciiTheme="minorHAnsi" w:hAnsiTheme="minorHAnsi" w:cstheme="minorHAnsi"/>
          <w:sz w:val="20"/>
          <w:szCs w:val="20"/>
        </w:rPr>
        <w:t>URB może być jednocześnie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i DUB.</w:t>
      </w:r>
    </w:p>
    <w:p w14:paraId="4F3A2658" w14:textId="6F065F14" w:rsidR="0062131F" w:rsidRPr="00EB2E7B" w:rsidRDefault="0062131F" w:rsidP="007670F4">
      <w:pPr>
        <w:ind w:left="1134" w:firstLine="0"/>
        <w:rPr>
          <w:rFonts w:asciiTheme="minorHAnsi" w:hAnsiTheme="minorHAnsi" w:cstheme="minorHAnsi"/>
          <w:sz w:val="20"/>
          <w:szCs w:val="20"/>
        </w:rPr>
      </w:pPr>
      <w:r w:rsidRPr="00EB2E7B">
        <w:rPr>
          <w:rFonts w:asciiTheme="minorHAnsi" w:hAnsiTheme="minorHAnsi" w:cstheme="minorHAnsi"/>
          <w:sz w:val="20"/>
          <w:szCs w:val="20"/>
        </w:rPr>
        <w:t>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może być podmiot, który ma zawartą umowę przesyłową, na mocy której, w</w:t>
      </w:r>
      <w:r w:rsidR="007E14D1" w:rsidRPr="00EB2E7B">
        <w:rPr>
          <w:rFonts w:asciiTheme="minorHAnsi" w:hAnsiTheme="minorHAnsi" w:cstheme="minorHAnsi"/>
          <w:sz w:val="20"/>
          <w:szCs w:val="20"/>
        </w:rPr>
        <w:t> </w:t>
      </w:r>
      <w:r w:rsidRPr="00EB2E7B">
        <w:rPr>
          <w:rFonts w:asciiTheme="minorHAnsi" w:hAnsiTheme="minorHAnsi" w:cstheme="minorHAnsi"/>
          <w:sz w:val="20"/>
          <w:szCs w:val="20"/>
        </w:rPr>
        <w:t xml:space="preserve">celu zapewnienia sobie zbilansowania handlowego, realizuje dostawy energii elektrycznej poprzez obszar RB oraz podlega rozliczeniom z tytułu niezbilansowania, zgodnie z zasadami określonymi w WDB. Natomiast DUB może być podmiot, o którym mowa w pkt </w:t>
      </w:r>
      <w:r w:rsidR="004926CB" w:rsidRPr="00EB2E7B">
        <w:rPr>
          <w:rFonts w:asciiTheme="minorHAnsi" w:hAnsiTheme="minorHAnsi" w:cstheme="minorHAnsi"/>
          <w:sz w:val="20"/>
          <w:szCs w:val="20"/>
        </w:rPr>
        <w:fldChar w:fldCharType="begin"/>
      </w:r>
      <w:r w:rsidR="004926CB" w:rsidRPr="00EB2E7B">
        <w:rPr>
          <w:rFonts w:asciiTheme="minorHAnsi" w:hAnsiTheme="minorHAnsi" w:cstheme="minorHAnsi"/>
          <w:sz w:val="20"/>
          <w:szCs w:val="20"/>
        </w:rPr>
        <w:instrText xml:space="preserve"> REF _Ref190094361 \w \h  \* MERGEFORMAT </w:instrText>
      </w:r>
      <w:r w:rsidR="004926CB" w:rsidRPr="00EB2E7B">
        <w:rPr>
          <w:rFonts w:asciiTheme="minorHAnsi" w:hAnsiTheme="minorHAnsi" w:cstheme="minorHAnsi"/>
          <w:sz w:val="20"/>
          <w:szCs w:val="20"/>
        </w:rPr>
      </w:r>
      <w:r w:rsidR="004926C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A.10.1</w:t>
      </w:r>
      <w:r w:rsidR="004926CB"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19B9459A" w14:textId="77777777" w:rsidR="00473957" w:rsidRPr="00EB2E7B" w:rsidRDefault="00232DA9"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 ramach swoich obowiązków, określonych przepisami prawa umożliwia realizację: </w:t>
      </w:r>
    </w:p>
    <w:p w14:paraId="73AFF62A" w14:textId="370D8883" w:rsidR="00473957" w:rsidRPr="00EB2E7B" w:rsidRDefault="0077111A" w:rsidP="00BE4E83">
      <w:pPr>
        <w:pStyle w:val="aprzed"/>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umów sprzedaży</w:t>
      </w:r>
      <w:r w:rsidR="00943D9E" w:rsidRPr="00EB2E7B">
        <w:rPr>
          <w:rFonts w:asciiTheme="minorHAnsi" w:hAnsiTheme="minorHAnsi" w:cstheme="minorHAnsi"/>
          <w:sz w:val="20"/>
          <w:szCs w:val="20"/>
        </w:rPr>
        <w:t xml:space="preserve"> energii elektrycznej</w:t>
      </w:r>
      <w:r w:rsidRPr="00EB2E7B">
        <w:rPr>
          <w:rFonts w:asciiTheme="minorHAnsi" w:hAnsiTheme="minorHAnsi" w:cstheme="minorHAnsi"/>
          <w:sz w:val="20"/>
          <w:szCs w:val="20"/>
        </w:rPr>
        <w:t xml:space="preserve">, w tym umów sprzedaży rezerwowej – na podstawie umowy o świadczenie usług dystrybucji energii elektrycznej, tzw. Generalnej Umowy Dystrybucji (GUD) zawartej ze sprzedawcą oraz umowy o świadczenie usług dystrybucji zawartej z URD, </w:t>
      </w:r>
    </w:p>
    <w:p w14:paraId="4083A590" w14:textId="0D7CF38A" w:rsidR="00473957" w:rsidRPr="00EB2E7B" w:rsidRDefault="0077111A" w:rsidP="00BE4E83">
      <w:pPr>
        <w:pStyle w:val="aprzed"/>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umów kompleksowych, w tym rezerwowych umów kompleksowych</w:t>
      </w:r>
      <w:r w:rsidR="005479C0" w:rsidRPr="00EB2E7B">
        <w:rPr>
          <w:rFonts w:asciiTheme="minorHAnsi" w:hAnsiTheme="minorHAnsi" w:cstheme="minorHAnsi"/>
          <w:sz w:val="20"/>
          <w:szCs w:val="20"/>
        </w:rPr>
        <w:t xml:space="preserve"> zawartych przez sprzedawcę</w:t>
      </w:r>
      <w:r w:rsidR="00C1347A" w:rsidRPr="00EB2E7B">
        <w:rPr>
          <w:rFonts w:asciiTheme="minorHAnsi" w:hAnsiTheme="minorHAnsi" w:cstheme="minorHAnsi"/>
          <w:sz w:val="20"/>
          <w:szCs w:val="20"/>
        </w:rPr>
        <w:t xml:space="preserve"> z URD</w:t>
      </w:r>
      <w:r w:rsidR="00C1347A"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w:t>
      </w:r>
      <w:r w:rsidR="00C95005" w:rsidRPr="00EB2E7B">
        <w:rPr>
          <w:rFonts w:asciiTheme="minorHAnsi" w:hAnsiTheme="minorHAnsi" w:cstheme="minorHAnsi"/>
          <w:sz w:val="20"/>
          <w:szCs w:val="20"/>
        </w:rPr>
        <w:t>nie będącymi URD</w:t>
      </w:r>
      <w:r w:rsidR="00C95005" w:rsidRPr="00EB2E7B">
        <w:rPr>
          <w:rFonts w:asciiTheme="minorHAnsi" w:hAnsiTheme="minorHAnsi" w:cstheme="minorHAnsi"/>
          <w:sz w:val="20"/>
          <w:szCs w:val="20"/>
          <w:vertAlign w:val="subscript"/>
        </w:rPr>
        <w:t>O</w:t>
      </w:r>
      <w:r w:rsidR="00C1347A" w:rsidRPr="00EB2E7B">
        <w:rPr>
          <w:rFonts w:asciiTheme="minorHAnsi" w:hAnsiTheme="minorHAnsi" w:cstheme="minorHAnsi"/>
          <w:sz w:val="20"/>
          <w:szCs w:val="20"/>
        </w:rPr>
        <w:t xml:space="preserve"> </w:t>
      </w:r>
      <w:r w:rsidR="00C95005" w:rsidRPr="00EB2E7B">
        <w:rPr>
          <w:rFonts w:asciiTheme="minorHAnsi" w:hAnsiTheme="minorHAnsi" w:cstheme="minorHAnsi"/>
          <w:sz w:val="20"/>
          <w:szCs w:val="20"/>
        </w:rPr>
        <w:t xml:space="preserve">w </w:t>
      </w:r>
      <w:r w:rsidR="006F4B5D" w:rsidRPr="00EB2E7B">
        <w:rPr>
          <w:rFonts w:asciiTheme="minorHAnsi" w:hAnsiTheme="minorHAnsi" w:cstheme="minorHAnsi"/>
          <w:sz w:val="20"/>
          <w:szCs w:val="20"/>
        </w:rPr>
        <w:t>gospodarstwach</w:t>
      </w:r>
      <w:r w:rsidR="00C95005" w:rsidRPr="00EB2E7B">
        <w:rPr>
          <w:rFonts w:asciiTheme="minorHAnsi" w:hAnsiTheme="minorHAnsi" w:cstheme="minorHAnsi"/>
          <w:sz w:val="20"/>
          <w:szCs w:val="20"/>
        </w:rPr>
        <w:t xml:space="preserve"> domowych </w:t>
      </w:r>
      <w:r w:rsidRPr="00EB2E7B">
        <w:rPr>
          <w:rFonts w:asciiTheme="minorHAnsi" w:hAnsiTheme="minorHAnsi" w:cstheme="minorHAnsi"/>
          <w:sz w:val="20"/>
          <w:szCs w:val="20"/>
        </w:rPr>
        <w:t xml:space="preserve">– na podstawie GUD zawartej ze sprzedawcą, </w:t>
      </w:r>
    </w:p>
    <w:p w14:paraId="15736C58" w14:textId="77777777" w:rsidR="00473957" w:rsidRPr="00EB2E7B" w:rsidRDefault="0077111A" w:rsidP="007670F4">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zawartych przez podmioty przyłączone do jego sieci, przy uwzględnieniu możliwości technicznych systemu dystrybucyjnego oraz przy zachowaniu jego bezpieczeństwa. </w:t>
      </w:r>
    </w:p>
    <w:p w14:paraId="40A15DB1" w14:textId="112584C2" w:rsidR="006D7688" w:rsidRPr="00EB2E7B" w:rsidRDefault="1CDA48EC" w:rsidP="004854C6">
      <w:pPr>
        <w:pStyle w:val="ANagwek3"/>
        <w:rPr>
          <w:rFonts w:asciiTheme="minorHAnsi" w:hAnsiTheme="minorHAnsi" w:cstheme="minorHAnsi"/>
          <w:sz w:val="20"/>
          <w:szCs w:val="20"/>
        </w:rPr>
      </w:pPr>
      <w:bookmarkStart w:id="434" w:name="_Ref174345537"/>
      <w:r w:rsidRPr="00EB2E7B">
        <w:rPr>
          <w:rFonts w:asciiTheme="minorHAnsi" w:hAnsiTheme="minorHAnsi" w:cstheme="minorHAnsi"/>
          <w:sz w:val="20"/>
          <w:szCs w:val="20"/>
        </w:rPr>
        <w:t>ACPRO</w:t>
      </w:r>
      <w:r w:rsidR="4BFCCFF3" w:rsidRPr="00EB2E7B">
        <w:rPr>
          <w:rFonts w:asciiTheme="minorHAnsi" w:hAnsiTheme="minorHAnsi" w:cstheme="minorHAnsi"/>
          <w:sz w:val="20"/>
          <w:szCs w:val="20"/>
        </w:rPr>
        <w:t xml:space="preserve"> uczestniczy w administrowaniu RB w zakresie obsługi JB i</w:t>
      </w:r>
      <w:r w:rsidR="70EF60BB" w:rsidRPr="00EB2E7B">
        <w:rPr>
          <w:rFonts w:asciiTheme="minorHAnsi" w:hAnsiTheme="minorHAnsi" w:cstheme="minorHAnsi"/>
          <w:sz w:val="20"/>
          <w:szCs w:val="20"/>
        </w:rPr>
        <w:t> </w:t>
      </w:r>
      <w:r w:rsidR="4BFCCFF3" w:rsidRPr="00EB2E7B">
        <w:rPr>
          <w:rFonts w:asciiTheme="minorHAnsi" w:hAnsiTheme="minorHAnsi" w:cstheme="minorHAnsi"/>
          <w:sz w:val="20"/>
          <w:szCs w:val="20"/>
        </w:rPr>
        <w:t xml:space="preserve">JG, na które składają się MB z obszaru sieci dystrybucyjnej </w:t>
      </w:r>
      <w:r w:rsidRPr="00EB2E7B">
        <w:rPr>
          <w:rFonts w:asciiTheme="minorHAnsi" w:hAnsiTheme="minorHAnsi" w:cstheme="minorHAnsi"/>
          <w:sz w:val="20"/>
          <w:szCs w:val="20"/>
        </w:rPr>
        <w:t>ACPRO</w:t>
      </w:r>
      <w:r w:rsidR="4BFCCFF3" w:rsidRPr="00EB2E7B">
        <w:rPr>
          <w:rFonts w:asciiTheme="minorHAnsi" w:hAnsiTheme="minorHAnsi" w:cstheme="minorHAnsi"/>
          <w:sz w:val="20"/>
          <w:szCs w:val="20"/>
        </w:rPr>
        <w:t xml:space="preserve"> zgodni</w:t>
      </w:r>
      <w:r w:rsidR="47B2D7FC" w:rsidRPr="00EB2E7B">
        <w:rPr>
          <w:rFonts w:asciiTheme="minorHAnsi" w:hAnsiTheme="minorHAnsi" w:cstheme="minorHAnsi"/>
          <w:sz w:val="20"/>
          <w:szCs w:val="20"/>
        </w:rPr>
        <w:t xml:space="preserve">e </w:t>
      </w:r>
      <w:r w:rsidR="4BFCCFF3" w:rsidRPr="00EB2E7B">
        <w:rPr>
          <w:rFonts w:asciiTheme="minorHAnsi" w:hAnsiTheme="minorHAnsi" w:cstheme="minorHAnsi"/>
          <w:sz w:val="20"/>
          <w:szCs w:val="20"/>
        </w:rPr>
        <w:t xml:space="preserve">z zapisami pkt </w:t>
      </w:r>
      <w:r w:rsidR="009E63FD" w:rsidRPr="00EB2E7B">
        <w:rPr>
          <w:rFonts w:asciiTheme="minorHAnsi" w:hAnsiTheme="minorHAnsi" w:cstheme="minorHAnsi"/>
          <w:sz w:val="20"/>
          <w:szCs w:val="20"/>
        </w:rPr>
        <w:fldChar w:fldCharType="begin"/>
      </w:r>
      <w:r w:rsidR="009E63FD" w:rsidRPr="00EB2E7B">
        <w:rPr>
          <w:rFonts w:asciiTheme="minorHAnsi" w:hAnsiTheme="minorHAnsi" w:cstheme="minorHAnsi"/>
          <w:sz w:val="20"/>
          <w:szCs w:val="20"/>
        </w:rPr>
        <w:instrText xml:space="preserve"> REF _Ref174345536 \w \h  \* MERGEFORMAT </w:instrText>
      </w:r>
      <w:r w:rsidR="009E63FD" w:rsidRPr="00EB2E7B">
        <w:rPr>
          <w:rFonts w:asciiTheme="minorHAnsi" w:hAnsiTheme="minorHAnsi" w:cstheme="minorHAnsi"/>
          <w:sz w:val="20"/>
          <w:szCs w:val="20"/>
        </w:rPr>
      </w:r>
      <w:r w:rsidR="009E63F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A.1.4</w:t>
      </w:r>
      <w:r w:rsidR="009E63FD" w:rsidRPr="00EB2E7B">
        <w:rPr>
          <w:rFonts w:asciiTheme="minorHAnsi" w:hAnsiTheme="minorHAnsi" w:cstheme="minorHAnsi"/>
          <w:sz w:val="20"/>
          <w:szCs w:val="20"/>
        </w:rPr>
        <w:fldChar w:fldCharType="end"/>
      </w:r>
      <w:r w:rsidR="4BFCCFF3" w:rsidRPr="00EB2E7B">
        <w:rPr>
          <w:rFonts w:asciiTheme="minorHAnsi" w:hAnsiTheme="minorHAnsi" w:cstheme="minorHAnsi"/>
          <w:sz w:val="20"/>
          <w:szCs w:val="20"/>
        </w:rPr>
        <w:t>.</w:t>
      </w:r>
    </w:p>
    <w:p w14:paraId="762E39E3" w14:textId="2EEB7026" w:rsidR="00F07BCE" w:rsidRPr="00EB2E7B" w:rsidRDefault="00C708EA" w:rsidP="007670F4">
      <w:pPr>
        <w:ind w:left="1134" w:firstLine="0"/>
        <w:rPr>
          <w:rFonts w:asciiTheme="minorHAnsi" w:hAnsiTheme="minorHAnsi" w:cstheme="minorHAnsi"/>
          <w:sz w:val="20"/>
          <w:szCs w:val="20"/>
        </w:rPr>
      </w:pPr>
      <w:r w:rsidRPr="00EB2E7B">
        <w:rPr>
          <w:rFonts w:asciiTheme="minorHAnsi" w:hAnsiTheme="minorHAnsi" w:cstheme="minorHAnsi"/>
          <w:sz w:val="20"/>
          <w:szCs w:val="20"/>
        </w:rPr>
        <w:t>W ramach obszaru RB wyróżnia się następujące MB:</w:t>
      </w:r>
    </w:p>
    <w:p w14:paraId="0BB93A56" w14:textId="069E40D7" w:rsidR="00C708EA" w:rsidRPr="00EB2E7B" w:rsidRDefault="00F74820" w:rsidP="005C4E79">
      <w:pPr>
        <w:pStyle w:val="NormalnyIRiESD"/>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fizyczne MB (</w:t>
      </w:r>
      <w:r w:rsidRPr="00EB2E7B">
        <w:rPr>
          <w:rFonts w:asciiTheme="minorHAnsi" w:hAnsiTheme="minorHAnsi" w:cstheme="minorHAnsi"/>
          <w:sz w:val="20"/>
          <w:szCs w:val="20"/>
          <w:vertAlign w:val="subscript"/>
        </w:rPr>
        <w:t>F</w:t>
      </w:r>
      <w:r w:rsidRPr="00EB2E7B">
        <w:rPr>
          <w:rFonts w:asciiTheme="minorHAnsi" w:hAnsiTheme="minorHAnsi" w:cstheme="minorHAnsi"/>
          <w:sz w:val="20"/>
          <w:szCs w:val="20"/>
        </w:rPr>
        <w:t>MB) - jeżeli jest w nim realizowana fizyczna dostawa energii elektrycznej,</w:t>
      </w:r>
    </w:p>
    <w:p w14:paraId="29B7EC4E" w14:textId="72D5FA8B" w:rsidR="00825661" w:rsidRPr="00EB2E7B" w:rsidRDefault="23A4C6E4" w:rsidP="545F2C80">
      <w:pPr>
        <w:pStyle w:val="NormalnyIRiESD"/>
        <w:ind w:left="1701" w:hanging="567"/>
        <w:rPr>
          <w:rFonts w:asciiTheme="minorHAnsi" w:hAnsiTheme="minorHAnsi" w:cstheme="minorHAnsi"/>
          <w:sz w:val="20"/>
          <w:szCs w:val="20"/>
        </w:rPr>
      </w:pPr>
      <w:r w:rsidRPr="00EB2E7B">
        <w:rPr>
          <w:rFonts w:asciiTheme="minorHAnsi" w:hAnsiTheme="minorHAnsi" w:cstheme="minorHAnsi"/>
          <w:sz w:val="20"/>
          <w:szCs w:val="20"/>
        </w:rPr>
        <w:t>wirtualne MB (</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MB) – jeżeli jest w nim realizowana dostawa energii elektrycznej niepowiązana bezpośrednio z fizycznymi przepływami energii elektrycznej.</w:t>
      </w:r>
    </w:p>
    <w:p w14:paraId="08101615" w14:textId="1D618112" w:rsidR="00473957" w:rsidRPr="00EB2E7B" w:rsidRDefault="0062131F" w:rsidP="004854C6">
      <w:pPr>
        <w:pStyle w:val="ANagwek3"/>
        <w:rPr>
          <w:rFonts w:asciiTheme="minorHAnsi" w:hAnsiTheme="minorHAnsi" w:cstheme="minorHAnsi"/>
          <w:sz w:val="20"/>
          <w:szCs w:val="20"/>
        </w:rPr>
      </w:pPr>
      <w:bookmarkStart w:id="435" w:name="_Ref184543846"/>
      <w:r w:rsidRPr="00EB2E7B">
        <w:rPr>
          <w:rFonts w:asciiTheme="minorHAnsi" w:hAnsiTheme="minorHAnsi" w:cstheme="minorHAnsi"/>
          <w:sz w:val="20"/>
          <w:szCs w:val="20"/>
          <w:vertAlign w:val="subscript"/>
        </w:rPr>
        <w:t>F</w:t>
      </w:r>
      <w:r w:rsidRPr="00EB2E7B">
        <w:rPr>
          <w:rFonts w:asciiTheme="minorHAnsi" w:hAnsiTheme="minorHAnsi" w:cstheme="minorHAnsi"/>
          <w:sz w:val="20"/>
          <w:szCs w:val="20"/>
        </w:rPr>
        <w:t>MB mogą reprezentować dostawy energii elektrycznej realizowane:</w:t>
      </w:r>
      <w:bookmarkEnd w:id="434"/>
      <w:bookmarkEnd w:id="435"/>
    </w:p>
    <w:p w14:paraId="1767AA0E" w14:textId="77777777" w:rsidR="0062131F" w:rsidRPr="00EB2E7B" w:rsidRDefault="0062131F" w:rsidP="006C498C">
      <w:pPr>
        <w:pStyle w:val="aprzed"/>
        <w:numPr>
          <w:ilvl w:val="0"/>
          <w:numId w:val="217"/>
        </w:numPr>
        <w:ind w:left="1701" w:hanging="566"/>
        <w:rPr>
          <w:rFonts w:asciiTheme="minorHAnsi" w:hAnsiTheme="minorHAnsi" w:cstheme="minorHAnsi"/>
          <w:sz w:val="20"/>
          <w:szCs w:val="20"/>
        </w:rPr>
      </w:pPr>
      <w:r w:rsidRPr="00EB2E7B">
        <w:rPr>
          <w:rFonts w:asciiTheme="minorHAnsi" w:hAnsiTheme="minorHAnsi" w:cstheme="minorHAnsi"/>
          <w:sz w:val="20"/>
          <w:szCs w:val="20"/>
        </w:rPr>
        <w:t>bezpośrednio w tej lokalizacji sieci (</w:t>
      </w:r>
      <w:r w:rsidRPr="00EB2E7B">
        <w:rPr>
          <w:rFonts w:asciiTheme="minorHAnsi" w:hAnsiTheme="minorHAnsi" w:cstheme="minorHAnsi"/>
          <w:sz w:val="20"/>
          <w:szCs w:val="20"/>
          <w:vertAlign w:val="subscript"/>
        </w:rPr>
        <w:t>FZ</w:t>
      </w:r>
      <w:r w:rsidRPr="00EB2E7B">
        <w:rPr>
          <w:rFonts w:asciiTheme="minorHAnsi" w:hAnsiTheme="minorHAnsi" w:cstheme="minorHAnsi"/>
          <w:sz w:val="20"/>
          <w:szCs w:val="20"/>
        </w:rPr>
        <w:t>MB), jako w podstawowym albo rozszerzonym obszarze RB, oraz</w:t>
      </w:r>
    </w:p>
    <w:p w14:paraId="30145C48" w14:textId="7EF3A7A9" w:rsidR="0062131F" w:rsidRPr="00EB2E7B" w:rsidRDefault="0062131F" w:rsidP="006C498C">
      <w:pPr>
        <w:pStyle w:val="aprzed"/>
        <w:numPr>
          <w:ilvl w:val="0"/>
          <w:numId w:val="217"/>
        </w:numPr>
        <w:ind w:left="1701" w:hanging="566"/>
        <w:rPr>
          <w:rFonts w:asciiTheme="minorHAnsi" w:hAnsiTheme="minorHAnsi" w:cstheme="minorHAnsi"/>
          <w:sz w:val="20"/>
          <w:szCs w:val="20"/>
        </w:rPr>
      </w:pPr>
      <w:r w:rsidRPr="00EB2E7B">
        <w:rPr>
          <w:rFonts w:asciiTheme="minorHAnsi" w:hAnsiTheme="minorHAnsi" w:cstheme="minorHAnsi"/>
          <w:sz w:val="20"/>
          <w:szCs w:val="20"/>
        </w:rPr>
        <w:t>we fragmentach sieci dystrybucyjnej nieobjętej podstawowym lub rozszerzonym obszarem RB, przyłączonych lub reprezentowanych w tej lokalizacji sieci (</w:t>
      </w:r>
      <w:r w:rsidRPr="00EB2E7B">
        <w:rPr>
          <w:rFonts w:asciiTheme="minorHAnsi" w:hAnsiTheme="minorHAnsi" w:cstheme="minorHAnsi"/>
          <w:sz w:val="20"/>
          <w:szCs w:val="20"/>
          <w:vertAlign w:val="subscript"/>
        </w:rPr>
        <w:t>FD</w:t>
      </w:r>
      <w:r w:rsidRPr="00EB2E7B">
        <w:rPr>
          <w:rFonts w:asciiTheme="minorHAnsi" w:hAnsiTheme="minorHAnsi" w:cstheme="minorHAnsi"/>
          <w:sz w:val="20"/>
          <w:szCs w:val="20"/>
        </w:rPr>
        <w:t>MB).</w:t>
      </w:r>
    </w:p>
    <w:p w14:paraId="10F8510C" w14:textId="77777777" w:rsidR="0062131F" w:rsidRPr="00EB2E7B" w:rsidRDefault="0062131F" w:rsidP="007670F4">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Ze względu na wartości atrybutów </w:t>
      </w:r>
      <w:r w:rsidRPr="00EB2E7B">
        <w:rPr>
          <w:rFonts w:asciiTheme="minorHAnsi" w:hAnsiTheme="minorHAnsi" w:cstheme="minorHAnsi"/>
          <w:sz w:val="20"/>
          <w:szCs w:val="20"/>
          <w:vertAlign w:val="subscript"/>
        </w:rPr>
        <w:t>FD</w:t>
      </w:r>
      <w:r w:rsidRPr="00EB2E7B">
        <w:rPr>
          <w:rFonts w:asciiTheme="minorHAnsi" w:hAnsiTheme="minorHAnsi" w:cstheme="minorHAnsi"/>
          <w:sz w:val="20"/>
          <w:szCs w:val="20"/>
        </w:rPr>
        <w:t xml:space="preserve">MB występują następujące oznaczenia typów </w:t>
      </w:r>
      <w:r w:rsidRPr="00EB2E7B">
        <w:rPr>
          <w:rFonts w:asciiTheme="minorHAnsi" w:hAnsiTheme="minorHAnsi" w:cstheme="minorHAnsi"/>
          <w:sz w:val="20"/>
          <w:szCs w:val="20"/>
          <w:vertAlign w:val="subscript"/>
        </w:rPr>
        <w:t>FD</w:t>
      </w:r>
      <w:r w:rsidRPr="00EB2E7B">
        <w:rPr>
          <w:rFonts w:asciiTheme="minorHAnsi" w:hAnsiTheme="minorHAnsi" w:cstheme="minorHAnsi"/>
          <w:sz w:val="20"/>
          <w:szCs w:val="20"/>
        </w:rPr>
        <w:t>MB:</w:t>
      </w:r>
    </w:p>
    <w:p w14:paraId="2149EBB7" w14:textId="2E6C6131" w:rsidR="0062131F" w:rsidRPr="00EB2E7B" w:rsidRDefault="0062131F" w:rsidP="006C498C">
      <w:pPr>
        <w:pStyle w:val="kropka"/>
        <w:ind w:left="1701" w:hanging="567"/>
        <w:rPr>
          <w:rFonts w:asciiTheme="minorHAnsi" w:hAnsiTheme="minorHAnsi" w:cstheme="minorHAnsi"/>
          <w:sz w:val="20"/>
          <w:szCs w:val="20"/>
        </w:rPr>
      </w:pPr>
      <w:r w:rsidRPr="00EB2E7B">
        <w:rPr>
          <w:rFonts w:asciiTheme="minorHAnsi" w:hAnsiTheme="minorHAnsi" w:cstheme="minorHAnsi"/>
          <w:sz w:val="20"/>
          <w:szCs w:val="20"/>
        </w:rPr>
        <w:t>MB</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MB</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 reprezentujące dostawy energii elektrycznej URD, których zasoby są przyłączone do sieci dystrybucyjnej nieobjętej podstawowym lub rozszerzonym obszarem RB,</w:t>
      </w:r>
    </w:p>
    <w:p w14:paraId="2BE4815B" w14:textId="0C6327E2" w:rsidR="0062131F" w:rsidRPr="00EB2E7B" w:rsidRDefault="0062131F" w:rsidP="006C498C">
      <w:pPr>
        <w:pStyle w:val="kropka"/>
        <w:ind w:left="1701" w:hanging="567"/>
        <w:rPr>
          <w:rFonts w:asciiTheme="minorHAnsi" w:hAnsiTheme="minorHAnsi" w:cstheme="minorHAnsi"/>
          <w:sz w:val="20"/>
          <w:szCs w:val="20"/>
        </w:rPr>
      </w:pPr>
      <w:r w:rsidRPr="00EB2E7B">
        <w:rPr>
          <w:rFonts w:asciiTheme="minorHAnsi" w:hAnsiTheme="minorHAnsi" w:cstheme="minorHAnsi"/>
          <w:sz w:val="20"/>
          <w:szCs w:val="20"/>
        </w:rPr>
        <w:t>MB</w:t>
      </w:r>
      <w:r w:rsidRPr="00EB2E7B">
        <w:rPr>
          <w:rFonts w:asciiTheme="minorHAnsi" w:hAnsiTheme="minorHAnsi" w:cstheme="minorHAnsi"/>
          <w:sz w:val="20"/>
          <w:szCs w:val="20"/>
          <w:vertAlign w:val="subscript"/>
        </w:rPr>
        <w:t>OSD</w:t>
      </w:r>
      <w:r w:rsidRPr="00EB2E7B">
        <w:rPr>
          <w:rFonts w:asciiTheme="minorHAnsi" w:hAnsiTheme="minorHAnsi" w:cstheme="minorHAnsi"/>
          <w:sz w:val="20"/>
          <w:szCs w:val="20"/>
        </w:rPr>
        <w:t xml:space="preserve"> - reprezentujące wymianę energii elektrycznej w sieci nieobjętej obszarem RB, na napięciu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pomiędzy poszczególnymi obszarami sieci dystrybucyjnej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oraz sąsiednich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11D033BD" w14:textId="666F394D" w:rsidR="002051D6" w:rsidRPr="00EB2E7B" w:rsidRDefault="0062131F" w:rsidP="006C498C">
      <w:pPr>
        <w:pStyle w:val="kropka"/>
        <w:ind w:left="1701" w:hanging="567"/>
        <w:rPr>
          <w:rFonts w:asciiTheme="minorHAnsi" w:hAnsiTheme="minorHAnsi" w:cstheme="minorHAnsi"/>
          <w:sz w:val="20"/>
          <w:szCs w:val="20"/>
        </w:rPr>
      </w:pPr>
      <w:r w:rsidRPr="00EB2E7B">
        <w:rPr>
          <w:rFonts w:asciiTheme="minorHAnsi" w:hAnsiTheme="minorHAnsi" w:cstheme="minorHAnsi"/>
          <w:sz w:val="20"/>
          <w:szCs w:val="20"/>
          <w:vertAlign w:val="subscript"/>
        </w:rPr>
        <w:lastRenderedPageBreak/>
        <w:t>AFD</w:t>
      </w:r>
      <w:r w:rsidRPr="00EB2E7B">
        <w:rPr>
          <w:rFonts w:asciiTheme="minorHAnsi" w:hAnsiTheme="minorHAnsi" w:cstheme="minorHAnsi"/>
          <w:sz w:val="20"/>
          <w:szCs w:val="20"/>
        </w:rPr>
        <w:t xml:space="preserve">MB - reprezentujące dostawy energii elektrycznej zasobów URD, z wykorzystaniem których są świadczone usługi bilansujące na RB; obowiązują odpowiednio następujące oznaczenia typów </w:t>
      </w:r>
      <w:r w:rsidRPr="00EB2E7B">
        <w:rPr>
          <w:rFonts w:asciiTheme="minorHAnsi" w:hAnsiTheme="minorHAnsi" w:cstheme="minorHAnsi"/>
          <w:sz w:val="20"/>
          <w:szCs w:val="20"/>
          <w:vertAlign w:val="subscript"/>
        </w:rPr>
        <w:t>AFD</w:t>
      </w:r>
      <w:r w:rsidRPr="00EB2E7B">
        <w:rPr>
          <w:rFonts w:asciiTheme="minorHAnsi" w:hAnsiTheme="minorHAnsi" w:cstheme="minorHAnsi"/>
          <w:sz w:val="20"/>
          <w:szCs w:val="20"/>
        </w:rPr>
        <w:t>MB: MB</w:t>
      </w:r>
      <w:r w:rsidRPr="00EB2E7B">
        <w:rPr>
          <w:rFonts w:asciiTheme="minorHAnsi" w:hAnsiTheme="minorHAnsi" w:cstheme="minorHAnsi"/>
          <w:sz w:val="20"/>
          <w:szCs w:val="20"/>
          <w:vertAlign w:val="subscript"/>
        </w:rPr>
        <w:t>AO</w:t>
      </w:r>
      <w:r w:rsidRPr="00EB2E7B">
        <w:rPr>
          <w:rFonts w:asciiTheme="minorHAnsi" w:hAnsiTheme="minorHAnsi" w:cstheme="minorHAnsi"/>
          <w:sz w:val="20"/>
          <w:szCs w:val="20"/>
        </w:rPr>
        <w:t>, MB</w:t>
      </w:r>
      <w:r w:rsidRPr="00EB2E7B">
        <w:rPr>
          <w:rFonts w:asciiTheme="minorHAnsi" w:hAnsiTheme="minorHAnsi" w:cstheme="minorHAnsi"/>
          <w:sz w:val="20"/>
          <w:szCs w:val="20"/>
          <w:vertAlign w:val="subscript"/>
        </w:rPr>
        <w:t>AW</w:t>
      </w:r>
      <w:r w:rsidRPr="00EB2E7B">
        <w:rPr>
          <w:rFonts w:asciiTheme="minorHAnsi" w:hAnsiTheme="minorHAnsi" w:cstheme="minorHAnsi"/>
          <w:sz w:val="20"/>
          <w:szCs w:val="20"/>
        </w:rPr>
        <w:t>, MB</w:t>
      </w:r>
      <w:r w:rsidRPr="00EB2E7B">
        <w:rPr>
          <w:rFonts w:asciiTheme="minorHAnsi" w:hAnsiTheme="minorHAnsi" w:cstheme="minorHAnsi"/>
          <w:sz w:val="20"/>
          <w:szCs w:val="20"/>
          <w:vertAlign w:val="subscript"/>
        </w:rPr>
        <w:t>AH</w:t>
      </w:r>
      <w:r w:rsidRPr="00EB2E7B">
        <w:rPr>
          <w:rFonts w:asciiTheme="minorHAnsi" w:hAnsiTheme="minorHAnsi" w:cstheme="minorHAnsi"/>
          <w:sz w:val="20"/>
          <w:szCs w:val="20"/>
        </w:rPr>
        <w:t>, MB</w:t>
      </w:r>
      <w:r w:rsidRPr="00EB2E7B">
        <w:rPr>
          <w:rFonts w:asciiTheme="minorHAnsi" w:hAnsiTheme="minorHAnsi" w:cstheme="minorHAnsi"/>
          <w:sz w:val="20"/>
          <w:szCs w:val="20"/>
          <w:vertAlign w:val="subscript"/>
        </w:rPr>
        <w:t>AZ</w:t>
      </w:r>
      <w:r w:rsidRPr="00EB2E7B">
        <w:rPr>
          <w:rFonts w:asciiTheme="minorHAnsi" w:hAnsiTheme="minorHAnsi" w:cstheme="minorHAnsi"/>
          <w:sz w:val="20"/>
          <w:szCs w:val="20"/>
        </w:rPr>
        <w:t>, MB</w:t>
      </w:r>
      <w:r w:rsidRPr="00EB2E7B">
        <w:rPr>
          <w:rFonts w:asciiTheme="minorHAnsi" w:hAnsiTheme="minorHAnsi" w:cstheme="minorHAnsi"/>
          <w:sz w:val="20"/>
          <w:szCs w:val="20"/>
          <w:vertAlign w:val="subscript"/>
        </w:rPr>
        <w:t>AM</w:t>
      </w:r>
      <w:r w:rsidRPr="00EB2E7B">
        <w:rPr>
          <w:rFonts w:asciiTheme="minorHAnsi" w:hAnsiTheme="minorHAnsi" w:cstheme="minorHAnsi"/>
          <w:sz w:val="20"/>
          <w:szCs w:val="20"/>
        </w:rPr>
        <w:t>, MB</w:t>
      </w:r>
      <w:r w:rsidRPr="00EB2E7B">
        <w:rPr>
          <w:rFonts w:asciiTheme="minorHAnsi" w:hAnsiTheme="minorHAnsi" w:cstheme="minorHAnsi"/>
          <w:sz w:val="20"/>
          <w:szCs w:val="20"/>
          <w:vertAlign w:val="subscript"/>
        </w:rPr>
        <w:t>AI</w:t>
      </w:r>
      <w:r w:rsidRPr="00EB2E7B">
        <w:rPr>
          <w:rFonts w:asciiTheme="minorHAnsi" w:hAnsiTheme="minorHAnsi" w:cstheme="minorHAnsi"/>
          <w:sz w:val="20"/>
          <w:szCs w:val="20"/>
        </w:rPr>
        <w:t>.</w:t>
      </w:r>
    </w:p>
    <w:p w14:paraId="5A7547B9" w14:textId="28438A86" w:rsidR="0016433A" w:rsidRPr="00EB2E7B" w:rsidRDefault="0062131F" w:rsidP="004854C6">
      <w:pPr>
        <w:pStyle w:val="ANagwek3"/>
        <w:rPr>
          <w:rFonts w:asciiTheme="minorHAnsi" w:hAnsiTheme="minorHAnsi" w:cstheme="minorHAnsi"/>
          <w:sz w:val="20"/>
          <w:szCs w:val="20"/>
        </w:rPr>
      </w:pPr>
      <w:r w:rsidRPr="00EB2E7B">
        <w:rPr>
          <w:rFonts w:asciiTheme="minorHAnsi" w:hAnsiTheme="minorHAnsi" w:cstheme="minorHAnsi"/>
          <w:sz w:val="20"/>
          <w:szCs w:val="20"/>
        </w:rPr>
        <w:t>URD jest bilansowany handlowo na RB przez POB</w:t>
      </w:r>
      <w:r w:rsidRPr="00EB2E7B">
        <w:rPr>
          <w:rFonts w:asciiTheme="minorHAnsi" w:hAnsiTheme="minorHAnsi" w:cstheme="minorHAnsi"/>
          <w:sz w:val="20"/>
          <w:szCs w:val="20"/>
          <w:vertAlign w:val="subscript"/>
        </w:rPr>
        <w:t>Z.</w:t>
      </w:r>
    </w:p>
    <w:p w14:paraId="18FDD44A" w14:textId="79C1849B" w:rsidR="0062131F" w:rsidRPr="00EB2E7B" w:rsidRDefault="0062131F" w:rsidP="007670F4">
      <w:pPr>
        <w:ind w:left="1134" w:firstLine="0"/>
        <w:rPr>
          <w:rFonts w:asciiTheme="minorHAnsi" w:hAnsiTheme="minorHAnsi" w:cstheme="minorHAnsi"/>
          <w:sz w:val="20"/>
          <w:szCs w:val="20"/>
        </w:rPr>
      </w:pPr>
      <w:r w:rsidRPr="00EB2E7B">
        <w:rPr>
          <w:rFonts w:asciiTheme="minorHAnsi" w:hAnsiTheme="minorHAnsi" w:cstheme="minorHAnsi"/>
          <w:sz w:val="20"/>
          <w:szCs w:val="20"/>
        </w:rPr>
        <w:t>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jest wskazywany przez:</w:t>
      </w:r>
    </w:p>
    <w:p w14:paraId="4A1BB1C6" w14:textId="53F62147" w:rsidR="0062131F" w:rsidRPr="00EB2E7B" w:rsidRDefault="0062131F" w:rsidP="00DF5D04">
      <w:pPr>
        <w:pStyle w:val="aprzed"/>
        <w:numPr>
          <w:ilvl w:val="0"/>
          <w:numId w:val="143"/>
        </w:numPr>
        <w:rPr>
          <w:rFonts w:asciiTheme="minorHAnsi" w:hAnsiTheme="minorHAnsi" w:cstheme="minorHAnsi"/>
          <w:sz w:val="20"/>
          <w:szCs w:val="20"/>
        </w:rPr>
      </w:pPr>
      <w:r w:rsidRPr="00EB2E7B">
        <w:rPr>
          <w:rFonts w:asciiTheme="minorHAnsi" w:hAnsiTheme="minorHAnsi" w:cstheme="minorHAnsi"/>
          <w:sz w:val="20"/>
          <w:szCs w:val="20"/>
        </w:rPr>
        <w:t>sprzedawcę – w GUD zawartej z ACPRO,</w:t>
      </w:r>
    </w:p>
    <w:p w14:paraId="37FA11D6" w14:textId="77777777" w:rsidR="00E954A0" w:rsidRDefault="00047FD1">
      <w:pPr>
        <w:pStyle w:val="aprzed"/>
        <w:numPr>
          <w:ilvl w:val="0"/>
          <w:numId w:val="143"/>
        </w:numPr>
        <w:rPr>
          <w:rFonts w:asciiTheme="minorHAnsi" w:hAnsiTheme="minorHAnsi" w:cstheme="minorHAnsi"/>
          <w:sz w:val="20"/>
          <w:szCs w:val="20"/>
        </w:rPr>
      </w:pPr>
      <w:r>
        <w:rPr>
          <w:rFonts w:asciiTheme="minorHAnsi" w:hAnsiTheme="minorHAnsi" w:cstheme="minorHAnsi"/>
          <w:sz w:val="20"/>
          <w:szCs w:val="20"/>
        </w:rPr>
        <w:t>od dnia przystąpienia ACPRO do CSIRE — sprzedawcę – w GUD lub GUD-K zawartej z ACPRO,</w:t>
      </w:r>
    </w:p>
    <w:p w14:paraId="237FD64B" w14:textId="77777777" w:rsidR="0062131F" w:rsidRPr="00EB2E7B" w:rsidRDefault="0062131F" w:rsidP="00DF5D04">
      <w:pPr>
        <w:pStyle w:val="aprzed"/>
        <w:numPr>
          <w:ilvl w:val="0"/>
          <w:numId w:val="143"/>
        </w:numPr>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w:t>
      </w:r>
    </w:p>
    <w:p w14:paraId="6C2BDA40" w14:textId="2E034C48" w:rsidR="00473957" w:rsidRPr="00EB2E7B" w:rsidRDefault="0062131F" w:rsidP="00DF5D04">
      <w:pPr>
        <w:pStyle w:val="aprzed"/>
        <w:numPr>
          <w:ilvl w:val="0"/>
          <w:numId w:val="143"/>
        </w:numPr>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w:t>
      </w:r>
    </w:p>
    <w:p w14:paraId="11A69857" w14:textId="1EC662B4" w:rsidR="0016433A" w:rsidRPr="00EB2E7B" w:rsidRDefault="0062131F"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Rozliczeń wynikających z niezbilansowania energii elektrycznej dostarczanej do systemu oraz pobieranej z systemu, dla danego PPE dokonuje tylko jeden POBZ.</w:t>
      </w:r>
    </w:p>
    <w:p w14:paraId="6960B30C" w14:textId="51A435E4" w:rsidR="00473957" w:rsidRPr="00EB2E7B" w:rsidRDefault="0062131F" w:rsidP="004854C6">
      <w:pPr>
        <w:pStyle w:val="ANagwek3"/>
        <w:rPr>
          <w:rFonts w:asciiTheme="minorHAnsi" w:hAnsiTheme="minorHAnsi" w:cstheme="minorHAnsi"/>
          <w:sz w:val="20"/>
          <w:szCs w:val="20"/>
        </w:rPr>
      </w:pPr>
      <w:r w:rsidRPr="00EB2E7B">
        <w:rPr>
          <w:rFonts w:asciiTheme="minorHAnsi" w:hAnsiTheme="minorHAnsi" w:cstheme="minorHAnsi"/>
          <w:sz w:val="20"/>
          <w:szCs w:val="20"/>
        </w:rPr>
        <w:t>Ustanowienie lub zmiana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odbywa się na warunkach i zasadach określonych w rozdziale </w:t>
      </w:r>
      <w:r w:rsidR="00E97B64" w:rsidRPr="00EB2E7B">
        <w:rPr>
          <w:rFonts w:asciiTheme="minorHAnsi" w:hAnsiTheme="minorHAnsi" w:cstheme="minorHAnsi"/>
          <w:sz w:val="20"/>
          <w:szCs w:val="20"/>
        </w:rPr>
        <w:fldChar w:fldCharType="begin"/>
      </w:r>
      <w:r w:rsidR="00E97B64" w:rsidRPr="00EB2E7B">
        <w:rPr>
          <w:rFonts w:asciiTheme="minorHAnsi" w:hAnsiTheme="minorHAnsi" w:cstheme="minorHAnsi"/>
          <w:sz w:val="20"/>
          <w:szCs w:val="20"/>
        </w:rPr>
        <w:instrText xml:space="preserve"> REF _Ref190170026 \w \h  \* MERGEFORMAT </w:instrText>
      </w:r>
      <w:r w:rsidR="00E97B64" w:rsidRPr="00EB2E7B">
        <w:rPr>
          <w:rFonts w:asciiTheme="minorHAnsi" w:hAnsiTheme="minorHAnsi" w:cstheme="minorHAnsi"/>
          <w:sz w:val="20"/>
          <w:szCs w:val="20"/>
        </w:rPr>
      </w:r>
      <w:r w:rsidR="00E97B6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E</w:t>
      </w:r>
      <w:r w:rsidR="00E97B64"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4781025A" w14:textId="32A455D5" w:rsidR="00B576A9" w:rsidRPr="00EB2E7B" w:rsidRDefault="00B576A9" w:rsidP="004854C6">
      <w:pPr>
        <w:pStyle w:val="ANagwek3"/>
        <w:rPr>
          <w:rFonts w:asciiTheme="minorHAnsi" w:hAnsiTheme="minorHAnsi" w:cstheme="minorHAnsi"/>
          <w:sz w:val="20"/>
          <w:szCs w:val="20"/>
        </w:rPr>
      </w:pPr>
      <w:bookmarkStart w:id="436" w:name="_Ref75522208"/>
      <w:bookmarkEnd w:id="436"/>
      <w:r>
        <w:rPr>
          <w:rFonts w:asciiTheme="minorHAnsi" w:hAnsiTheme="minorHAnsi" w:cstheme="minorHAnsi"/>
          <w:sz w:val="20"/>
          <w:szCs w:val="20"/>
        </w:rPr>
        <w:t>(obowiązuje do dnia poprzedzającego przystąpienie ACPRO do CSIRE) ACPRO zamieszcza na swojej stronie internetowej oraz udostępnia do publicznego wglądu w swojej siedzibie:</w:t>
      </w:r>
    </w:p>
    <w:p w14:paraId="3B4420DF" w14:textId="53A3F86E" w:rsidR="00B576A9" w:rsidRPr="00EB2E7B" w:rsidRDefault="00B576A9" w:rsidP="006C498C">
      <w:pPr>
        <w:pStyle w:val="aprzed"/>
        <w:numPr>
          <w:ilvl w:val="0"/>
          <w:numId w:val="278"/>
        </w:numPr>
        <w:ind w:left="1701" w:hanging="566"/>
        <w:rPr>
          <w:rFonts w:asciiTheme="minorHAnsi" w:hAnsiTheme="minorHAnsi" w:cstheme="minorHAnsi"/>
          <w:sz w:val="20"/>
          <w:szCs w:val="20"/>
        </w:rPr>
      </w:pPr>
      <w:bookmarkStart w:id="437" w:name="_Ref190104905"/>
      <w:r w:rsidRPr="00EB2E7B">
        <w:rPr>
          <w:rFonts w:asciiTheme="minorHAnsi" w:hAnsiTheme="minorHAnsi" w:cstheme="minorHAnsi"/>
          <w:sz w:val="20"/>
          <w:szCs w:val="20"/>
        </w:rPr>
        <w:t>aktualną listę sprzedawców rezerwowych zawierających umowy sprzedaży rezerwowej, wraz z informacją o adresach ich stron internetowych, na których zostały opublikowane oferty sprzedaży rezerwowej oraz informację o</w:t>
      </w:r>
      <w:r w:rsidR="007E14D1" w:rsidRPr="00EB2E7B">
        <w:rPr>
          <w:rFonts w:asciiTheme="minorHAnsi" w:hAnsiTheme="minorHAnsi" w:cstheme="minorHAnsi"/>
          <w:sz w:val="20"/>
          <w:szCs w:val="20"/>
        </w:rPr>
        <w:t> </w:t>
      </w:r>
      <w:r w:rsidRPr="00EB2E7B">
        <w:rPr>
          <w:rFonts w:asciiTheme="minorHAnsi" w:hAnsiTheme="minorHAnsi" w:cstheme="minorHAnsi"/>
          <w:sz w:val="20"/>
          <w:szCs w:val="20"/>
        </w:rPr>
        <w:t>obszarze, na którym dany sprzedawca oferuje sprzedaż rezerwową,</w:t>
      </w:r>
      <w:bookmarkEnd w:id="437"/>
      <w:r w:rsidRPr="00EB2E7B">
        <w:rPr>
          <w:rFonts w:asciiTheme="minorHAnsi" w:hAnsiTheme="minorHAnsi" w:cstheme="minorHAnsi"/>
          <w:sz w:val="20"/>
          <w:szCs w:val="20"/>
        </w:rPr>
        <w:t xml:space="preserve"> </w:t>
      </w:r>
    </w:p>
    <w:p w14:paraId="3FADCD40" w14:textId="540E3E5A" w:rsidR="00B576A9" w:rsidRPr="00EB2E7B" w:rsidRDefault="00B576A9" w:rsidP="00294A58">
      <w:pPr>
        <w:pStyle w:val="aprzed"/>
        <w:numPr>
          <w:ilvl w:val="0"/>
          <w:numId w:val="277"/>
        </w:numPr>
        <w:ind w:left="1701" w:hanging="566"/>
        <w:rPr>
          <w:rFonts w:asciiTheme="minorHAnsi" w:hAnsiTheme="minorHAnsi" w:cstheme="minorHAnsi"/>
          <w:sz w:val="20"/>
          <w:szCs w:val="20"/>
        </w:rPr>
      </w:pPr>
      <w:bookmarkStart w:id="438" w:name="_Ref190097323"/>
      <w:r w:rsidRPr="00EB2E7B">
        <w:rPr>
          <w:rFonts w:asciiTheme="minorHAnsi" w:hAnsiTheme="minorHAnsi" w:cstheme="minorHAnsi"/>
          <w:sz w:val="20"/>
          <w:szCs w:val="20"/>
        </w:rPr>
        <w:t>aktualną listę sprzedawców rezerwowych zawierających rezerwowe umowy kompleksowe, wraz z informacją o adresach ich stron internetowych, na których zostały opublikowane oferty sprzedaży rezerwowej oraz informację o</w:t>
      </w:r>
      <w:r w:rsidR="007E14D1" w:rsidRPr="00EB2E7B">
        <w:rPr>
          <w:rFonts w:asciiTheme="minorHAnsi" w:hAnsiTheme="minorHAnsi" w:cstheme="minorHAnsi"/>
          <w:sz w:val="20"/>
          <w:szCs w:val="20"/>
        </w:rPr>
        <w:t> </w:t>
      </w:r>
      <w:r w:rsidRPr="00EB2E7B">
        <w:rPr>
          <w:rFonts w:asciiTheme="minorHAnsi" w:hAnsiTheme="minorHAnsi" w:cstheme="minorHAnsi"/>
          <w:sz w:val="20"/>
          <w:szCs w:val="20"/>
        </w:rPr>
        <w:t>obszarze, na którym dany sprzedawca oferuje sprzedaż rezerwową.</w:t>
      </w:r>
      <w:bookmarkEnd w:id="438"/>
      <w:r w:rsidRPr="00EB2E7B">
        <w:rPr>
          <w:rFonts w:asciiTheme="minorHAnsi" w:hAnsiTheme="minorHAnsi" w:cstheme="minorHAnsi"/>
          <w:sz w:val="20"/>
          <w:szCs w:val="20"/>
        </w:rPr>
        <w:t xml:space="preserve"> </w:t>
      </w:r>
    </w:p>
    <w:p w14:paraId="38DA6726" w14:textId="08B3BAEF" w:rsidR="00895DB2" w:rsidRPr="00EB2E7B" w:rsidRDefault="00B576A9" w:rsidP="00BE4E83">
      <w:pPr>
        <w:ind w:left="1134" w:firstLine="0"/>
        <w:rPr>
          <w:rFonts w:asciiTheme="minorHAnsi" w:hAnsiTheme="minorHAnsi" w:cstheme="minorHAnsi"/>
          <w:sz w:val="20"/>
          <w:szCs w:val="20"/>
        </w:rPr>
      </w:pPr>
      <w:r w:rsidRPr="00EB2E7B">
        <w:rPr>
          <w:rFonts w:asciiTheme="minorHAnsi" w:hAnsiTheme="minorHAnsi" w:cstheme="minorHAnsi"/>
          <w:sz w:val="20"/>
          <w:szCs w:val="20"/>
        </w:rPr>
        <w:t>Sprzedawcy, o których mowa powyżej, przekazują ACPRO, na zasadach określonych w odrębnych umowach</w:t>
      </w:r>
      <w:r w:rsidR="00AB11A8" w:rsidRPr="00EB2E7B">
        <w:rPr>
          <w:rFonts w:asciiTheme="minorHAnsi" w:hAnsiTheme="minorHAnsi" w:cstheme="minorHAnsi"/>
          <w:sz w:val="20"/>
          <w:szCs w:val="20"/>
        </w:rPr>
        <w:t xml:space="preserve"> GUD</w:t>
      </w:r>
      <w:r w:rsidRPr="00EB2E7B">
        <w:rPr>
          <w:rFonts w:asciiTheme="minorHAnsi" w:hAnsiTheme="minorHAnsi" w:cstheme="minorHAnsi"/>
          <w:sz w:val="20"/>
          <w:szCs w:val="20"/>
        </w:rPr>
        <w:t xml:space="preserve">, </w:t>
      </w:r>
      <w:r w:rsidR="005C130C" w:rsidRPr="00EB2E7B">
        <w:rPr>
          <w:rFonts w:asciiTheme="minorHAnsi" w:hAnsiTheme="minorHAnsi" w:cstheme="minorHAnsi"/>
          <w:sz w:val="20"/>
          <w:szCs w:val="20"/>
        </w:rPr>
        <w:t>aktualną informację o adresie strony internetowej, na której zostały opublikowane oferty sprzedaży rezerwowej skierowane do URD Powyższa informacja przekazywana jest niezwłocznie przez Sprzedawców, jednak nie później niż w terminie 3 dni od dnia zaistnienia przedmiotowej zmiany</w:t>
      </w:r>
      <w:r w:rsidR="008F4349" w:rsidRPr="00EB2E7B">
        <w:rPr>
          <w:rFonts w:asciiTheme="minorHAnsi" w:hAnsiTheme="minorHAnsi" w:cstheme="minorHAnsi"/>
          <w:sz w:val="20"/>
          <w:szCs w:val="20"/>
        </w:rPr>
        <w:t>.</w:t>
      </w:r>
    </w:p>
    <w:p w14:paraId="514F805E" w14:textId="30FFE544" w:rsidR="00473957" w:rsidRPr="00EB2E7B" w:rsidRDefault="00C45839" w:rsidP="004854C6">
      <w:pPr>
        <w:pStyle w:val="ANagwek3"/>
        <w:rPr>
          <w:rFonts w:asciiTheme="minorHAnsi" w:hAnsiTheme="minorHAnsi" w:cstheme="minorHAnsi"/>
          <w:sz w:val="20"/>
          <w:szCs w:val="20"/>
        </w:rPr>
      </w:pPr>
      <w:bookmarkStart w:id="439" w:name="_Ref75522449"/>
      <w:r w:rsidRPr="00EB2E7B">
        <w:rPr>
          <w:rFonts w:asciiTheme="minorHAnsi" w:hAnsiTheme="minorHAnsi" w:cstheme="minorHAnsi"/>
          <w:sz w:val="20"/>
          <w:szCs w:val="20"/>
        </w:rPr>
        <w:t>ACPRO  zamieszcza na swojej stronie internetowej oraz udostępnia do publicznego wglądu w swojej siedzibie</w:t>
      </w:r>
      <w:r w:rsidR="0077111A" w:rsidRPr="00EB2E7B">
        <w:rPr>
          <w:rFonts w:asciiTheme="minorHAnsi" w:hAnsiTheme="minorHAnsi" w:cstheme="minorHAnsi"/>
          <w:sz w:val="20"/>
          <w:szCs w:val="20"/>
        </w:rPr>
        <w:t>:</w:t>
      </w:r>
      <w:bookmarkEnd w:id="439"/>
      <w:r w:rsidR="0077111A" w:rsidRPr="00EB2E7B">
        <w:rPr>
          <w:rFonts w:asciiTheme="minorHAnsi" w:hAnsiTheme="minorHAnsi" w:cstheme="minorHAnsi"/>
          <w:sz w:val="20"/>
          <w:szCs w:val="20"/>
        </w:rPr>
        <w:t xml:space="preserve"> </w:t>
      </w:r>
    </w:p>
    <w:p w14:paraId="71FC8663" w14:textId="41310AF3" w:rsidR="00473957" w:rsidRPr="00EB2E7B" w:rsidRDefault="00C45839" w:rsidP="0035604B">
      <w:pPr>
        <w:pStyle w:val="1przed"/>
        <w:numPr>
          <w:ilvl w:val="0"/>
          <w:numId w:val="169"/>
        </w:numPr>
        <w:ind w:left="1701" w:hanging="567"/>
        <w:rPr>
          <w:rFonts w:asciiTheme="minorHAnsi" w:hAnsiTheme="minorHAnsi" w:cstheme="minorHAnsi"/>
          <w:sz w:val="20"/>
          <w:szCs w:val="20"/>
        </w:rPr>
      </w:pPr>
      <w:bookmarkStart w:id="440" w:name="_Ref75522828"/>
      <w:r w:rsidRPr="00EB2E7B">
        <w:rPr>
          <w:rFonts w:asciiTheme="minorHAnsi" w:hAnsiTheme="minorHAnsi" w:cstheme="minorHAnsi"/>
          <w:sz w:val="20"/>
          <w:szCs w:val="20"/>
        </w:rPr>
        <w:t>aktualną listę sprzedawców energii elektrycznej, z którymi zawarł GUD</w:t>
      </w:r>
      <w:r w:rsidR="0077111A" w:rsidRPr="00EB2E7B">
        <w:rPr>
          <w:rFonts w:asciiTheme="minorHAnsi" w:hAnsiTheme="minorHAnsi" w:cstheme="minorHAnsi"/>
          <w:sz w:val="20"/>
          <w:szCs w:val="20"/>
        </w:rPr>
        <w:t>,</w:t>
      </w:r>
      <w:bookmarkEnd w:id="440"/>
      <w:r w:rsidR="0077111A" w:rsidRPr="00EB2E7B">
        <w:rPr>
          <w:rFonts w:asciiTheme="minorHAnsi" w:hAnsiTheme="minorHAnsi" w:cstheme="minorHAnsi"/>
          <w:sz w:val="20"/>
          <w:szCs w:val="20"/>
        </w:rPr>
        <w:t xml:space="preserve"> </w:t>
      </w:r>
    </w:p>
    <w:p w14:paraId="7EB6F0E6" w14:textId="2112EDF3" w:rsidR="00473957" w:rsidRPr="00EB2E7B" w:rsidRDefault="00C45839" w:rsidP="0035604B">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informacje o sprzedawcy z urzędu energii elektrycznej</w:t>
      </w:r>
      <w:r w:rsidR="0077111A" w:rsidRPr="00EB2E7B">
        <w:rPr>
          <w:rFonts w:asciiTheme="minorHAnsi" w:hAnsiTheme="minorHAnsi" w:cstheme="minorHAnsi"/>
          <w:sz w:val="20"/>
          <w:szCs w:val="20"/>
        </w:rPr>
        <w:t xml:space="preserve">, </w:t>
      </w:r>
    </w:p>
    <w:p w14:paraId="542574CB" w14:textId="77777777" w:rsidR="00C45839" w:rsidRPr="00EB2E7B" w:rsidRDefault="00C45839" w:rsidP="0035604B">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informacje o sprzedawcy zobowiązanym wskazanym w decyzji wydanej przez Prezesa Urzędu Regulacji Energetyki na obszarze działania,</w:t>
      </w:r>
    </w:p>
    <w:p w14:paraId="4B44A01D" w14:textId="7D58C5D8" w:rsidR="00473957" w:rsidRPr="00EB2E7B" w:rsidRDefault="00C45839" w:rsidP="0035604B">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wzorce </w:t>
      </w:r>
      <w:r w:rsidR="004E5390" w:rsidRPr="00EB2E7B">
        <w:rPr>
          <w:rFonts w:asciiTheme="minorHAnsi" w:hAnsiTheme="minorHAnsi" w:cstheme="minorHAnsi"/>
          <w:sz w:val="20"/>
          <w:szCs w:val="20"/>
        </w:rPr>
        <w:t>umów zawieranych z użytkownikami systemu, w szczególności wzorce umów zawieranych z odbiorcami końcowymi, wytwórcami oraz ze sprzedawcami i POB</w:t>
      </w:r>
      <w:r w:rsidR="004E5390" w:rsidRPr="00EB2E7B">
        <w:rPr>
          <w:rFonts w:asciiTheme="minorHAnsi" w:hAnsiTheme="minorHAnsi" w:cstheme="minorHAnsi"/>
          <w:sz w:val="20"/>
          <w:szCs w:val="20"/>
          <w:vertAlign w:val="subscript"/>
        </w:rPr>
        <w:t>Z</w:t>
      </w:r>
      <w:r w:rsidR="004E5390" w:rsidRPr="00EB2E7B">
        <w:rPr>
          <w:rFonts w:asciiTheme="minorHAnsi" w:hAnsiTheme="minorHAnsi" w:cstheme="minorHAnsi"/>
          <w:sz w:val="20"/>
          <w:szCs w:val="20"/>
        </w:rPr>
        <w:t>.</w:t>
      </w:r>
    </w:p>
    <w:p w14:paraId="11F7EEFD" w14:textId="77777777" w:rsidR="00171B68" w:rsidRPr="00EB2E7B" w:rsidRDefault="00171B68" w:rsidP="004854C6">
      <w:pPr>
        <w:pStyle w:val="ANagwek3"/>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który:</w:t>
      </w:r>
    </w:p>
    <w:p w14:paraId="4B4845D7" w14:textId="411A44F5" w:rsidR="00171B68" w:rsidRPr="00EB2E7B" w:rsidRDefault="00171B68" w:rsidP="00C40E04">
      <w:pPr>
        <w:ind w:left="1134"/>
        <w:rPr>
          <w:rFonts w:asciiTheme="minorHAnsi" w:hAnsiTheme="minorHAnsi" w:cstheme="minorHAnsi"/>
          <w:sz w:val="20"/>
          <w:szCs w:val="20"/>
        </w:rPr>
      </w:pPr>
      <w:r w:rsidRPr="00EB2E7B">
        <w:rPr>
          <w:rFonts w:asciiTheme="minorHAnsi" w:hAnsiTheme="minorHAnsi" w:cstheme="minorHAnsi"/>
          <w:sz w:val="20"/>
          <w:szCs w:val="20"/>
        </w:rPr>
        <w:t>- posiada wyłącznie odnawialne źródło energii o mocy zainstalowanej nie większej niż 1MW,</w:t>
      </w:r>
    </w:p>
    <w:p w14:paraId="532699AA" w14:textId="5EBE70D1" w:rsidR="008A50D4" w:rsidRPr="00EB2E7B" w:rsidRDefault="008A50D4"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 dokonuje zakupu energii na potrzeby własne wytwarzania od Sprzedawcy</w:t>
      </w:r>
      <w:r w:rsidR="0010230B" w:rsidRPr="00EB2E7B">
        <w:rPr>
          <w:rFonts w:asciiTheme="minorHAnsi" w:hAnsiTheme="minorHAnsi" w:cstheme="minorHAnsi"/>
          <w:sz w:val="20"/>
          <w:szCs w:val="20"/>
        </w:rPr>
        <w:t xml:space="preserve"> </w:t>
      </w:r>
      <w:r w:rsidRPr="00EB2E7B">
        <w:rPr>
          <w:rFonts w:asciiTheme="minorHAnsi" w:hAnsiTheme="minorHAnsi" w:cstheme="minorHAnsi"/>
          <w:sz w:val="20"/>
          <w:szCs w:val="20"/>
        </w:rPr>
        <w:t>Macierzystego,</w:t>
      </w:r>
    </w:p>
    <w:p w14:paraId="1A9005C8" w14:textId="77777777" w:rsidR="009F0E68" w:rsidRPr="00EB2E7B" w:rsidRDefault="008A50D4"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 sprzedaje wyprodukowaną w tym źródle energię Sprzedawcy Macierzystemu, </w:t>
      </w:r>
    </w:p>
    <w:p w14:paraId="1B8CC3C5" w14:textId="6DF9932D" w:rsidR="008A50D4" w:rsidRPr="00EB2E7B" w:rsidRDefault="008A50D4"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zakresie bilansowania handlowego może być traktowany jako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pod warunkiem oznaczenia tego faktu w umowie dystrybucji.</w:t>
      </w:r>
    </w:p>
    <w:p w14:paraId="09D86A5B" w14:textId="088E2BDF" w:rsidR="008A50D4" w:rsidRPr="00EB2E7B" w:rsidRDefault="008A50D4"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Bilansowanie handlowe tego </w:t>
      </w:r>
      <w:proofErr w:type="spellStart"/>
      <w:r w:rsidRPr="00EB2E7B">
        <w:rPr>
          <w:rFonts w:asciiTheme="minorHAnsi" w:hAnsiTheme="minorHAnsi" w:cstheme="minorHAnsi"/>
          <w:sz w:val="20"/>
          <w:szCs w:val="20"/>
        </w:rPr>
        <w:t>URDw</w:t>
      </w:r>
      <w:proofErr w:type="spellEnd"/>
      <w:r w:rsidRPr="00EB2E7B">
        <w:rPr>
          <w:rFonts w:asciiTheme="minorHAnsi" w:hAnsiTheme="minorHAnsi" w:cstheme="minorHAnsi"/>
          <w:sz w:val="20"/>
          <w:szCs w:val="20"/>
        </w:rPr>
        <w:t xml:space="preserve"> dokonywane jest w ramach bilansowania</w:t>
      </w:r>
      <w:r w:rsidR="0008614E"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Sprzedawcy Macierzystego, zgodnie z zasadami określonymi w pkt. </w:t>
      </w:r>
      <w:r w:rsidR="001F758F" w:rsidRPr="00EB2E7B">
        <w:rPr>
          <w:rFonts w:asciiTheme="minorHAnsi" w:hAnsiTheme="minorHAnsi" w:cstheme="minorHAnsi"/>
          <w:sz w:val="20"/>
          <w:szCs w:val="20"/>
        </w:rPr>
        <w:fldChar w:fldCharType="begin"/>
      </w:r>
      <w:r w:rsidR="001F758F" w:rsidRPr="00EB2E7B">
        <w:rPr>
          <w:rFonts w:asciiTheme="minorHAnsi" w:hAnsiTheme="minorHAnsi" w:cstheme="minorHAnsi"/>
          <w:sz w:val="20"/>
          <w:szCs w:val="20"/>
        </w:rPr>
        <w:instrText xml:space="preserve"> REF _Ref190094517 \w \h </w:instrText>
      </w:r>
      <w:r w:rsidR="00F37014" w:rsidRPr="00EB2E7B">
        <w:rPr>
          <w:rFonts w:asciiTheme="minorHAnsi" w:hAnsiTheme="minorHAnsi" w:cstheme="minorHAnsi"/>
          <w:sz w:val="20"/>
          <w:szCs w:val="20"/>
        </w:rPr>
        <w:instrText xml:space="preserve"> \* MERGEFORMAT </w:instrText>
      </w:r>
      <w:r w:rsidR="001F758F" w:rsidRPr="00EB2E7B">
        <w:rPr>
          <w:rFonts w:asciiTheme="minorHAnsi" w:hAnsiTheme="minorHAnsi" w:cstheme="minorHAnsi"/>
          <w:sz w:val="20"/>
          <w:szCs w:val="20"/>
        </w:rPr>
      </w:r>
      <w:r w:rsidR="001F758F" w:rsidRPr="00EB2E7B">
        <w:rPr>
          <w:rFonts w:asciiTheme="minorHAnsi" w:hAnsiTheme="minorHAnsi" w:cstheme="minorHAnsi"/>
          <w:sz w:val="20"/>
          <w:szCs w:val="20"/>
        </w:rPr>
        <w:fldChar w:fldCharType="separate"/>
      </w:r>
      <w:r w:rsidR="006A408D">
        <w:rPr>
          <w:rFonts w:asciiTheme="minorHAnsi" w:hAnsiTheme="minorHAnsi" w:cstheme="minorHAnsi"/>
          <w:b/>
          <w:bCs/>
          <w:sz w:val="20"/>
          <w:szCs w:val="20"/>
        </w:rPr>
        <w:t>Błąd! Nie można odnaleźć źródła odwołania.</w:t>
      </w:r>
      <w:r w:rsidR="001F758F"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2BF5C6B" w14:textId="14182894" w:rsidR="00473957" w:rsidRPr="00EB2E7B" w:rsidRDefault="00DC2B7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Świadczenie usług dystrybucji przez ACPRO w zakresie energii pobranej z sieci dystrybucyjnej ACPRO lub wprowadzonej do tej sieci przez OSDn, odbywa się wyłącznie na podstawie umowy o świadczenie usług dystrybucji. Umowa o świadczenie usług dystrybucji z OSDn jest zawierana na wniosek,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_Ref75525442 \r \h </w:instrText>
      </w:r>
      <w:r w:rsidR="00403EC0"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5887C17F" w14:textId="1AA9CA0C" w:rsidR="00DC2B7B" w:rsidRPr="00EB2E7B" w:rsidRDefault="00DC2B7B"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Warunki i zakres współpracy ACPRO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zakresie przekazywania danych pomiarowych określa umowa zawarta pomiędzy ACPRO 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_Ref99042198 \r \h </w:instrText>
      </w:r>
      <w:r w:rsidR="00780123"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A.6.1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2492D38" w14:textId="40540956" w:rsidR="00473957" w:rsidRPr="00EB2E7B" w:rsidRDefault="0077111A" w:rsidP="004854C6">
      <w:pPr>
        <w:pStyle w:val="ANagwek3"/>
        <w:rPr>
          <w:rFonts w:asciiTheme="minorHAnsi" w:hAnsiTheme="minorHAnsi" w:cstheme="minorHAnsi"/>
          <w:sz w:val="20"/>
          <w:szCs w:val="20"/>
        </w:rPr>
      </w:pPr>
      <w:bookmarkStart w:id="441" w:name="_Ref99041650"/>
      <w:r w:rsidRPr="00EB2E7B">
        <w:rPr>
          <w:rFonts w:asciiTheme="minorHAnsi" w:hAnsiTheme="minorHAnsi" w:cstheme="minorHAnsi"/>
          <w:sz w:val="20"/>
          <w:szCs w:val="20"/>
        </w:rPr>
        <w:t>Wytwórca w mikroinstalacji jest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zarówno w zakresie energii pobranej z</w:t>
      </w:r>
      <w:r w:rsidR="00351AC4" w:rsidRPr="00EB2E7B">
        <w:rPr>
          <w:rFonts w:asciiTheme="minorHAnsi" w:hAnsiTheme="minorHAnsi" w:cstheme="minorHAnsi"/>
          <w:sz w:val="20"/>
          <w:szCs w:val="20"/>
        </w:rPr>
        <w:t> </w:t>
      </w:r>
      <w:r w:rsidRPr="00EB2E7B">
        <w:rPr>
          <w:rFonts w:asciiTheme="minorHAnsi" w:hAnsiTheme="minorHAnsi" w:cstheme="minorHAnsi"/>
          <w:sz w:val="20"/>
          <w:szCs w:val="20"/>
        </w:rPr>
        <w:t xml:space="preserve">sieci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jak i w zakresie energii wprowadzonej do sieci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dla danego punktu poboru energii (PPE).</w:t>
      </w:r>
      <w:bookmarkEnd w:id="441"/>
      <w:r w:rsidRPr="00EB2E7B">
        <w:rPr>
          <w:rFonts w:asciiTheme="minorHAnsi" w:hAnsiTheme="minorHAnsi" w:cstheme="minorHAnsi"/>
          <w:sz w:val="20"/>
          <w:szCs w:val="20"/>
        </w:rPr>
        <w:t xml:space="preserve"> </w:t>
      </w:r>
    </w:p>
    <w:p w14:paraId="72F6ED19" w14:textId="05F2D584" w:rsidR="003841BE" w:rsidRPr="00EB2E7B" w:rsidRDefault="003841BE"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Posiadacz magazynu energii o łącznej mocy zainstalowanej magazynu energii elektrycznej mniejszej lub równej 50 kW jest URDO zarówno w zakresie energii pobranej z sieci ACPRO jak i w zakresie energii wprowadzonej do sieci ACPRO, dla danego PPE.</w:t>
      </w:r>
    </w:p>
    <w:p w14:paraId="5EBC6A20" w14:textId="1A1DADFB" w:rsidR="0056437E" w:rsidRPr="00EB2E7B" w:rsidRDefault="00582388" w:rsidP="004854C6">
      <w:pPr>
        <w:pStyle w:val="ANagwek3"/>
        <w:rPr>
          <w:rFonts w:asciiTheme="minorHAnsi" w:hAnsiTheme="minorHAnsi" w:cstheme="minorHAnsi"/>
          <w:sz w:val="20"/>
          <w:szCs w:val="20"/>
        </w:rPr>
      </w:pPr>
      <w:r w:rsidRPr="00EB2E7B">
        <w:rPr>
          <w:rFonts w:asciiTheme="minorHAnsi" w:hAnsiTheme="minorHAnsi" w:cstheme="minorHAnsi"/>
          <w:sz w:val="20"/>
          <w:szCs w:val="20"/>
        </w:rPr>
        <w:t>W</w:t>
      </w:r>
      <w:r w:rsidR="0077111A" w:rsidRPr="00EB2E7B">
        <w:rPr>
          <w:rFonts w:asciiTheme="minorHAnsi" w:hAnsiTheme="minorHAnsi" w:cstheme="minorHAnsi"/>
          <w:sz w:val="20"/>
          <w:szCs w:val="20"/>
        </w:rPr>
        <w:t xml:space="preserve">ytwórca inny, niż o którym jest mowa w </w:t>
      </w:r>
      <w:r w:rsidR="005B20ED" w:rsidRPr="00EB2E7B">
        <w:rPr>
          <w:rFonts w:asciiTheme="minorHAnsi" w:hAnsiTheme="minorHAnsi" w:cstheme="minorHAnsi"/>
          <w:sz w:val="20"/>
          <w:szCs w:val="20"/>
        </w:rPr>
        <w:t xml:space="preserve">pkt </w:t>
      </w:r>
      <w:r w:rsidR="0056437E" w:rsidRPr="00EB2E7B">
        <w:rPr>
          <w:rFonts w:asciiTheme="minorHAnsi" w:hAnsiTheme="minorHAnsi" w:cstheme="minorHAnsi"/>
          <w:sz w:val="20"/>
          <w:szCs w:val="20"/>
        </w:rPr>
        <w:fldChar w:fldCharType="begin"/>
      </w:r>
      <w:r w:rsidR="0056437E" w:rsidRPr="00EB2E7B">
        <w:rPr>
          <w:rFonts w:asciiTheme="minorHAnsi" w:hAnsiTheme="minorHAnsi" w:cstheme="minorHAnsi"/>
          <w:sz w:val="20"/>
          <w:szCs w:val="20"/>
        </w:rPr>
        <w:instrText xml:space="preserve"> REF _Ref99041650 \r \h </w:instrText>
      </w:r>
      <w:r w:rsidR="007929C5" w:rsidRPr="00EB2E7B">
        <w:rPr>
          <w:rFonts w:asciiTheme="minorHAnsi" w:hAnsiTheme="minorHAnsi" w:cstheme="minorHAnsi"/>
          <w:sz w:val="20"/>
          <w:szCs w:val="20"/>
        </w:rPr>
        <w:instrText xml:space="preserve"> \* MERGEFORMAT </w:instrText>
      </w:r>
      <w:r w:rsidR="0056437E" w:rsidRPr="00EB2E7B">
        <w:rPr>
          <w:rFonts w:asciiTheme="minorHAnsi" w:hAnsiTheme="minorHAnsi" w:cstheme="minorHAnsi"/>
          <w:sz w:val="20"/>
          <w:szCs w:val="20"/>
        </w:rPr>
      </w:r>
      <w:r w:rsidR="0056437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A.3.11</w:t>
      </w:r>
      <w:r w:rsidR="0056437E"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jest URD</w:t>
      </w:r>
      <w:r w:rsidR="0077111A" w:rsidRPr="00EB2E7B">
        <w:rPr>
          <w:rFonts w:asciiTheme="minorHAnsi" w:hAnsiTheme="minorHAnsi" w:cstheme="minorHAnsi"/>
          <w:sz w:val="20"/>
          <w:szCs w:val="20"/>
          <w:vertAlign w:val="subscript"/>
        </w:rPr>
        <w:t>W</w:t>
      </w:r>
      <w:r w:rsidR="0077111A" w:rsidRPr="00EB2E7B">
        <w:rPr>
          <w:rFonts w:asciiTheme="minorHAnsi" w:hAnsiTheme="minorHAnsi" w:cstheme="minorHAnsi"/>
          <w:sz w:val="20"/>
          <w:szCs w:val="20"/>
        </w:rPr>
        <w:t xml:space="preserve"> zarówno w</w:t>
      </w:r>
      <w:r w:rsidR="007E14D1"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zakresie energii pobranej z sieci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jak i w zakresie energii wprowadzonej do sieci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dla danego punktu poboru energii (PPE).</w:t>
      </w:r>
    </w:p>
    <w:p w14:paraId="6C588798" w14:textId="71DD03DB" w:rsidR="00473957" w:rsidRPr="00EB2E7B" w:rsidRDefault="0056437E" w:rsidP="00C40E04">
      <w:pPr>
        <w:ind w:left="1134"/>
        <w:rPr>
          <w:rFonts w:asciiTheme="minorHAnsi" w:hAnsiTheme="minorHAnsi" w:cstheme="minorHAnsi"/>
          <w:sz w:val="20"/>
          <w:szCs w:val="20"/>
        </w:rPr>
      </w:pPr>
      <w:r w:rsidRPr="00EB2E7B">
        <w:rPr>
          <w:rFonts w:asciiTheme="minorHAnsi" w:hAnsiTheme="minorHAnsi" w:cstheme="minorHAnsi"/>
          <w:sz w:val="20"/>
          <w:szCs w:val="20"/>
        </w:rPr>
        <w:t>Posiadacz magazynu energii elektrycznej inny, niż o którym jest mowa w </w:t>
      </w:r>
      <w:r w:rsidR="005B20ED" w:rsidRPr="00EB2E7B">
        <w:rPr>
          <w:rFonts w:asciiTheme="minorHAnsi" w:hAnsiTheme="minorHAnsi" w:cstheme="minorHAnsi"/>
          <w:sz w:val="20"/>
          <w:szCs w:val="20"/>
        </w:rPr>
        <w:t xml:space="preserve">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_Ref99041650 \r \h </w:instrText>
      </w:r>
      <w:r w:rsidR="005466D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A.3.11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jest URDME zarówno w zakresie energii elektrycznej pobranej z sieci ACPRO jak i w zakresie energii elektrycznej wprowadzonej do sieci ACPRO, dla danego PPE.</w:t>
      </w:r>
      <w:r w:rsidR="0077111A" w:rsidRPr="00EB2E7B">
        <w:rPr>
          <w:rFonts w:asciiTheme="minorHAnsi" w:hAnsiTheme="minorHAnsi" w:cstheme="minorHAnsi"/>
          <w:sz w:val="20"/>
          <w:szCs w:val="20"/>
        </w:rPr>
        <w:t xml:space="preserve"> </w:t>
      </w:r>
    </w:p>
    <w:p w14:paraId="1B56D2A6" w14:textId="77777777" w:rsidR="00473957" w:rsidRPr="00EB2E7B" w:rsidRDefault="0077111A" w:rsidP="004854C6">
      <w:pPr>
        <w:pStyle w:val="ANagwek3"/>
        <w:rPr>
          <w:rFonts w:asciiTheme="minorHAnsi" w:hAnsiTheme="minorHAnsi" w:cstheme="minorHAnsi"/>
          <w:sz w:val="20"/>
          <w:szCs w:val="20"/>
        </w:rPr>
      </w:pPr>
      <w:bookmarkStart w:id="442" w:name="_Ref183181157"/>
      <w:r w:rsidRPr="00EB2E7B">
        <w:rPr>
          <w:rFonts w:asciiTheme="minorHAnsi" w:hAnsiTheme="minorHAnsi" w:cstheme="minorHAnsi"/>
          <w:sz w:val="20"/>
          <w:szCs w:val="20"/>
        </w:rPr>
        <w:t xml:space="preserve">Sprzedawca informuje URD, z którym zawarł umowę sprzedaży lub umowę kompleksową, sprzedawcę rezerwowego oraz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w:t>
      </w:r>
      <w:bookmarkEnd w:id="442"/>
      <w:r w:rsidRPr="00EB2E7B">
        <w:rPr>
          <w:rFonts w:asciiTheme="minorHAnsi" w:hAnsiTheme="minorHAnsi" w:cstheme="minorHAnsi"/>
          <w:sz w:val="20"/>
          <w:szCs w:val="20"/>
        </w:rPr>
        <w:t xml:space="preserve"> </w:t>
      </w:r>
    </w:p>
    <w:p w14:paraId="0F8B1A3C" w14:textId="77777777" w:rsidR="00E954A0" w:rsidRDefault="00047FD1">
      <w:pPr>
        <w:pStyle w:val="ANagwek3"/>
        <w:rPr>
          <w:rFonts w:asciiTheme="minorHAnsi" w:hAnsiTheme="minorHAnsi" w:cstheme="minorHAnsi"/>
          <w:sz w:val="20"/>
          <w:szCs w:val="20"/>
        </w:rPr>
      </w:pPr>
      <w:r>
        <w:rPr>
          <w:rFonts w:asciiTheme="minorHAnsi" w:hAnsiTheme="minorHAnsi" w:cstheme="minorHAnsi"/>
          <w:sz w:val="20"/>
          <w:szCs w:val="20"/>
        </w:rPr>
        <w:t>od dnia przystąpienia ACPRO do CSIRE — sprzedawca informuje URD, z którym zawarł umowę sprzedaży albo umowę kompleksową, sprzedawcę rezerwowego oraz ACPRO, a także Prezesa URE o okolicznościach wskazanych poniżej, niezwłocznie, nie później niż w terminie 2 dni kalendarzowych od dnia powzięcia przez tego sprzedawcę informacji o braku możliwości dalszego wywiązywania się z umowy sprzedaży albo umowy kompleksowej zawartej z tym URD.</w:t>
      </w:r>
    </w:p>
    <w:p w14:paraId="6CDBEAAA" w14:textId="77777777" w:rsidR="00473957" w:rsidRPr="00EB2E7B" w:rsidRDefault="0077111A" w:rsidP="00DE75AE">
      <w:pPr>
        <w:pStyle w:val="aprzed"/>
        <w:numPr>
          <w:ilvl w:val="0"/>
          <w:numId w:val="87"/>
        </w:numPr>
        <w:ind w:left="1701" w:hanging="566"/>
        <w:rPr>
          <w:rFonts w:asciiTheme="minorHAnsi" w:hAnsiTheme="minorHAnsi" w:cstheme="minorHAnsi"/>
          <w:sz w:val="20"/>
          <w:szCs w:val="20"/>
        </w:rPr>
      </w:pPr>
      <w:bookmarkStart w:id="443" w:name="_Ref190168022"/>
      <w:r w:rsidRPr="00EB2E7B">
        <w:rPr>
          <w:rFonts w:asciiTheme="minorHAnsi" w:hAnsiTheme="minorHAnsi" w:cstheme="minorHAnsi"/>
          <w:sz w:val="20"/>
          <w:szCs w:val="20"/>
        </w:rPr>
        <w:t>konieczności zaprzestania sprzedaży energii elektrycznej temu URD,</w:t>
      </w:r>
      <w:bookmarkEnd w:id="443"/>
      <w:r w:rsidRPr="00EB2E7B">
        <w:rPr>
          <w:rFonts w:asciiTheme="minorHAnsi" w:hAnsiTheme="minorHAnsi" w:cstheme="minorHAnsi"/>
          <w:sz w:val="20"/>
          <w:szCs w:val="20"/>
        </w:rPr>
        <w:t xml:space="preserve"> </w:t>
      </w:r>
    </w:p>
    <w:p w14:paraId="4BC67D15" w14:textId="77777777" w:rsidR="00473957" w:rsidRPr="00EB2E7B" w:rsidRDefault="0077111A" w:rsidP="00DE75AE">
      <w:pPr>
        <w:pStyle w:val="aprzed"/>
        <w:numPr>
          <w:ilvl w:val="0"/>
          <w:numId w:val="277"/>
        </w:numPr>
        <w:ind w:left="1701" w:hanging="566"/>
        <w:rPr>
          <w:rFonts w:asciiTheme="minorHAnsi" w:hAnsiTheme="minorHAnsi" w:cstheme="minorHAnsi"/>
          <w:sz w:val="20"/>
          <w:szCs w:val="20"/>
        </w:rPr>
      </w:pPr>
      <w:bookmarkStart w:id="444" w:name="_Ref190168045"/>
      <w:r w:rsidRPr="00EB2E7B">
        <w:rPr>
          <w:rFonts w:asciiTheme="minorHAnsi" w:hAnsiTheme="minorHAnsi" w:cstheme="minorHAnsi"/>
          <w:sz w:val="20"/>
          <w:szCs w:val="20"/>
        </w:rPr>
        <w:t>przewidywanej dacie zaprzestania sprzedaży energii elektrycznej, jeśli jest znana lub możliwa do ustalenia przez tego sprzedawcę,</w:t>
      </w:r>
      <w:bookmarkEnd w:id="444"/>
      <w:r w:rsidRPr="00EB2E7B">
        <w:rPr>
          <w:rFonts w:asciiTheme="minorHAnsi" w:hAnsiTheme="minorHAnsi" w:cstheme="minorHAnsi"/>
          <w:sz w:val="20"/>
          <w:szCs w:val="20"/>
        </w:rPr>
        <w:t xml:space="preserve"> </w:t>
      </w:r>
    </w:p>
    <w:p w14:paraId="78F9C935" w14:textId="6C4E0ADB" w:rsidR="00E82373" w:rsidRPr="00EB2E7B" w:rsidRDefault="00E82373" w:rsidP="00DE75AE">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NIP/ PESEL URD</w:t>
      </w:r>
    </w:p>
    <w:p w14:paraId="18B97C40" w14:textId="3B459F37" w:rsidR="00473957" w:rsidRPr="00EB2E7B" w:rsidRDefault="0077111A" w:rsidP="00DE75AE">
      <w:pPr>
        <w:pStyle w:val="aprzed"/>
        <w:numPr>
          <w:ilvl w:val="0"/>
          <w:numId w:val="277"/>
        </w:numPr>
        <w:rPr>
          <w:rFonts w:asciiTheme="minorHAnsi" w:hAnsiTheme="minorHAnsi" w:cstheme="minorHAnsi"/>
          <w:sz w:val="20"/>
          <w:szCs w:val="20"/>
        </w:rPr>
      </w:pPr>
      <w:r w:rsidRPr="00EB2E7B">
        <w:rPr>
          <w:rFonts w:asciiTheme="minorHAnsi" w:hAnsiTheme="minorHAnsi" w:cstheme="minorHAnsi"/>
          <w:sz w:val="20"/>
          <w:szCs w:val="20"/>
        </w:rPr>
        <w:t xml:space="preserve">kodzie PPE, </w:t>
      </w:r>
    </w:p>
    <w:p w14:paraId="1EE07320" w14:textId="77777777" w:rsidR="00473957" w:rsidRPr="00EB2E7B" w:rsidRDefault="0077111A"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niezwłocznie, nie później niż w terminie 2 dni od dnia powzięcia przez tego sprzedawcę informacji o braku możliwości dalszego wywiązywania się z</w:t>
      </w:r>
      <w:r w:rsidR="00351AC4" w:rsidRPr="00EB2E7B">
        <w:rPr>
          <w:rFonts w:asciiTheme="minorHAnsi" w:hAnsiTheme="minorHAnsi" w:cstheme="minorHAnsi"/>
          <w:sz w:val="20"/>
          <w:szCs w:val="20"/>
        </w:rPr>
        <w:t> </w:t>
      </w:r>
      <w:r w:rsidRPr="00EB2E7B">
        <w:rPr>
          <w:rFonts w:asciiTheme="minorHAnsi" w:hAnsiTheme="minorHAnsi" w:cstheme="minorHAnsi"/>
          <w:sz w:val="20"/>
          <w:szCs w:val="20"/>
        </w:rPr>
        <w:t xml:space="preserve">umowy sprzedaży lub umowy kompleksowej zawartej z tym URD. </w:t>
      </w:r>
    </w:p>
    <w:p w14:paraId="23AD5E3B" w14:textId="3649542C" w:rsidR="00473957" w:rsidRPr="00EB2E7B" w:rsidRDefault="0077111A"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Powyższych zapisów nie stosuje się do URD, o których mowa w art. 6a ust. 3 i</w:t>
      </w:r>
      <w:r w:rsidR="00B44D50" w:rsidRPr="00EB2E7B">
        <w:rPr>
          <w:rFonts w:asciiTheme="minorHAnsi" w:hAnsiTheme="minorHAnsi" w:cstheme="minorHAnsi"/>
          <w:sz w:val="20"/>
          <w:szCs w:val="20"/>
        </w:rPr>
        <w:t> </w:t>
      </w:r>
      <w:r w:rsidRPr="00EB2E7B">
        <w:rPr>
          <w:rFonts w:asciiTheme="minorHAnsi" w:hAnsiTheme="minorHAnsi" w:cstheme="minorHAnsi"/>
          <w:sz w:val="20"/>
          <w:szCs w:val="20"/>
        </w:rPr>
        <w:t xml:space="preserve">art. 6b ustawy Prawo energetyczne. </w:t>
      </w:r>
    </w:p>
    <w:p w14:paraId="4D04BB79" w14:textId="4C8C3844" w:rsidR="00473957" w:rsidRPr="00EB2E7B" w:rsidRDefault="0077111A"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wystąpienia okoliczności wskazanych w lit. </w:t>
      </w:r>
      <w:r w:rsidR="00FA27BC" w:rsidRPr="00EB2E7B">
        <w:rPr>
          <w:rFonts w:asciiTheme="minorHAnsi" w:hAnsiTheme="minorHAnsi" w:cstheme="minorHAnsi"/>
          <w:sz w:val="20"/>
          <w:szCs w:val="20"/>
        </w:rPr>
        <w:fldChar w:fldCharType="begin"/>
      </w:r>
      <w:r w:rsidR="00FA27BC" w:rsidRPr="00EB2E7B">
        <w:rPr>
          <w:rFonts w:asciiTheme="minorHAnsi" w:hAnsiTheme="minorHAnsi" w:cstheme="minorHAnsi"/>
          <w:sz w:val="20"/>
          <w:szCs w:val="20"/>
        </w:rPr>
        <w:instrText xml:space="preserve"> REF _Ref190168022 \w \h  \* MERGEFORMAT </w:instrText>
      </w:r>
      <w:r w:rsidR="00FA27BC" w:rsidRPr="00EB2E7B">
        <w:rPr>
          <w:rFonts w:asciiTheme="minorHAnsi" w:hAnsiTheme="minorHAnsi" w:cstheme="minorHAnsi"/>
          <w:sz w:val="20"/>
          <w:szCs w:val="20"/>
        </w:rPr>
      </w:r>
      <w:r w:rsidR="00FA27B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FA27BC"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powyżej wynikających z rozwiązania lub wygaśnięcia umowy sprzedaży lub umowy kompleksowej zawartej przez sprzedawcę z URD, zastosowanie ma obowiązek, o którym mowa w</w:t>
      </w:r>
      <w:r w:rsidR="007E14D1" w:rsidRPr="00EB2E7B">
        <w:rPr>
          <w:rFonts w:asciiTheme="minorHAnsi" w:hAnsiTheme="minorHAnsi" w:cstheme="minorHAnsi"/>
          <w:sz w:val="20"/>
          <w:szCs w:val="20"/>
        </w:rPr>
        <w:t> </w:t>
      </w:r>
      <w:r w:rsidRPr="00EB2E7B">
        <w:rPr>
          <w:rFonts w:asciiTheme="minorHAnsi" w:hAnsiTheme="minorHAnsi" w:cstheme="minorHAnsi"/>
          <w:sz w:val="20"/>
          <w:szCs w:val="20"/>
        </w:rPr>
        <w:t>pkt.</w:t>
      </w:r>
      <w:r w:rsidR="00E10E3A" w:rsidRPr="00EB2E7B">
        <w:rPr>
          <w:rFonts w:asciiTheme="minorHAnsi" w:hAnsiTheme="minorHAnsi" w:cstheme="minorHAnsi"/>
          <w:sz w:val="20"/>
          <w:szCs w:val="20"/>
        </w:rPr>
        <w:t xml:space="preserve"> </w:t>
      </w:r>
      <w:r w:rsidR="00E10E3A" w:rsidRPr="00EB2E7B">
        <w:rPr>
          <w:rFonts w:asciiTheme="minorHAnsi" w:hAnsiTheme="minorHAnsi" w:cstheme="minorHAnsi"/>
          <w:sz w:val="20"/>
          <w:szCs w:val="20"/>
        </w:rPr>
        <w:fldChar w:fldCharType="begin"/>
      </w:r>
      <w:r w:rsidR="00E10E3A" w:rsidRPr="00EB2E7B">
        <w:rPr>
          <w:rFonts w:asciiTheme="minorHAnsi" w:hAnsiTheme="minorHAnsi" w:cstheme="minorHAnsi"/>
          <w:sz w:val="20"/>
          <w:szCs w:val="20"/>
        </w:rPr>
        <w:instrText xml:space="preserve"> REF _Ref182429462 \r \h </w:instrText>
      </w:r>
      <w:r w:rsidR="00CB0052" w:rsidRPr="00EB2E7B">
        <w:rPr>
          <w:rFonts w:asciiTheme="minorHAnsi" w:hAnsiTheme="minorHAnsi" w:cstheme="minorHAnsi"/>
          <w:sz w:val="20"/>
          <w:szCs w:val="20"/>
        </w:rPr>
        <w:instrText xml:space="preserve"> \* MERGEFORMAT </w:instrText>
      </w:r>
      <w:r w:rsidR="00E10E3A" w:rsidRPr="00EB2E7B">
        <w:rPr>
          <w:rFonts w:asciiTheme="minorHAnsi" w:hAnsiTheme="minorHAnsi" w:cstheme="minorHAnsi"/>
          <w:sz w:val="20"/>
          <w:szCs w:val="20"/>
        </w:rPr>
      </w:r>
      <w:r w:rsidR="00E10E3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D.2.7</w:t>
      </w:r>
      <w:r w:rsidR="00E10E3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667A1AF4"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 xml:space="preserve">od dnia przystąpienia ACPRO do CSIRE — zmiana charakterystyki PPE, w tym ewentualne uruchomienie sprzedaży rezerwowej, następuje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w:t>
      </w:r>
    </w:p>
    <w:p w14:paraId="2481E242" w14:textId="53B0C538" w:rsidR="00DC2B7B" w:rsidRPr="00EB2E7B" w:rsidRDefault="00DC2B7B"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wystąpienia okoliczności wskazanych w lit. </w:t>
      </w:r>
      <w:r w:rsidR="00FA27BC" w:rsidRPr="00EB2E7B">
        <w:rPr>
          <w:rFonts w:asciiTheme="minorHAnsi" w:hAnsiTheme="minorHAnsi" w:cstheme="minorHAnsi"/>
          <w:sz w:val="20"/>
          <w:szCs w:val="20"/>
        </w:rPr>
        <w:t xml:space="preserve"> </w:t>
      </w:r>
      <w:r w:rsidR="00FA27BC" w:rsidRPr="00EB2E7B">
        <w:rPr>
          <w:rFonts w:asciiTheme="minorHAnsi" w:hAnsiTheme="minorHAnsi" w:cstheme="minorHAnsi"/>
          <w:sz w:val="20"/>
          <w:szCs w:val="20"/>
        </w:rPr>
        <w:fldChar w:fldCharType="begin"/>
      </w:r>
      <w:r w:rsidR="00FA27BC" w:rsidRPr="00EB2E7B">
        <w:rPr>
          <w:rFonts w:asciiTheme="minorHAnsi" w:hAnsiTheme="minorHAnsi" w:cstheme="minorHAnsi"/>
          <w:sz w:val="20"/>
          <w:szCs w:val="20"/>
        </w:rPr>
        <w:instrText xml:space="preserve"> REF _Ref190168022 \w \h  \* MERGEFORMAT </w:instrText>
      </w:r>
      <w:r w:rsidR="00FA27BC" w:rsidRPr="00EB2E7B">
        <w:rPr>
          <w:rFonts w:asciiTheme="minorHAnsi" w:hAnsiTheme="minorHAnsi" w:cstheme="minorHAnsi"/>
          <w:sz w:val="20"/>
          <w:szCs w:val="20"/>
        </w:rPr>
      </w:r>
      <w:r w:rsidR="00FA27B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FA27BC"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ACPRO wstrzymuje z</w:t>
      </w:r>
      <w:r w:rsidR="00C95A2B" w:rsidRPr="00EB2E7B">
        <w:rPr>
          <w:rFonts w:asciiTheme="minorHAnsi" w:hAnsiTheme="minorHAnsi" w:cstheme="minorHAnsi"/>
          <w:sz w:val="20"/>
          <w:szCs w:val="20"/>
        </w:rPr>
        <w:t> </w:t>
      </w:r>
      <w:r w:rsidRPr="00EB2E7B">
        <w:rPr>
          <w:rFonts w:asciiTheme="minorHAnsi" w:hAnsiTheme="minorHAnsi" w:cstheme="minorHAnsi"/>
          <w:sz w:val="20"/>
          <w:szCs w:val="20"/>
        </w:rPr>
        <w:t xml:space="preserve">dniem określonym zgodnie z lit. </w:t>
      </w:r>
      <w:r w:rsidR="006A0E51" w:rsidRPr="00EB2E7B">
        <w:rPr>
          <w:rFonts w:asciiTheme="minorHAnsi" w:hAnsiTheme="minorHAnsi" w:cstheme="minorHAnsi"/>
          <w:sz w:val="20"/>
          <w:szCs w:val="20"/>
        </w:rPr>
        <w:fldChar w:fldCharType="begin"/>
      </w:r>
      <w:r w:rsidR="006A0E51" w:rsidRPr="00EB2E7B">
        <w:rPr>
          <w:rFonts w:asciiTheme="minorHAnsi" w:hAnsiTheme="minorHAnsi" w:cstheme="minorHAnsi"/>
          <w:sz w:val="20"/>
          <w:szCs w:val="20"/>
        </w:rPr>
        <w:instrText xml:space="preserve"> REF _Ref190168045 \w \h  \* MERGEFORMAT </w:instrText>
      </w:r>
      <w:r w:rsidR="006A0E51" w:rsidRPr="00EB2E7B">
        <w:rPr>
          <w:rFonts w:asciiTheme="minorHAnsi" w:hAnsiTheme="minorHAnsi" w:cstheme="minorHAnsi"/>
          <w:sz w:val="20"/>
          <w:szCs w:val="20"/>
        </w:rPr>
      </w:r>
      <w:r w:rsidR="006A0E5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6A0E5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realizację umowy GUD.</w:t>
      </w:r>
    </w:p>
    <w:p w14:paraId="4998FA15" w14:textId="3D823058" w:rsidR="00473957" w:rsidRPr="00EB2E7B" w:rsidRDefault="00232DA9" w:rsidP="004854C6">
      <w:pPr>
        <w:pStyle w:val="ANagwek3"/>
        <w:rPr>
          <w:rFonts w:asciiTheme="minorHAnsi" w:hAnsiTheme="minorHAnsi" w:cstheme="minorHAnsi"/>
          <w:sz w:val="20"/>
          <w:szCs w:val="20"/>
        </w:rPr>
      </w:pPr>
      <w:bookmarkStart w:id="445" w:name="_Ref75522564"/>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po powzięciu informacji o konieczności zaprzestania przez sprzedawcę sprzedaży energii elektrycznej, niezwłocznie informuje OSP </w:t>
      </w:r>
      <w:r w:rsidR="00B50FF2" w:rsidRPr="00EB2E7B">
        <w:rPr>
          <w:rFonts w:asciiTheme="minorHAnsi" w:hAnsiTheme="minorHAnsi" w:cstheme="minorHAnsi"/>
          <w:sz w:val="20"/>
          <w:szCs w:val="20"/>
        </w:rPr>
        <w:t xml:space="preserve">za pośrednictwem </w:t>
      </w:r>
      <w:proofErr w:type="spellStart"/>
      <w:r w:rsidR="00B50FF2" w:rsidRPr="00EB2E7B">
        <w:rPr>
          <w:rFonts w:asciiTheme="minorHAnsi" w:hAnsiTheme="minorHAnsi" w:cstheme="minorHAnsi"/>
          <w:sz w:val="20"/>
          <w:szCs w:val="20"/>
        </w:rPr>
        <w:t>OSDp</w:t>
      </w:r>
      <w:proofErr w:type="spellEnd"/>
      <w:r w:rsidR="00B50FF2"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 xml:space="preserve">o konieczności zaprzestania przez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świadczenia usług dystrybucji na rzecz tego sprzedawcy, w następujących przypadkach:</w:t>
      </w:r>
      <w:bookmarkEnd w:id="445"/>
      <w:r w:rsidR="0077111A" w:rsidRPr="00EB2E7B">
        <w:rPr>
          <w:rFonts w:asciiTheme="minorHAnsi" w:hAnsiTheme="minorHAnsi" w:cstheme="minorHAnsi"/>
          <w:sz w:val="20"/>
          <w:szCs w:val="20"/>
        </w:rPr>
        <w:t xml:space="preserve"> </w:t>
      </w:r>
    </w:p>
    <w:p w14:paraId="0CBECB67" w14:textId="0AC19BC6" w:rsidR="00473957" w:rsidRPr="00EB2E7B" w:rsidRDefault="0077111A" w:rsidP="00DF5D04">
      <w:pPr>
        <w:pStyle w:val="aprzed"/>
        <w:numPr>
          <w:ilvl w:val="0"/>
          <w:numId w:val="88"/>
        </w:numPr>
        <w:rPr>
          <w:rFonts w:asciiTheme="minorHAnsi" w:hAnsiTheme="minorHAnsi" w:cstheme="minorHAnsi"/>
          <w:sz w:val="20"/>
          <w:szCs w:val="20"/>
        </w:rPr>
      </w:pPr>
      <w:r w:rsidRPr="00EB2E7B">
        <w:rPr>
          <w:rFonts w:asciiTheme="minorHAnsi" w:hAnsiTheme="minorHAnsi" w:cstheme="minorHAnsi"/>
          <w:sz w:val="20"/>
          <w:szCs w:val="20"/>
        </w:rPr>
        <w:t>utrata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t>
      </w:r>
      <w:r w:rsidR="00637A4F" w:rsidRPr="00EB2E7B">
        <w:rPr>
          <w:rFonts w:asciiTheme="minorHAnsi" w:hAnsiTheme="minorHAnsi" w:cstheme="minorHAnsi"/>
          <w:sz w:val="20"/>
          <w:szCs w:val="20"/>
        </w:rPr>
        <w:t xml:space="preserve">przez </w:t>
      </w:r>
      <w:r w:rsidRPr="00EB2E7B">
        <w:rPr>
          <w:rFonts w:asciiTheme="minorHAnsi" w:hAnsiTheme="minorHAnsi" w:cstheme="minorHAnsi"/>
          <w:sz w:val="20"/>
          <w:szCs w:val="20"/>
        </w:rPr>
        <w:t>sprzedawc</w:t>
      </w:r>
      <w:r w:rsidR="00637A4F" w:rsidRPr="00EB2E7B">
        <w:rPr>
          <w:rFonts w:asciiTheme="minorHAnsi" w:hAnsiTheme="minorHAnsi" w:cstheme="minorHAnsi"/>
          <w:sz w:val="20"/>
          <w:szCs w:val="20"/>
        </w:rPr>
        <w:t>ę</w:t>
      </w:r>
      <w:r w:rsidRPr="00EB2E7B">
        <w:rPr>
          <w:rFonts w:asciiTheme="minorHAnsi" w:hAnsiTheme="minorHAnsi" w:cstheme="minorHAnsi"/>
          <w:sz w:val="20"/>
          <w:szCs w:val="20"/>
        </w:rPr>
        <w:t xml:space="preserve">, </w:t>
      </w:r>
    </w:p>
    <w:p w14:paraId="0E8DE4BF" w14:textId="2D218E87" w:rsidR="00473957" w:rsidRPr="00EB2E7B" w:rsidRDefault="0077111A" w:rsidP="00AD2C57">
      <w:pPr>
        <w:pStyle w:val="aprzed"/>
        <w:numPr>
          <w:ilvl w:val="0"/>
          <w:numId w:val="277"/>
        </w:numPr>
        <w:rPr>
          <w:rFonts w:asciiTheme="minorHAnsi" w:hAnsiTheme="minorHAnsi" w:cstheme="minorHAnsi"/>
          <w:sz w:val="20"/>
          <w:szCs w:val="20"/>
        </w:rPr>
      </w:pPr>
      <w:r w:rsidRPr="00EB2E7B">
        <w:rPr>
          <w:rFonts w:asciiTheme="minorHAnsi" w:hAnsiTheme="minorHAnsi" w:cstheme="minorHAnsi"/>
          <w:sz w:val="20"/>
          <w:szCs w:val="20"/>
        </w:rPr>
        <w:t>wstrzymanie realizacji lub rozwiązanie um</w:t>
      </w:r>
      <w:r w:rsidR="0080714C" w:rsidRPr="00EB2E7B">
        <w:rPr>
          <w:rFonts w:asciiTheme="minorHAnsi" w:hAnsiTheme="minorHAnsi" w:cstheme="minorHAnsi"/>
          <w:sz w:val="20"/>
          <w:szCs w:val="20"/>
        </w:rPr>
        <w:t>owy</w:t>
      </w:r>
      <w:r w:rsidR="00DA23AB" w:rsidRPr="00EB2E7B">
        <w:rPr>
          <w:rFonts w:asciiTheme="minorHAnsi" w:hAnsiTheme="minorHAnsi" w:cstheme="minorHAnsi"/>
          <w:sz w:val="20"/>
          <w:szCs w:val="20"/>
        </w:rPr>
        <w:t xml:space="preserve"> GUD</w:t>
      </w:r>
      <w:r w:rsidRPr="00EB2E7B">
        <w:rPr>
          <w:rFonts w:asciiTheme="minorHAnsi" w:hAnsiTheme="minorHAnsi" w:cstheme="minorHAnsi"/>
          <w:sz w:val="20"/>
          <w:szCs w:val="20"/>
        </w:rPr>
        <w:t xml:space="preserve"> ze sprzedawcą. </w:t>
      </w:r>
    </w:p>
    <w:p w14:paraId="7568F474" w14:textId="77777777" w:rsidR="00E954A0" w:rsidRDefault="00047FD1">
      <w:pPr>
        <w:pStyle w:val="aprzed"/>
        <w:numPr>
          <w:ilvl w:val="0"/>
          <w:numId w:val="277"/>
        </w:numPr>
        <w:rPr>
          <w:rFonts w:asciiTheme="minorHAnsi" w:hAnsiTheme="minorHAnsi" w:cstheme="minorHAnsi"/>
          <w:sz w:val="20"/>
          <w:szCs w:val="20"/>
        </w:rPr>
      </w:pPr>
      <w:r>
        <w:rPr>
          <w:rFonts w:asciiTheme="minorHAnsi" w:hAnsiTheme="minorHAnsi" w:cstheme="minorHAnsi"/>
          <w:sz w:val="20"/>
          <w:szCs w:val="20"/>
        </w:rPr>
        <w:t>od dnia przystąpienia ACPRO do CSIRE — ACPRO przekazuje powyższe informacje niezwłocznie do Prezesa URE. W przypadku utraty POBZ przez sprzedawcę ACPRO może rozwiązać z dniem utraty POBZ umowy GUD lub GUD-K zawarte z tym sprzedawcą, a o ich rozwiązaniu powiadamia OIRE.</w:t>
      </w:r>
    </w:p>
    <w:p w14:paraId="748D1AF2" w14:textId="279369C3" w:rsidR="00473957" w:rsidRPr="00EB2E7B" w:rsidRDefault="00232DA9" w:rsidP="004854C6">
      <w:pPr>
        <w:pStyle w:val="ANagwek3"/>
        <w:rPr>
          <w:rFonts w:asciiTheme="minorHAnsi" w:hAnsiTheme="minorHAnsi" w:cstheme="minorHAnsi"/>
          <w:sz w:val="20"/>
          <w:szCs w:val="20"/>
        </w:rPr>
      </w:pPr>
      <w:bookmarkStart w:id="446" w:name="_Ref75522571"/>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po wystąpieniu zdarzenia, które może skutkować koniecznością zaprzestania przez </w:t>
      </w: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świadczenia usług dystrybucji na rzecz sprzedawcy, niezwłocznie informuje OSP o tym zdarzeniu,  w następujących przypadkach:</w:t>
      </w:r>
      <w:bookmarkEnd w:id="446"/>
    </w:p>
    <w:p w14:paraId="644FB285" w14:textId="7B659513" w:rsidR="00473957" w:rsidRPr="00EB2E7B" w:rsidRDefault="005A01B3" w:rsidP="004B34B2">
      <w:pPr>
        <w:pStyle w:val="Akapitzlist"/>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b</w:t>
      </w:r>
      <w:r w:rsidR="0077111A" w:rsidRPr="00EB2E7B">
        <w:rPr>
          <w:rFonts w:asciiTheme="minorHAnsi" w:hAnsiTheme="minorHAnsi" w:cstheme="minorHAnsi"/>
          <w:sz w:val="20"/>
          <w:szCs w:val="20"/>
        </w:rPr>
        <w:t>rak</w:t>
      </w:r>
      <w:r w:rsidRPr="00EB2E7B">
        <w:rPr>
          <w:rFonts w:asciiTheme="minorHAnsi" w:hAnsiTheme="minorHAnsi" w:cstheme="minorHAnsi"/>
          <w:sz w:val="20"/>
          <w:szCs w:val="20"/>
        </w:rPr>
        <w:t xml:space="preserve"> odpowiednich</w:t>
      </w:r>
      <w:r w:rsidR="0077111A" w:rsidRPr="00EB2E7B">
        <w:rPr>
          <w:rFonts w:asciiTheme="minorHAnsi" w:hAnsiTheme="minorHAnsi" w:cstheme="minorHAnsi"/>
          <w:sz w:val="20"/>
          <w:szCs w:val="20"/>
        </w:rPr>
        <w:t xml:space="preserve"> gwarancji dotyczących wiarygodności finansowej tego sprzedawcy lub POB</w:t>
      </w:r>
      <w:r w:rsidR="003C57AF" w:rsidRPr="00EB2E7B">
        <w:rPr>
          <w:rFonts w:asciiTheme="minorHAnsi" w:hAnsiTheme="minorHAnsi" w:cstheme="minorHAnsi"/>
          <w:sz w:val="20"/>
          <w:szCs w:val="20"/>
          <w:vertAlign w:val="subscript"/>
        </w:rPr>
        <w:t>Z</w:t>
      </w:r>
      <w:r w:rsidR="0077111A" w:rsidRPr="00EB2E7B">
        <w:rPr>
          <w:rFonts w:asciiTheme="minorHAnsi" w:hAnsiTheme="minorHAnsi" w:cstheme="minorHAnsi"/>
          <w:sz w:val="20"/>
          <w:szCs w:val="20"/>
        </w:rPr>
        <w:t xml:space="preserve"> wskazanego przez tego sprzedawcę, wynikających z umów zawartych przez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z tymi podmiotami, </w:t>
      </w:r>
    </w:p>
    <w:p w14:paraId="608074DA" w14:textId="5D33D6E1" w:rsidR="00473957" w:rsidRPr="00EB2E7B" w:rsidRDefault="0077111A" w:rsidP="004B34B2">
      <w:pPr>
        <w:pStyle w:val="Akapitzlist"/>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wstrzymanie realizacji lub wypowiedzenie umów ze sprzedawcą</w:t>
      </w:r>
      <w:r w:rsidR="007D7C3F" w:rsidRPr="00EB2E7B">
        <w:rPr>
          <w:rFonts w:asciiTheme="minorHAnsi" w:hAnsiTheme="minorHAnsi" w:cstheme="minorHAnsi"/>
          <w:sz w:val="20"/>
          <w:szCs w:val="20"/>
        </w:rPr>
        <w:t xml:space="preserve"> GUD</w:t>
      </w:r>
      <w:r w:rsidRPr="00EB2E7B">
        <w:rPr>
          <w:rFonts w:asciiTheme="minorHAnsi" w:hAnsiTheme="minorHAnsi" w:cstheme="minorHAnsi"/>
          <w:sz w:val="20"/>
          <w:szCs w:val="20"/>
        </w:rPr>
        <w:t xml:space="preserve">, </w:t>
      </w:r>
    </w:p>
    <w:p w14:paraId="26DE3224" w14:textId="4ACDD4A9" w:rsidR="0010394C" w:rsidRPr="00EB2E7B" w:rsidRDefault="0010394C" w:rsidP="006C498C">
      <w:pPr>
        <w:pStyle w:val="Akapitzlist"/>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wstrzymanie realizacji lub wypowiedzenie umowy o świadczenie usług dystrybucji</w:t>
      </w:r>
      <w:r w:rsidR="00B02181" w:rsidRPr="00EB2E7B">
        <w:rPr>
          <w:rFonts w:asciiTheme="minorHAnsi" w:hAnsiTheme="minorHAnsi" w:cstheme="minorHAnsi"/>
          <w:sz w:val="20"/>
          <w:szCs w:val="20"/>
        </w:rPr>
        <w:t xml:space="preserve"> </w:t>
      </w:r>
      <w:r w:rsidRPr="00EB2E7B">
        <w:rPr>
          <w:rFonts w:asciiTheme="minorHAnsi" w:hAnsiTheme="minorHAnsi" w:cstheme="minorHAnsi"/>
          <w:sz w:val="20"/>
          <w:szCs w:val="20"/>
        </w:rPr>
        <w:t>z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o której mowa w pkt. </w:t>
      </w:r>
      <w:r w:rsidR="00E4742C" w:rsidRPr="00EB2E7B">
        <w:rPr>
          <w:rFonts w:asciiTheme="minorHAnsi" w:hAnsiTheme="minorHAnsi" w:cstheme="minorHAnsi"/>
          <w:sz w:val="20"/>
          <w:szCs w:val="20"/>
        </w:rPr>
        <w:fldChar w:fldCharType="begin"/>
      </w:r>
      <w:r w:rsidR="00E4742C" w:rsidRPr="00EB2E7B">
        <w:rPr>
          <w:rFonts w:asciiTheme="minorHAnsi" w:hAnsiTheme="minorHAnsi" w:cstheme="minorHAnsi"/>
          <w:sz w:val="20"/>
          <w:szCs w:val="20"/>
        </w:rPr>
        <w:instrText xml:space="preserve"> REF _Ref189420169 \w \h </w:instrText>
      </w:r>
      <w:r w:rsidR="00D21718" w:rsidRPr="00EB2E7B">
        <w:rPr>
          <w:rFonts w:asciiTheme="minorHAnsi" w:hAnsiTheme="minorHAnsi" w:cstheme="minorHAnsi"/>
          <w:sz w:val="20"/>
          <w:szCs w:val="20"/>
        </w:rPr>
        <w:instrText xml:space="preserve"> \* MERGEFORMAT </w:instrText>
      </w:r>
      <w:r w:rsidR="00E4742C" w:rsidRPr="00EB2E7B">
        <w:rPr>
          <w:rFonts w:asciiTheme="minorHAnsi" w:hAnsiTheme="minorHAnsi" w:cstheme="minorHAnsi"/>
          <w:sz w:val="20"/>
          <w:szCs w:val="20"/>
        </w:rPr>
      </w:r>
      <w:r w:rsidR="00E4742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A.4.3.5</w:t>
      </w:r>
      <w:r w:rsidR="00E4742C"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49FAA36E"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Dostarczanie energii elektrycznej URD w gospodarstwie domowym odbywa się na podstawie umowy kompleksowej.</w:t>
      </w:r>
    </w:p>
    <w:p w14:paraId="2F5C9D96"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Powyższe nie ma zastosowania do URD w gospodarstwie domowym:</w:t>
      </w:r>
    </w:p>
    <w:p w14:paraId="0F16492E"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a) posiadającego umowę sprzedaży, która została zawarta w terminie do 23 lutego 2024 r., chyba że ten URD wystąpi z wnioskiem do sprzedawcy, z którym została zawarta umowa sprzedaży energii elektrycznej, o zawarcie umowy kompleksowej, a umowa ta zostanie zgłoszona do ACPRO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lub</w:t>
      </w:r>
    </w:p>
    <w:p w14:paraId="65021A56"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b) posiadającego umowę dystrybucji, która została zawarta w terminie do 23 lutego 2024 r.</w:t>
      </w:r>
    </w:p>
    <w:p w14:paraId="3B66C094" w14:textId="77777777" w:rsidR="004A7BF7" w:rsidRPr="00EB2E7B" w:rsidRDefault="004A7BF7" w:rsidP="0024189C">
      <w:pPr>
        <w:pStyle w:val="ANagwek2"/>
        <w:rPr>
          <w:rFonts w:asciiTheme="minorHAnsi" w:hAnsiTheme="minorHAnsi" w:cstheme="minorHAnsi"/>
          <w:sz w:val="20"/>
          <w:szCs w:val="20"/>
        </w:rPr>
      </w:pPr>
      <w:bookmarkStart w:id="447" w:name="_Toc239333371"/>
      <w:r w:rsidRPr="00EB2E7B">
        <w:rPr>
          <w:rFonts w:asciiTheme="minorHAnsi" w:hAnsiTheme="minorHAnsi" w:cstheme="minorHAnsi"/>
          <w:sz w:val="20"/>
          <w:szCs w:val="20"/>
        </w:rPr>
        <w:t>WARUNKI REALIZACJI UMÓW SPRZEDAŻY ORAZ UMÓW KOMPLEKSOWYCH I UCZESTNICTWA W PROCESIE BILANSOWANIA</w:t>
      </w:r>
      <w:bookmarkEnd w:id="447"/>
    </w:p>
    <w:p w14:paraId="7F91FDAD" w14:textId="34C8790D" w:rsidR="00473957" w:rsidRPr="00EB2E7B" w:rsidRDefault="00571024" w:rsidP="004854C6">
      <w:pPr>
        <w:pStyle w:val="ANagwek3"/>
        <w:rPr>
          <w:rFonts w:asciiTheme="minorHAnsi" w:hAnsiTheme="minorHAnsi" w:cstheme="minorHAnsi"/>
          <w:sz w:val="20"/>
          <w:szCs w:val="20"/>
        </w:rPr>
      </w:pPr>
      <w:r>
        <w:rPr>
          <w:rFonts w:asciiTheme="minorHAnsi" w:hAnsiTheme="minorHAnsi" w:cstheme="minorHAnsi"/>
          <w:sz w:val="20"/>
          <w:szCs w:val="20"/>
        </w:rPr>
        <w:t xml:space="preserve">ACPRO zapewnia użytkownikom systemu dystrybucyjnego realizację umów sprzedaży energii elektrycznej lub umów kompleksowych zawartych przez te podmioty, jeżeli zostaną one zgłoszone </w:t>
      </w:r>
      <w:r>
        <w:rPr>
          <w:rFonts w:asciiTheme="minorHAnsi" w:hAnsiTheme="minorHAnsi" w:cstheme="minorHAnsi"/>
          <w:sz w:val="20"/>
          <w:szCs w:val="20"/>
        </w:rPr>
        <w:lastRenderedPageBreak/>
        <w:t xml:space="preserve">do ACPRO w obowiązującej formie, trybie i terminie oraz przy spełnieniu przez te podmioty wymagań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odpowiednich umowach dystrybucji zawartych z ACPRO.</w:t>
      </w:r>
    </w:p>
    <w:p w14:paraId="1EBDE2A4" w14:textId="0A76F253" w:rsidR="00473957" w:rsidRPr="00EB2E7B" w:rsidRDefault="0056437E" w:rsidP="004854C6">
      <w:pPr>
        <w:pStyle w:val="ANagwek3"/>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oraz sprzedawcy, którzy posiadają zawartą z ACPRO umowę dystrybucji, mogą zlecić wykonywanie swoich obowiązków wynikających z</w:t>
      </w:r>
      <w:r w:rsidR="004D7D0E" w:rsidRPr="00EB2E7B">
        <w:rPr>
          <w:rFonts w:asciiTheme="minorHAnsi" w:hAnsiTheme="minorHAnsi" w:cstheme="minorHAnsi"/>
          <w:sz w:val="20"/>
          <w:szCs w:val="20"/>
        </w:rPr>
        <w:t>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-Bilansowanie innym podmiotom, o ile nie jest to sprzeczne z przepisami obowiązującego prawa i posiadanymi koncesjami. Podmioty te działają w imieniu i</w:t>
      </w:r>
      <w:r w:rsidR="007E14D1" w:rsidRPr="00EB2E7B">
        <w:rPr>
          <w:rFonts w:asciiTheme="minorHAnsi" w:hAnsiTheme="minorHAnsi" w:cstheme="minorHAnsi"/>
          <w:sz w:val="20"/>
          <w:szCs w:val="20"/>
        </w:rPr>
        <w:t> </w:t>
      </w:r>
      <w:r w:rsidRPr="00EB2E7B">
        <w:rPr>
          <w:rFonts w:asciiTheme="minorHAnsi" w:hAnsiTheme="minorHAnsi" w:cstheme="minorHAnsi"/>
          <w:sz w:val="20"/>
          <w:szCs w:val="20"/>
        </w:rPr>
        <w:t>na rzecz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lub sprzedawcy.</w:t>
      </w:r>
      <w:r w:rsidR="0077111A" w:rsidRPr="00EB2E7B">
        <w:rPr>
          <w:rFonts w:asciiTheme="minorHAnsi" w:hAnsiTheme="minorHAnsi" w:cstheme="minorHAnsi"/>
          <w:sz w:val="20"/>
          <w:szCs w:val="20"/>
        </w:rPr>
        <w:t xml:space="preserve"> </w:t>
      </w:r>
    </w:p>
    <w:p w14:paraId="75AC6CBD" w14:textId="77777777" w:rsidR="00473957" w:rsidRPr="00EB2E7B" w:rsidRDefault="0077111A" w:rsidP="004854C6">
      <w:pPr>
        <w:pStyle w:val="ANagwek3Grubyy"/>
        <w:rPr>
          <w:rFonts w:asciiTheme="minorHAnsi" w:hAnsiTheme="minorHAnsi" w:cstheme="minorHAnsi"/>
          <w:sz w:val="20"/>
          <w:szCs w:val="20"/>
        </w:rPr>
      </w:pPr>
      <w:bookmarkStart w:id="448" w:name="_Ref75767116"/>
      <w:r w:rsidRPr="00EB2E7B">
        <w:rPr>
          <w:rFonts w:asciiTheme="minorHAnsi" w:hAnsiTheme="minorHAnsi" w:cstheme="minorHAnsi"/>
          <w:sz w:val="20"/>
          <w:szCs w:val="20"/>
        </w:rPr>
        <w:t>Warunki i wymagania formalno-prawne</w:t>
      </w:r>
      <w:bookmarkEnd w:id="448"/>
    </w:p>
    <w:p w14:paraId="72D49395" w14:textId="576A6CDC" w:rsidR="00473957" w:rsidRPr="00EB2E7B" w:rsidRDefault="0056437E"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ACPRO </w:t>
      </w:r>
      <w:r w:rsidR="009B0FD1" w:rsidRPr="00EB2E7B">
        <w:rPr>
          <w:rFonts w:asciiTheme="minorHAnsi" w:hAnsiTheme="minorHAnsi" w:cstheme="minorHAnsi"/>
          <w:sz w:val="20"/>
          <w:szCs w:val="20"/>
        </w:rPr>
        <w:t xml:space="preserve">z </w:t>
      </w:r>
      <w:r w:rsidR="00256A9F" w:rsidRPr="00EB2E7B">
        <w:rPr>
          <w:rFonts w:asciiTheme="minorHAnsi" w:hAnsiTheme="minorHAnsi" w:cstheme="minorHAnsi"/>
          <w:sz w:val="20"/>
          <w:szCs w:val="20"/>
        </w:rPr>
        <w:t>zachowaniem wymagań</w:t>
      </w:r>
      <w:r w:rsidR="00717BAF" w:rsidRPr="00EB2E7B">
        <w:rPr>
          <w:rFonts w:asciiTheme="minorHAnsi" w:hAnsiTheme="minorHAnsi" w:cstheme="minorHAnsi"/>
          <w:sz w:val="20"/>
          <w:szCs w:val="20"/>
        </w:rPr>
        <w:t xml:space="preserve"> określonych w GUD</w:t>
      </w:r>
      <w:r w:rsidR="00256A9F" w:rsidRPr="00EB2E7B">
        <w:rPr>
          <w:rFonts w:asciiTheme="minorHAnsi" w:hAnsiTheme="minorHAnsi" w:cstheme="minorHAnsi"/>
          <w:sz w:val="20"/>
          <w:szCs w:val="20"/>
        </w:rPr>
        <w:t xml:space="preserve">, </w:t>
      </w:r>
      <w:r w:rsidRPr="00EB2E7B">
        <w:rPr>
          <w:rFonts w:asciiTheme="minorHAnsi" w:hAnsiTheme="minorHAnsi" w:cstheme="minorHAnsi"/>
          <w:sz w:val="20"/>
          <w:szCs w:val="20"/>
        </w:rPr>
        <w:t>realizuje zawarte przez URD umowy sprzedaży energii elektrycznej, po</w:t>
      </w:r>
      <w:r w:rsidR="0077111A" w:rsidRPr="00EB2E7B">
        <w:rPr>
          <w:rFonts w:asciiTheme="minorHAnsi" w:hAnsiTheme="minorHAnsi" w:cstheme="minorHAnsi"/>
          <w:sz w:val="20"/>
          <w:szCs w:val="20"/>
        </w:rPr>
        <w:t>:</w:t>
      </w:r>
    </w:p>
    <w:p w14:paraId="602E9DF5" w14:textId="0E3AA6BC" w:rsidR="00473957" w:rsidRPr="00EB2E7B" w:rsidRDefault="000B4A84" w:rsidP="006C498C">
      <w:pPr>
        <w:pStyle w:val="aprzed"/>
        <w:numPr>
          <w:ilvl w:val="0"/>
          <w:numId w:val="90"/>
        </w:numPr>
        <w:ind w:left="1701" w:hanging="566"/>
        <w:rPr>
          <w:rFonts w:asciiTheme="minorHAnsi" w:hAnsiTheme="minorHAnsi" w:cstheme="minorHAnsi"/>
          <w:sz w:val="20"/>
          <w:szCs w:val="20"/>
        </w:rPr>
      </w:pPr>
      <w:r w:rsidRPr="00EB2E7B">
        <w:rPr>
          <w:rFonts w:asciiTheme="minorHAnsi" w:hAnsiTheme="minorHAnsi" w:cstheme="minorHAnsi"/>
          <w:sz w:val="20"/>
          <w:szCs w:val="20"/>
        </w:rPr>
        <w:t>uzyskaniu przez URD odpowiednich koncesji – jeżeli jest taki wymóg prawny,</w:t>
      </w:r>
    </w:p>
    <w:p w14:paraId="776EB051" w14:textId="127EDAA1" w:rsidR="00473957" w:rsidRPr="00EB2E7B" w:rsidRDefault="000B4A84" w:rsidP="00AD2C57">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zawarciu przez URD umowy </w:t>
      </w:r>
      <w:r w:rsidR="0098685E" w:rsidRPr="00EB2E7B">
        <w:rPr>
          <w:rFonts w:asciiTheme="minorHAnsi" w:hAnsiTheme="minorHAnsi" w:cstheme="minorHAnsi"/>
          <w:sz w:val="20"/>
          <w:szCs w:val="20"/>
        </w:rPr>
        <w:t xml:space="preserve">o świadczenie usług </w:t>
      </w:r>
      <w:r w:rsidRPr="00EB2E7B">
        <w:rPr>
          <w:rFonts w:asciiTheme="minorHAnsi" w:hAnsiTheme="minorHAnsi" w:cstheme="minorHAnsi"/>
          <w:sz w:val="20"/>
          <w:szCs w:val="20"/>
        </w:rPr>
        <w:t>dystrybucji z ACPRO</w:t>
      </w:r>
      <w:r w:rsidR="00D01D10" w:rsidRPr="00EB2E7B">
        <w:rPr>
          <w:rFonts w:asciiTheme="minorHAnsi" w:hAnsiTheme="minorHAnsi" w:cstheme="minorHAnsi"/>
          <w:sz w:val="20"/>
          <w:szCs w:val="20"/>
        </w:rPr>
        <w:t xml:space="preserve"> w przypadku zawarcia przez </w:t>
      </w:r>
      <w:proofErr w:type="spellStart"/>
      <w:r w:rsidR="00D01D10" w:rsidRPr="00EB2E7B">
        <w:rPr>
          <w:rFonts w:asciiTheme="minorHAnsi" w:hAnsiTheme="minorHAnsi" w:cstheme="minorHAnsi"/>
          <w:sz w:val="20"/>
          <w:szCs w:val="20"/>
        </w:rPr>
        <w:t>URDo</w:t>
      </w:r>
      <w:proofErr w:type="spellEnd"/>
      <w:r w:rsidR="00D01D10" w:rsidRPr="00EB2E7B">
        <w:rPr>
          <w:rFonts w:asciiTheme="minorHAnsi" w:hAnsiTheme="minorHAnsi" w:cstheme="minorHAnsi"/>
          <w:sz w:val="20"/>
          <w:szCs w:val="20"/>
        </w:rPr>
        <w:t xml:space="preserve"> lub </w:t>
      </w:r>
      <w:proofErr w:type="spellStart"/>
      <w:r w:rsidR="00D01D10" w:rsidRPr="00EB2E7B">
        <w:rPr>
          <w:rFonts w:asciiTheme="minorHAnsi" w:hAnsiTheme="minorHAnsi" w:cstheme="minorHAnsi"/>
          <w:sz w:val="20"/>
          <w:szCs w:val="20"/>
        </w:rPr>
        <w:t>URDw</w:t>
      </w:r>
      <w:proofErr w:type="spellEnd"/>
      <w:r w:rsidR="00D01D10" w:rsidRPr="00EB2E7B">
        <w:rPr>
          <w:rFonts w:asciiTheme="minorHAnsi" w:hAnsiTheme="minorHAnsi" w:cstheme="minorHAnsi"/>
          <w:sz w:val="20"/>
          <w:szCs w:val="20"/>
        </w:rPr>
        <w:t xml:space="preserve"> umowy sprzedaży energii elektrycznej</w:t>
      </w:r>
      <w:r w:rsidR="0077111A" w:rsidRPr="00EB2E7B">
        <w:rPr>
          <w:rFonts w:asciiTheme="minorHAnsi" w:hAnsiTheme="minorHAnsi" w:cstheme="minorHAnsi"/>
          <w:sz w:val="20"/>
          <w:szCs w:val="20"/>
        </w:rPr>
        <w:t>,</w:t>
      </w:r>
    </w:p>
    <w:p w14:paraId="6C6F1E57" w14:textId="197C4A89" w:rsidR="00473957" w:rsidRPr="00EB2E7B" w:rsidRDefault="000B4A84" w:rsidP="00AD2C57">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zawarciu przez URD typu odbiorca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umowy z wybranym sprzedawcą, posiadającym zawartą GUD z ACPRO,</w:t>
      </w:r>
    </w:p>
    <w:p w14:paraId="7DEBE6D0" w14:textId="058DE284" w:rsidR="00473957" w:rsidRPr="00EB2E7B" w:rsidRDefault="000B4A84" w:rsidP="00AD2C57">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wskazaniu przez URD typu wytwórca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wybranego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posiadającego zawartą umowę </w:t>
      </w:r>
      <w:r w:rsidR="006D0FBB" w:rsidRPr="00EB2E7B">
        <w:rPr>
          <w:rFonts w:asciiTheme="minorHAnsi" w:hAnsiTheme="minorHAnsi" w:cstheme="minorHAnsi"/>
          <w:sz w:val="20"/>
          <w:szCs w:val="20"/>
        </w:rPr>
        <w:t xml:space="preserve">o świadczenie usług </w:t>
      </w:r>
      <w:r w:rsidRPr="00EB2E7B">
        <w:rPr>
          <w:rFonts w:asciiTheme="minorHAnsi" w:hAnsiTheme="minorHAnsi" w:cstheme="minorHAnsi"/>
          <w:sz w:val="20"/>
          <w:szCs w:val="20"/>
        </w:rPr>
        <w:t>dystrybucji z ACPRO,</w:t>
      </w:r>
    </w:p>
    <w:p w14:paraId="6BEFDFDE" w14:textId="103B1786" w:rsidR="000B4A84" w:rsidRPr="00EB2E7B" w:rsidRDefault="000B4A84" w:rsidP="00AD2C57">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zawarciu przez URD typu odbiorca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będącego wytwórcą w mikroinstalacji (innym niż </w:t>
      </w:r>
      <w:r w:rsidR="007E186D" w:rsidRPr="00EB2E7B">
        <w:rPr>
          <w:rFonts w:asciiTheme="minorHAnsi" w:hAnsiTheme="minorHAnsi" w:cstheme="minorHAnsi"/>
          <w:sz w:val="20"/>
          <w:szCs w:val="20"/>
        </w:rPr>
        <w:t>P</w:t>
      </w:r>
      <w:r w:rsidRPr="00EB2E7B">
        <w:rPr>
          <w:rFonts w:asciiTheme="minorHAnsi" w:hAnsiTheme="minorHAnsi" w:cstheme="minorHAnsi"/>
          <w:sz w:val="20"/>
          <w:szCs w:val="20"/>
        </w:rPr>
        <w:t>rosument), umowy dystrybucji z ACPRO,</w:t>
      </w:r>
    </w:p>
    <w:p w14:paraId="73382A41" w14:textId="4E81930F" w:rsidR="000B4A84" w:rsidRPr="00EB2E7B" w:rsidRDefault="000B4A84" w:rsidP="00AD2C57">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wskazaniu przez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wybranego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posiadającego zawartą umowę dystrybucji z ACPRO.</w:t>
      </w:r>
    </w:p>
    <w:p w14:paraId="5E02B977" w14:textId="46021A17" w:rsidR="00473957" w:rsidRPr="00EB2E7B" w:rsidRDefault="00232DA9" w:rsidP="009A432E">
      <w:pPr>
        <w:pStyle w:val="ANagwek4"/>
        <w:rPr>
          <w:rFonts w:asciiTheme="minorHAnsi" w:hAnsiTheme="minorHAnsi" w:cstheme="minorHAnsi"/>
          <w:sz w:val="20"/>
          <w:szCs w:val="20"/>
        </w:rPr>
      </w:pPr>
      <w:r w:rsidRPr="00EB2E7B">
        <w:rPr>
          <w:rFonts w:asciiTheme="minorHAnsi" w:hAnsiTheme="minorHAnsi" w:cstheme="minorHAnsi"/>
          <w:sz w:val="20"/>
          <w:szCs w:val="20"/>
        </w:rPr>
        <w:t>ACPRO</w:t>
      </w:r>
      <w:r w:rsidR="00571024"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realizuje umowy kompleksowe zawarte przez URD</w:t>
      </w:r>
      <w:r w:rsidR="000059E8" w:rsidRPr="00EB2E7B">
        <w:rPr>
          <w:rFonts w:asciiTheme="minorHAnsi" w:hAnsiTheme="minorHAnsi" w:cstheme="minorHAnsi"/>
          <w:sz w:val="20"/>
          <w:szCs w:val="20"/>
        </w:rPr>
        <w:t xml:space="preserve"> nie będącego URD</w:t>
      </w:r>
      <w:r w:rsidR="000059E8" w:rsidRPr="00EB2E7B">
        <w:rPr>
          <w:rFonts w:asciiTheme="minorHAnsi" w:hAnsiTheme="minorHAnsi" w:cstheme="minorHAnsi"/>
          <w:sz w:val="20"/>
          <w:szCs w:val="20"/>
          <w:vertAlign w:val="subscript"/>
        </w:rPr>
        <w:t>O</w:t>
      </w:r>
      <w:r w:rsidR="000059E8" w:rsidRPr="00EB2E7B">
        <w:rPr>
          <w:rFonts w:asciiTheme="minorHAnsi" w:hAnsiTheme="minorHAnsi" w:cstheme="minorHAnsi"/>
          <w:sz w:val="20"/>
          <w:szCs w:val="20"/>
        </w:rPr>
        <w:t xml:space="preserve"> w gospodarstwie domowym</w:t>
      </w:r>
      <w:r w:rsidR="0077111A" w:rsidRPr="00EB2E7B">
        <w:rPr>
          <w:rFonts w:asciiTheme="minorHAnsi" w:hAnsiTheme="minorHAnsi" w:cstheme="minorHAnsi"/>
          <w:sz w:val="20"/>
          <w:szCs w:val="20"/>
        </w:rPr>
        <w:t xml:space="preserve"> z wybranym sprzedawcą, z zachowaniem wymagań</w:t>
      </w:r>
      <w:r w:rsidR="0035350F" w:rsidRPr="00EB2E7B">
        <w:rPr>
          <w:rFonts w:asciiTheme="minorHAnsi" w:hAnsiTheme="minorHAnsi" w:cstheme="minorHAnsi"/>
          <w:sz w:val="20"/>
          <w:szCs w:val="20"/>
        </w:rPr>
        <w:t xml:space="preserve"> określonych w GUD</w:t>
      </w:r>
      <w:r w:rsidR="0077111A" w:rsidRPr="00EB2E7B">
        <w:rPr>
          <w:rFonts w:asciiTheme="minorHAnsi" w:hAnsiTheme="minorHAnsi" w:cstheme="minorHAnsi"/>
          <w:sz w:val="20"/>
          <w:szCs w:val="20"/>
        </w:rPr>
        <w:t xml:space="preserve">. </w:t>
      </w:r>
    </w:p>
    <w:p w14:paraId="2991E678" w14:textId="2E747A6D" w:rsidR="00473957" w:rsidRPr="00EB2E7B" w:rsidRDefault="000B4A84" w:rsidP="009A432E">
      <w:pPr>
        <w:pStyle w:val="ANagwek4"/>
        <w:rPr>
          <w:rFonts w:asciiTheme="minorHAnsi" w:hAnsiTheme="minorHAnsi" w:cstheme="minorHAnsi"/>
          <w:sz w:val="20"/>
          <w:szCs w:val="20"/>
        </w:rPr>
      </w:pPr>
      <w:bookmarkStart w:id="449" w:name="_Ref99051823"/>
      <w:r w:rsidRPr="00EB2E7B">
        <w:rPr>
          <w:rFonts w:asciiTheme="minorHAnsi" w:hAnsiTheme="minorHAnsi" w:cstheme="minorHAnsi"/>
          <w:sz w:val="20"/>
          <w:szCs w:val="20"/>
        </w:rPr>
        <w:t xml:space="preserve">Umowa </w:t>
      </w:r>
      <w:r w:rsidR="00A27EC7" w:rsidRPr="00EB2E7B">
        <w:rPr>
          <w:rFonts w:asciiTheme="minorHAnsi" w:hAnsiTheme="minorHAnsi" w:cstheme="minorHAnsi"/>
          <w:sz w:val="20"/>
          <w:szCs w:val="20"/>
        </w:rPr>
        <w:t xml:space="preserve">o świadczenie usług </w:t>
      </w:r>
      <w:r w:rsidRPr="00EB2E7B">
        <w:rPr>
          <w:rFonts w:asciiTheme="minorHAnsi" w:hAnsiTheme="minorHAnsi" w:cstheme="minorHAnsi"/>
          <w:sz w:val="20"/>
          <w:szCs w:val="20"/>
        </w:rPr>
        <w:t>dystrybucji zawarta pomiędzy URD a ACPRO, powinna spełniać wymagania określone w ustawie Prawo energetyczne i zawierać w szczególności następujące elementy:</w:t>
      </w:r>
      <w:bookmarkEnd w:id="449"/>
    </w:p>
    <w:p w14:paraId="567702F8"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umowa dystrybucji zawarta pomiędzy URD a ACPRO powinna spełniać wymagania określone w Ustawie i zawierać w szczególności następujące elementy:</w:t>
      </w:r>
    </w:p>
    <w:p w14:paraId="2EB9D59D"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informację, że POBZ dla URD jest podmiot określony zgodnie z GUD, dla którego ACPRO realizuje umowę sprzedaży – dotyczy URD obsługiwanego przez sprzedawcę,</w:t>
      </w:r>
    </w:p>
    <w:p w14:paraId="2A44A2A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sposób i zasady rozliczeń z ACPRO z tytułu niezbilansowania dostaw energii elektrycznej, w przypadku utraty POBZ – dotyczy URDW oraz URDME,</w:t>
      </w:r>
    </w:p>
    <w:p w14:paraId="261FD5FA"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wskazanie DUB – dotyczy URDW oraz URDME posiadających JWCD.</w:t>
      </w:r>
    </w:p>
    <w:p w14:paraId="5D435412" w14:textId="733839CE" w:rsidR="00473957" w:rsidRPr="00EB2E7B" w:rsidRDefault="000B4A84" w:rsidP="00EE7359">
      <w:pPr>
        <w:pStyle w:val="aprzed"/>
        <w:numPr>
          <w:ilvl w:val="0"/>
          <w:numId w:val="91"/>
        </w:numPr>
        <w:ind w:left="1701" w:hanging="566"/>
        <w:rPr>
          <w:rFonts w:asciiTheme="minorHAnsi" w:hAnsiTheme="minorHAnsi" w:cstheme="minorHAnsi"/>
          <w:sz w:val="20"/>
          <w:szCs w:val="20"/>
        </w:rPr>
      </w:pPr>
      <w:bookmarkStart w:id="450" w:name="_Ref99051845"/>
      <w:r w:rsidRPr="00EB2E7B">
        <w:rPr>
          <w:rFonts w:asciiTheme="minorHAnsi" w:hAnsiTheme="minorHAnsi" w:cstheme="minorHAnsi"/>
          <w:sz w:val="20"/>
          <w:szCs w:val="20"/>
        </w:rPr>
        <w:t>oznaczenie sprzedawcy, który posiada zawartą GUD z ACPRO - dotyczy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w:t>
      </w:r>
      <w:bookmarkEnd w:id="450"/>
    </w:p>
    <w:p w14:paraId="7AFD2581" w14:textId="168A2794" w:rsidR="00473957" w:rsidRPr="00EB2E7B" w:rsidRDefault="000B4A84" w:rsidP="007A29BC">
      <w:pPr>
        <w:pStyle w:val="aprzed"/>
        <w:numPr>
          <w:ilvl w:val="0"/>
          <w:numId w:val="277"/>
        </w:numPr>
        <w:ind w:left="1701" w:hanging="567"/>
        <w:rPr>
          <w:rFonts w:asciiTheme="minorHAnsi" w:hAnsiTheme="minorHAnsi" w:cstheme="minorHAnsi"/>
          <w:sz w:val="20"/>
          <w:szCs w:val="20"/>
        </w:rPr>
      </w:pPr>
      <w:bookmarkStart w:id="451" w:name="_Ref99051857"/>
      <w:r w:rsidRPr="00EB2E7B">
        <w:rPr>
          <w:rFonts w:asciiTheme="minorHAnsi" w:hAnsiTheme="minorHAnsi" w:cstheme="minorHAnsi"/>
          <w:sz w:val="20"/>
          <w:szCs w:val="20"/>
        </w:rPr>
        <w:t>wskazanie sprzedawcy rezerwowego, który posiada zawartą GUD z ACPRO umożliwiającą sprzedaż rezerwową – dotyczy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w:t>
      </w:r>
      <w:bookmarkEnd w:id="451"/>
    </w:p>
    <w:p w14:paraId="5C94C670" w14:textId="5BF3763F" w:rsidR="00473957" w:rsidRPr="00EB2E7B" w:rsidRDefault="000B4A84" w:rsidP="007A29BC">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określenie, że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dla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jest podmiot wskazany przez sprzedawcę w GUD, dla którego ACPRO realizuje umowę sprzedaży – dotyczy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w:t>
      </w:r>
    </w:p>
    <w:p w14:paraId="528DAB33" w14:textId="260C39E3" w:rsidR="00473957" w:rsidRPr="00EB2E7B" w:rsidRDefault="000B4A84" w:rsidP="007A29BC">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określenie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i zasad jego zmiany – dotyczy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oraz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w:t>
      </w:r>
    </w:p>
    <w:p w14:paraId="1FEDAEAD" w14:textId="3E157BA1" w:rsidR="00473957" w:rsidRPr="00EB2E7B" w:rsidRDefault="000B4A84" w:rsidP="007A29BC">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sposób i zasady rozliczeń z ACPRO z tytułu niezbilansowania dostaw energii elektrycznej, w przypadku utraty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 dotyczy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oraz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w:t>
      </w:r>
    </w:p>
    <w:p w14:paraId="314340E1" w14:textId="33D512AD" w:rsidR="00862E01" w:rsidRPr="00EB2E7B" w:rsidRDefault="00853598" w:rsidP="007A29BC">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wskazanie DUB – dotyczy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oraz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posiadających JWCD.</w:t>
      </w:r>
    </w:p>
    <w:p w14:paraId="7C52F2F1" w14:textId="22C85913" w:rsidR="00473957" w:rsidRPr="00EB2E7B" w:rsidRDefault="0077111A"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Oznaczenie sprzedawcy i wskazanie sprzedawcy rezerwowego, o których mowa w</w:t>
      </w:r>
      <w:r w:rsidR="007E14D1" w:rsidRPr="00EB2E7B">
        <w:rPr>
          <w:rFonts w:asciiTheme="minorHAnsi" w:hAnsiTheme="minorHAnsi" w:cstheme="minorHAnsi"/>
          <w:sz w:val="20"/>
          <w:szCs w:val="20"/>
        </w:rPr>
        <w:t> </w:t>
      </w:r>
      <w:r w:rsidRPr="00EB2E7B">
        <w:rPr>
          <w:rFonts w:asciiTheme="minorHAnsi" w:hAnsiTheme="minorHAnsi" w:cstheme="minorHAnsi"/>
          <w:sz w:val="20"/>
          <w:szCs w:val="20"/>
        </w:rPr>
        <w:t xml:space="preserve">lit. </w:t>
      </w:r>
      <w:r w:rsidR="0024172B" w:rsidRPr="00EB2E7B">
        <w:rPr>
          <w:rFonts w:asciiTheme="minorHAnsi" w:hAnsiTheme="minorHAnsi" w:cstheme="minorHAnsi"/>
          <w:sz w:val="20"/>
          <w:szCs w:val="20"/>
        </w:rPr>
        <w:fldChar w:fldCharType="begin"/>
      </w:r>
      <w:r w:rsidR="0024172B" w:rsidRPr="00EB2E7B">
        <w:rPr>
          <w:rFonts w:asciiTheme="minorHAnsi" w:hAnsiTheme="minorHAnsi" w:cstheme="minorHAnsi"/>
          <w:sz w:val="20"/>
          <w:szCs w:val="20"/>
        </w:rPr>
        <w:instrText xml:space="preserve"> REF _Ref99051845 \r \h </w:instrText>
      </w:r>
      <w:r w:rsidR="00DC1582" w:rsidRPr="00EB2E7B">
        <w:rPr>
          <w:rFonts w:asciiTheme="minorHAnsi" w:hAnsiTheme="minorHAnsi" w:cstheme="minorHAnsi"/>
          <w:sz w:val="20"/>
          <w:szCs w:val="20"/>
        </w:rPr>
        <w:instrText xml:space="preserve"> \* MERGEFORMAT </w:instrText>
      </w:r>
      <w:r w:rsidR="0024172B" w:rsidRPr="00EB2E7B">
        <w:rPr>
          <w:rFonts w:asciiTheme="minorHAnsi" w:hAnsiTheme="minorHAnsi" w:cstheme="minorHAnsi"/>
          <w:sz w:val="20"/>
          <w:szCs w:val="20"/>
        </w:rPr>
      </w:r>
      <w:r w:rsidR="0024172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24172B" w:rsidRPr="00EB2E7B">
        <w:rPr>
          <w:rFonts w:asciiTheme="minorHAnsi" w:hAnsiTheme="minorHAnsi" w:cstheme="minorHAnsi"/>
          <w:sz w:val="20"/>
          <w:szCs w:val="20"/>
        </w:rPr>
        <w:fldChar w:fldCharType="end"/>
      </w:r>
      <w:r w:rsidR="0024172B"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i </w:t>
      </w:r>
      <w:r w:rsidR="0024172B" w:rsidRPr="00EB2E7B">
        <w:rPr>
          <w:rFonts w:asciiTheme="minorHAnsi" w:hAnsiTheme="minorHAnsi" w:cstheme="minorHAnsi"/>
          <w:sz w:val="20"/>
          <w:szCs w:val="20"/>
        </w:rPr>
        <w:fldChar w:fldCharType="begin"/>
      </w:r>
      <w:r w:rsidR="0024172B" w:rsidRPr="00EB2E7B">
        <w:rPr>
          <w:rFonts w:asciiTheme="minorHAnsi" w:hAnsiTheme="minorHAnsi" w:cstheme="minorHAnsi"/>
          <w:sz w:val="20"/>
          <w:szCs w:val="20"/>
        </w:rPr>
        <w:instrText xml:space="preserve"> REF _Ref99051857 \r \h </w:instrText>
      </w:r>
      <w:r w:rsidR="00DC1582" w:rsidRPr="00EB2E7B">
        <w:rPr>
          <w:rFonts w:asciiTheme="minorHAnsi" w:hAnsiTheme="minorHAnsi" w:cstheme="minorHAnsi"/>
          <w:sz w:val="20"/>
          <w:szCs w:val="20"/>
        </w:rPr>
        <w:instrText xml:space="preserve"> \* MERGEFORMAT </w:instrText>
      </w:r>
      <w:r w:rsidR="0024172B" w:rsidRPr="00EB2E7B">
        <w:rPr>
          <w:rFonts w:asciiTheme="minorHAnsi" w:hAnsiTheme="minorHAnsi" w:cstheme="minorHAnsi"/>
          <w:sz w:val="20"/>
          <w:szCs w:val="20"/>
        </w:rPr>
      </w:r>
      <w:r w:rsidR="0024172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24172B" w:rsidRPr="00EB2E7B">
        <w:rPr>
          <w:rFonts w:asciiTheme="minorHAnsi" w:hAnsiTheme="minorHAnsi" w:cstheme="minorHAnsi"/>
          <w:sz w:val="20"/>
          <w:szCs w:val="20"/>
        </w:rPr>
        <w:fldChar w:fldCharType="end"/>
      </w:r>
      <w:r w:rsidRPr="00EB2E7B">
        <w:rPr>
          <w:rFonts w:asciiTheme="minorHAnsi" w:hAnsiTheme="minorHAnsi" w:cstheme="minorHAnsi"/>
          <w:sz w:val="20"/>
          <w:szCs w:val="20"/>
        </w:rPr>
        <w:t>, może być realizowane poprzez określenie tych sprzedawców w</w:t>
      </w:r>
      <w:r w:rsidR="00351AC4" w:rsidRPr="00EB2E7B">
        <w:rPr>
          <w:rFonts w:asciiTheme="minorHAnsi" w:hAnsiTheme="minorHAnsi" w:cstheme="minorHAnsi"/>
          <w:sz w:val="20"/>
          <w:szCs w:val="20"/>
        </w:rPr>
        <w:t> </w:t>
      </w:r>
      <w:r w:rsidRPr="00EB2E7B">
        <w:rPr>
          <w:rFonts w:asciiTheme="minorHAnsi" w:hAnsiTheme="minorHAnsi" w:cstheme="minorHAnsi"/>
          <w:sz w:val="20"/>
          <w:szCs w:val="20"/>
        </w:rPr>
        <w:t xml:space="preserve">powiadomieniu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 zawartej umowie sprzedaży, które zostało przyjęte do realizacji zgodnie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-Bilansowanie.</w:t>
      </w:r>
    </w:p>
    <w:p w14:paraId="153F0E6D" w14:textId="35922477" w:rsidR="00473957" w:rsidRPr="00EB2E7B" w:rsidRDefault="0077111A" w:rsidP="009A432E">
      <w:pPr>
        <w:pStyle w:val="ANagwek4"/>
        <w:rPr>
          <w:rFonts w:asciiTheme="minorHAnsi" w:hAnsiTheme="minorHAnsi" w:cstheme="minorHAnsi"/>
          <w:sz w:val="20"/>
          <w:szCs w:val="20"/>
        </w:rPr>
      </w:pPr>
      <w:r w:rsidRPr="00EB2E7B">
        <w:rPr>
          <w:rFonts w:asciiTheme="minorHAnsi" w:hAnsiTheme="minorHAnsi" w:cstheme="minorHAnsi"/>
          <w:sz w:val="20"/>
          <w:szCs w:val="20"/>
        </w:rPr>
        <w:t>Umowa kompleksowa zawarta przez URD w zakresie zapisów dotyczących świadczenia usług dystrybucji, powinna spełniać wymagania określone w</w:t>
      </w:r>
      <w:r w:rsidR="00351AC4" w:rsidRPr="00EB2E7B">
        <w:rPr>
          <w:rFonts w:asciiTheme="minorHAnsi" w:hAnsiTheme="minorHAnsi" w:cstheme="minorHAnsi"/>
          <w:sz w:val="20"/>
          <w:szCs w:val="20"/>
        </w:rPr>
        <w:t> </w:t>
      </w:r>
      <w:r w:rsidRPr="00EB2E7B">
        <w:rPr>
          <w:rFonts w:asciiTheme="minorHAnsi" w:hAnsiTheme="minorHAnsi" w:cstheme="minorHAnsi"/>
          <w:sz w:val="20"/>
          <w:szCs w:val="20"/>
        </w:rPr>
        <w:t>ustawie Prawo energetyczne</w:t>
      </w:r>
      <w:r w:rsidR="001B6DDB" w:rsidRPr="00EB2E7B">
        <w:rPr>
          <w:rFonts w:asciiTheme="minorHAnsi" w:hAnsiTheme="minorHAnsi" w:cstheme="minorHAnsi"/>
          <w:sz w:val="20"/>
          <w:szCs w:val="20"/>
        </w:rPr>
        <w:t xml:space="preserve"> oraz w umowie</w:t>
      </w:r>
      <w:r w:rsidR="00B3435E" w:rsidRPr="00EB2E7B">
        <w:rPr>
          <w:rFonts w:asciiTheme="minorHAnsi" w:hAnsiTheme="minorHAnsi" w:cstheme="minorHAnsi"/>
          <w:sz w:val="20"/>
          <w:szCs w:val="20"/>
        </w:rPr>
        <w:t xml:space="preserve"> GUD</w:t>
      </w:r>
      <w:r w:rsidR="009B01AE" w:rsidRPr="00EB2E7B">
        <w:rPr>
          <w:rFonts w:asciiTheme="minorHAnsi" w:hAnsiTheme="minorHAnsi" w:cstheme="minorHAnsi"/>
          <w:sz w:val="20"/>
          <w:szCs w:val="20"/>
        </w:rPr>
        <w:t>.</w:t>
      </w:r>
    </w:p>
    <w:p w14:paraId="79D59CB2" w14:textId="28A6481E" w:rsidR="00F328F1" w:rsidRPr="00EB2E7B" w:rsidRDefault="3E1844C4" w:rsidP="009A432E">
      <w:pPr>
        <w:pStyle w:val="ANagwek4"/>
        <w:rPr>
          <w:rFonts w:asciiTheme="minorHAnsi" w:hAnsiTheme="minorHAnsi" w:cstheme="minorHAnsi"/>
          <w:sz w:val="20"/>
          <w:szCs w:val="20"/>
        </w:rPr>
      </w:pPr>
      <w:bookmarkStart w:id="452" w:name="_Ref189420169"/>
      <w:r w:rsidRPr="00EB2E7B">
        <w:rPr>
          <w:rFonts w:asciiTheme="minorHAnsi" w:hAnsiTheme="minorHAnsi" w:cstheme="minorHAnsi"/>
          <w:sz w:val="20"/>
          <w:szCs w:val="20"/>
        </w:rPr>
        <w:t xml:space="preserve">Podmiot posiadający: zawartą umowę przesyłową z OSP, przydzielone i uaktywnione przez OSP MB na obszarze działania </w:t>
      </w:r>
      <w:r w:rsidR="52FB47C8" w:rsidRPr="00EB2E7B">
        <w:rPr>
          <w:rFonts w:asciiTheme="minorHAnsi" w:hAnsiTheme="minorHAnsi" w:cstheme="minorHAnsi"/>
          <w:sz w:val="20"/>
          <w:szCs w:val="20"/>
        </w:rPr>
        <w:t>OSD</w:t>
      </w:r>
      <w:r w:rsidR="546746CE" w:rsidRPr="00EB2E7B">
        <w:rPr>
          <w:rFonts w:asciiTheme="minorHAnsi" w:hAnsiTheme="minorHAnsi" w:cstheme="minorHAnsi"/>
          <w:sz w:val="20"/>
          <w:szCs w:val="20"/>
        </w:rPr>
        <w:t>n (w tym ACPRO)</w:t>
      </w:r>
      <w:r w:rsidRPr="00EB2E7B">
        <w:rPr>
          <w:rFonts w:asciiTheme="minorHAnsi" w:hAnsiTheme="minorHAnsi" w:cstheme="minorHAnsi"/>
          <w:sz w:val="20"/>
          <w:szCs w:val="20"/>
        </w:rPr>
        <w:t>, zawartą jedną umowę o</w:t>
      </w:r>
      <w:r w:rsidR="52FB47C8" w:rsidRPr="00EB2E7B">
        <w:rPr>
          <w:rFonts w:asciiTheme="minorHAnsi" w:hAnsiTheme="minorHAnsi" w:cstheme="minorHAnsi"/>
          <w:sz w:val="20"/>
          <w:szCs w:val="20"/>
        </w:rPr>
        <w:t> </w:t>
      </w:r>
      <w:r w:rsidRPr="00EB2E7B">
        <w:rPr>
          <w:rFonts w:asciiTheme="minorHAnsi" w:hAnsiTheme="minorHAnsi" w:cstheme="minorHAnsi"/>
          <w:sz w:val="20"/>
          <w:szCs w:val="20"/>
        </w:rPr>
        <w:t xml:space="preserve">świadczenie usług dystrybucji z </w:t>
      </w:r>
      <w:r w:rsidR="03C9F1E3"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oraz spełniający procedury i warunki zawarte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może pełnić funkcję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Umowa o świadczenie usług dystrybucji zawierana przez </w:t>
      </w:r>
      <w:r w:rsidR="03C9F1E3"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powinna spełniać wymagania określone w ustawie Prawo energetyczne oraz zawierać w szczególności następujące elementy:</w:t>
      </w:r>
      <w:r w:rsidR="2615E68D" w:rsidRPr="00EB2E7B">
        <w:rPr>
          <w:rFonts w:asciiTheme="minorHAnsi" w:hAnsiTheme="minorHAnsi" w:cstheme="minorHAnsi"/>
          <w:sz w:val="20"/>
          <w:szCs w:val="20"/>
        </w:rPr>
        <w:t xml:space="preserve"> </w:t>
      </w:r>
      <w:bookmarkEnd w:id="452"/>
    </w:p>
    <w:p w14:paraId="41EE9BB4" w14:textId="1F2EC368" w:rsidR="006415DE" w:rsidRPr="00EB2E7B" w:rsidRDefault="00C53AD8"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oświadczenie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o zawarciu umowy przesyłowej z OSP umożliwiającej prowadzenie działalności na rynku bilansującym,</w:t>
      </w:r>
    </w:p>
    <w:p w14:paraId="71E28702" w14:textId="4DCB7869" w:rsidR="00C53AD8" w:rsidRPr="00EB2E7B" w:rsidRDefault="002A7B04"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kod identyfikacyjny podmiotu na rynku bilansującym,</w:t>
      </w:r>
    </w:p>
    <w:p w14:paraId="0F45240C" w14:textId="400E84FE" w:rsidR="00C53AD8" w:rsidRPr="00EB2E7B" w:rsidRDefault="00CA4EF7"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dane o posiadanych przez podmiot koncesjach, związanych z działalnością w</w:t>
      </w:r>
      <w:r w:rsidR="007E14D1" w:rsidRPr="00EB2E7B">
        <w:rPr>
          <w:rFonts w:asciiTheme="minorHAnsi" w:hAnsiTheme="minorHAnsi" w:cstheme="minorHAnsi"/>
          <w:sz w:val="20"/>
          <w:szCs w:val="20"/>
        </w:rPr>
        <w:t> </w:t>
      </w:r>
      <w:r w:rsidRPr="00EB2E7B">
        <w:rPr>
          <w:rFonts w:asciiTheme="minorHAnsi" w:hAnsiTheme="minorHAnsi" w:cstheme="minorHAnsi"/>
          <w:sz w:val="20"/>
          <w:szCs w:val="20"/>
        </w:rPr>
        <w:t>elektroenergetyce - jeżeli jest taki wymóg prawny</w:t>
      </w:r>
      <w:r w:rsidR="00355EE8" w:rsidRPr="00EB2E7B">
        <w:rPr>
          <w:rFonts w:asciiTheme="minorHAnsi" w:hAnsiTheme="minorHAnsi" w:cstheme="minorHAnsi"/>
          <w:sz w:val="20"/>
          <w:szCs w:val="20"/>
        </w:rPr>
        <w:t>,</w:t>
      </w:r>
    </w:p>
    <w:p w14:paraId="74FA1D52" w14:textId="279437F6" w:rsidR="00C53AD8" w:rsidRPr="00EB2E7B" w:rsidRDefault="00CA4EF7"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datę rozpoczęcia działalności na rynku bilansującym,</w:t>
      </w:r>
    </w:p>
    <w:p w14:paraId="3A3404F4" w14:textId="4094C47F" w:rsidR="00C53AD8" w:rsidRPr="00EB2E7B" w:rsidRDefault="00CA4EF7"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osoby upoważnione do kontaktu </w:t>
      </w:r>
      <w:r w:rsidR="00355EE8"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oraz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a także ich dane teleadresowe,</w:t>
      </w:r>
    </w:p>
    <w:p w14:paraId="3859790C" w14:textId="35DFB22F" w:rsidR="00C53AD8" w:rsidRPr="00EB2E7B" w:rsidRDefault="00013B5B"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warunki przejmowania odpowiedzialności za bilansowanie handlowe na rynku bilansującym, podmiotów działających na obszarze </w:t>
      </w:r>
      <w:r w:rsidR="00355EE8" w:rsidRPr="00EB2E7B">
        <w:rPr>
          <w:rFonts w:asciiTheme="minorHAnsi" w:hAnsiTheme="minorHAnsi" w:cstheme="minorHAnsi"/>
          <w:sz w:val="20"/>
          <w:szCs w:val="20"/>
        </w:rPr>
        <w:t>ACPRO</w:t>
      </w:r>
      <w:r w:rsidR="008C7196" w:rsidRPr="00EB2E7B">
        <w:rPr>
          <w:rFonts w:asciiTheme="minorHAnsi" w:hAnsiTheme="minorHAnsi" w:cstheme="minorHAnsi"/>
          <w:sz w:val="20"/>
          <w:szCs w:val="20"/>
        </w:rPr>
        <w:t>,</w:t>
      </w:r>
      <w:r w:rsidR="00203E65" w:rsidRPr="00EB2E7B">
        <w:rPr>
          <w:rFonts w:asciiTheme="minorHAnsi" w:hAnsiTheme="minorHAnsi" w:cstheme="minorHAnsi"/>
          <w:sz w:val="20"/>
          <w:szCs w:val="20"/>
        </w:rPr>
        <w:t xml:space="preserve"> </w:t>
      </w:r>
    </w:p>
    <w:p w14:paraId="09875539" w14:textId="3C0EC4A3" w:rsidR="00C53AD8" w:rsidRPr="00EB2E7B" w:rsidRDefault="00013B5B"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wykaz Miejsc Dostarczania Energii Rynku Bilansującego (MB), za których bilansowanie handlowe odpowiada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w:t>
      </w:r>
    </w:p>
    <w:p w14:paraId="4F6B287E" w14:textId="6296E95A" w:rsidR="00C53AD8" w:rsidRPr="00EB2E7B" w:rsidRDefault="00203B3C"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wykaz sprzedawców,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i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dla których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prowadzi bilansowanie handlowe na obszarze </w:t>
      </w:r>
      <w:r w:rsidR="00355EE8" w:rsidRPr="00EB2E7B">
        <w:rPr>
          <w:rFonts w:asciiTheme="minorHAnsi" w:hAnsiTheme="minorHAnsi" w:cstheme="minorHAnsi"/>
          <w:sz w:val="20"/>
          <w:szCs w:val="20"/>
        </w:rPr>
        <w:t>ACPRO</w:t>
      </w:r>
      <w:r w:rsidR="00934211" w:rsidRPr="00EB2E7B">
        <w:rPr>
          <w:rFonts w:asciiTheme="minorHAnsi" w:hAnsiTheme="minorHAnsi" w:cstheme="minorHAnsi"/>
          <w:sz w:val="20"/>
          <w:szCs w:val="20"/>
        </w:rPr>
        <w:t xml:space="preserve"> oraz na obszarze OSDn, o którym mowa w pkt </w:t>
      </w:r>
      <w:r w:rsidR="00B7659D" w:rsidRPr="00EB2E7B">
        <w:rPr>
          <w:rFonts w:asciiTheme="minorHAnsi" w:hAnsiTheme="minorHAnsi" w:cstheme="minorHAnsi"/>
          <w:sz w:val="20"/>
          <w:szCs w:val="20"/>
        </w:rPr>
        <w:fldChar w:fldCharType="begin"/>
      </w:r>
      <w:r w:rsidR="00B7659D" w:rsidRPr="00EB2E7B">
        <w:rPr>
          <w:rFonts w:asciiTheme="minorHAnsi" w:hAnsiTheme="minorHAnsi" w:cstheme="minorHAnsi"/>
          <w:sz w:val="20"/>
          <w:szCs w:val="20"/>
        </w:rPr>
        <w:instrText xml:space="preserve"> REF _Ref190095183 \w \h </w:instrText>
      </w:r>
      <w:r w:rsidR="00C874D3" w:rsidRPr="00EB2E7B">
        <w:rPr>
          <w:rFonts w:asciiTheme="minorHAnsi" w:hAnsiTheme="minorHAnsi" w:cstheme="minorHAnsi"/>
          <w:sz w:val="20"/>
          <w:szCs w:val="20"/>
        </w:rPr>
        <w:instrText xml:space="preserve"> \* MERGEFORMAT </w:instrText>
      </w:r>
      <w:r w:rsidR="00B7659D" w:rsidRPr="00EB2E7B">
        <w:rPr>
          <w:rFonts w:asciiTheme="minorHAnsi" w:hAnsiTheme="minorHAnsi" w:cstheme="minorHAnsi"/>
          <w:sz w:val="20"/>
          <w:szCs w:val="20"/>
        </w:rPr>
      </w:r>
      <w:r w:rsidR="00B7659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A.6</w:t>
      </w:r>
      <w:r w:rsidR="00B7659D" w:rsidRPr="00EB2E7B">
        <w:rPr>
          <w:rFonts w:asciiTheme="minorHAnsi" w:hAnsiTheme="minorHAnsi" w:cstheme="minorHAnsi"/>
          <w:sz w:val="20"/>
          <w:szCs w:val="20"/>
        </w:rPr>
        <w:fldChar w:fldCharType="end"/>
      </w:r>
      <w:r w:rsidR="00934211" w:rsidRPr="00EB2E7B">
        <w:rPr>
          <w:rFonts w:asciiTheme="minorHAnsi" w:hAnsiTheme="minorHAnsi" w:cstheme="minorHAnsi"/>
          <w:sz w:val="20"/>
          <w:szCs w:val="20"/>
        </w:rPr>
        <w:t>.</w:t>
      </w:r>
      <w:r w:rsidRPr="00EB2E7B">
        <w:rPr>
          <w:rFonts w:asciiTheme="minorHAnsi" w:hAnsiTheme="minorHAnsi" w:cstheme="minorHAnsi"/>
          <w:sz w:val="20"/>
          <w:szCs w:val="20"/>
        </w:rPr>
        <w:t>,</w:t>
      </w:r>
    </w:p>
    <w:p w14:paraId="4F84F4C4" w14:textId="5572BA3F" w:rsidR="00C53AD8" w:rsidRPr="00EB2E7B" w:rsidRDefault="00621D2F"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zobowiązanie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do niezwłocznego informowania o zaprzestaniu bilansowania handlowego sprzedawcy lub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lub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lub o zawieszeniu albo zaprzestaniu prowadzenia działalności na RB w rozumieniu WDB,</w:t>
      </w:r>
    </w:p>
    <w:p w14:paraId="4B53F318" w14:textId="6A2A8A5C" w:rsidR="00C53AD8" w:rsidRPr="00EB2E7B" w:rsidRDefault="004269D5"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zasady rozwiązania umowy lub wprowadzania ograniczeń w jej wykonywaniu w przypadku gdy, niezależnie od przyczyny,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zaprzestanie lub zawiesi działalność na RB w rozumieniu WDB,</w:t>
      </w:r>
    </w:p>
    <w:p w14:paraId="543A2123" w14:textId="28AC17A7" w:rsidR="00C53AD8" w:rsidRPr="00EB2E7B" w:rsidRDefault="004269D5" w:rsidP="00BD4391">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zasady przekazywania przez ACPRO na MB przyporządkowane temu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zagregowanych danych pomiarowych z obszaru</w:t>
      </w:r>
      <w:r w:rsidR="00397018" w:rsidRPr="00EB2E7B">
        <w:rPr>
          <w:rFonts w:asciiTheme="minorHAnsi" w:hAnsiTheme="minorHAnsi" w:cstheme="minorHAnsi"/>
          <w:sz w:val="20"/>
          <w:szCs w:val="20"/>
        </w:rPr>
        <w:t xml:space="preserve"> ACPRO i</w:t>
      </w:r>
      <w:r w:rsidRPr="00EB2E7B">
        <w:rPr>
          <w:rFonts w:asciiTheme="minorHAnsi" w:hAnsiTheme="minorHAnsi" w:cstheme="minorHAnsi"/>
          <w:sz w:val="20"/>
          <w:szCs w:val="20"/>
        </w:rPr>
        <w:t xml:space="preserve"> OSD</w:t>
      </w:r>
      <w:r w:rsidR="00E906D4" w:rsidRPr="00EB2E7B">
        <w:rPr>
          <w:rFonts w:asciiTheme="minorHAnsi" w:hAnsiTheme="minorHAnsi" w:cstheme="minorHAnsi"/>
          <w:sz w:val="20"/>
          <w:szCs w:val="20"/>
        </w:rPr>
        <w:t>n</w:t>
      </w:r>
      <w:r w:rsidRPr="00EB2E7B">
        <w:rPr>
          <w:rFonts w:asciiTheme="minorHAnsi" w:hAnsiTheme="minorHAnsi" w:cstheme="minorHAnsi"/>
          <w:sz w:val="20"/>
          <w:szCs w:val="20"/>
        </w:rPr>
        <w:t xml:space="preserve">, dla którego </w:t>
      </w:r>
      <w:r w:rsidR="005F436F"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realizuje </w:t>
      </w:r>
      <w:r w:rsidR="005F436F" w:rsidRPr="00EB2E7B">
        <w:rPr>
          <w:rFonts w:asciiTheme="minorHAnsi" w:hAnsiTheme="minorHAnsi" w:cstheme="minorHAnsi"/>
          <w:sz w:val="20"/>
          <w:szCs w:val="20"/>
        </w:rPr>
        <w:t xml:space="preserve">za pośrednictwem </w:t>
      </w:r>
      <w:proofErr w:type="spellStart"/>
      <w:r w:rsidR="005F436F" w:rsidRPr="00EB2E7B">
        <w:rPr>
          <w:rFonts w:asciiTheme="minorHAnsi" w:hAnsiTheme="minorHAnsi" w:cstheme="minorHAnsi"/>
          <w:sz w:val="20"/>
          <w:szCs w:val="20"/>
        </w:rPr>
        <w:t>OSDp</w:t>
      </w:r>
      <w:proofErr w:type="spellEnd"/>
      <w:r w:rsidR="005F436F" w:rsidRPr="00EB2E7B">
        <w:rPr>
          <w:rFonts w:asciiTheme="minorHAnsi" w:hAnsiTheme="minorHAnsi" w:cstheme="minorHAnsi"/>
          <w:sz w:val="20"/>
          <w:szCs w:val="20"/>
        </w:rPr>
        <w:t xml:space="preserve"> </w:t>
      </w:r>
      <w:r w:rsidRPr="00EB2E7B">
        <w:rPr>
          <w:rFonts w:asciiTheme="minorHAnsi" w:hAnsiTheme="minorHAnsi" w:cstheme="minorHAnsi"/>
          <w:sz w:val="20"/>
          <w:szCs w:val="20"/>
        </w:rPr>
        <w:t>obowiązki współpracy z OSP w zakresie przekazywania danych pomiarowych</w:t>
      </w:r>
      <w:r w:rsidR="00946C68" w:rsidRPr="00EB2E7B">
        <w:rPr>
          <w:rFonts w:asciiTheme="minorHAnsi" w:hAnsiTheme="minorHAnsi" w:cstheme="minorHAnsi"/>
          <w:sz w:val="20"/>
          <w:szCs w:val="20"/>
        </w:rPr>
        <w:t>.</w:t>
      </w:r>
    </w:p>
    <w:p w14:paraId="15B42B7F" w14:textId="7CE7536E" w:rsidR="00F328F1" w:rsidRPr="00EB2E7B" w:rsidRDefault="00741C6C" w:rsidP="00BD4391">
      <w:pPr>
        <w:spacing w:before="120" w:after="120" w:line="264" w:lineRule="auto"/>
        <w:ind w:left="1134"/>
        <w:rPr>
          <w:rFonts w:asciiTheme="minorHAnsi" w:hAnsiTheme="minorHAnsi" w:cstheme="minorHAnsi"/>
          <w:sz w:val="20"/>
          <w:szCs w:val="20"/>
        </w:rPr>
      </w:pPr>
      <w:r w:rsidRPr="00EB2E7B">
        <w:rPr>
          <w:rFonts w:asciiTheme="minorHAnsi" w:hAnsiTheme="minorHAnsi" w:cstheme="minorHAnsi"/>
          <w:sz w:val="20"/>
          <w:szCs w:val="20"/>
        </w:rPr>
        <w:lastRenderedPageBreak/>
        <w:t>Jednocześnie w ramach ww. umowy,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prowadzi bilansowanie handlowe sprzedawców,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i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przyłączonych do sieci OSDn, dla których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świadczy usługi bilansowania handlowego z obszaru OSDn.</w:t>
      </w:r>
      <w:r w:rsidR="00F328F1" w:rsidRPr="00EB2E7B">
        <w:rPr>
          <w:rFonts w:asciiTheme="minorHAnsi" w:hAnsiTheme="minorHAnsi" w:cstheme="minorHAnsi"/>
          <w:sz w:val="20"/>
          <w:szCs w:val="20"/>
        </w:rPr>
        <w:t xml:space="preserve"> </w:t>
      </w:r>
    </w:p>
    <w:p w14:paraId="266ACEE6" w14:textId="599C29C9" w:rsidR="00955404" w:rsidRPr="00EB2E7B" w:rsidRDefault="007E1F85"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Podmiot zamierzający sprzedawać energię elektryczną URD na obszarze działania ACPRO, zawiera z ACPRO jedną Generalną Umowę Dystrybucji (GUD), na podstawie której może pełnić funkcję sprzedawcy. </w:t>
      </w:r>
      <w:r w:rsidR="00C22A5E" w:rsidRPr="00EB2E7B">
        <w:rPr>
          <w:rFonts w:asciiTheme="minorHAnsi" w:hAnsiTheme="minorHAnsi" w:cstheme="minorHAnsi"/>
          <w:sz w:val="20"/>
          <w:szCs w:val="20"/>
        </w:rPr>
        <w:t xml:space="preserve">Podmiot ten może pełnić również funkcję sprzedawcy rezerwowego po określeniu tego faktu w GUD i złożeniu przez tego sprzedawcę do </w:t>
      </w:r>
      <w:r w:rsidR="00A80C3F" w:rsidRPr="00EB2E7B">
        <w:rPr>
          <w:rFonts w:asciiTheme="minorHAnsi" w:hAnsiTheme="minorHAnsi" w:cstheme="minorHAnsi"/>
          <w:sz w:val="20"/>
          <w:szCs w:val="20"/>
        </w:rPr>
        <w:t>ACPRO</w:t>
      </w:r>
      <w:r w:rsidR="00C22A5E" w:rsidRPr="00EB2E7B">
        <w:rPr>
          <w:rFonts w:asciiTheme="minorHAnsi" w:hAnsiTheme="minorHAnsi" w:cstheme="minorHAnsi"/>
          <w:sz w:val="20"/>
          <w:szCs w:val="20"/>
        </w:rPr>
        <w:t xml:space="preserve"> oferty sprzedaży rezerwowej. Podmiot ten może wyrazić wole pełnienia funkcji sprzedawcy rezerwowego na warunkach określonych w GUD. </w:t>
      </w:r>
      <w:r w:rsidRPr="00EB2E7B">
        <w:rPr>
          <w:rFonts w:asciiTheme="minorHAnsi" w:hAnsiTheme="minorHAnsi" w:cstheme="minorHAnsi"/>
          <w:sz w:val="20"/>
          <w:szCs w:val="20"/>
        </w:rPr>
        <w:t>Generalna Umowa Dystrybucji (GUD) reguluje kompleksowo stosunki pomiędzy podmiotem jako Sprzedawcą a ACPRO oraz określa warunki realizacji umów sprzedaży energii elektrycznej dla wszystkich URD przyłączonych do sieci dystrybucyjnej</w:t>
      </w:r>
      <w:r w:rsidR="00314D64"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którym ten Sprzedawca będzie sprzedawać energię elektryczną. </w:t>
      </w:r>
    </w:p>
    <w:p w14:paraId="2E60A958"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podmiot zamierzający sprzedawać energię elektryczną URD na obszarze działania ACPRO zawiera z ACPRO jedną GUD, na podstawie której może pełnić funkcję sprzedawcy. GUD reguluje kompleksowo stosunki pomiędzy podmiotem jako sprzedawcą a ACPRO oraz określa warunki realizacji umów sprzedaży dla wszystkich URD przyłączonych do sieci dystrybucyjnej ACPRO, którym ten sprzedawca będzie sprzedawać energię elektryczną na podstawie umowy sprzedaży. GUD powinna spełniać wymagania określone w Ustawie oraz zawierać co najmniej następujące elementy:</w:t>
      </w:r>
    </w:p>
    <w:p w14:paraId="4D4D606C"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wskazanie wybranego przez sprzedawcę POBZ, który ma zawartą umowę dystrybucji z ACPRO, oraz zasady zmiany POBZ; przez wskazanie POBZ rozumie się przypisanie POBZ do sprzedawcy w CSIRE oraz przekazanie tej informacji przez OIRE do ACPRO,</w:t>
      </w:r>
    </w:p>
    <w:p w14:paraId="2C78E5B4"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kody EIC ACPRO oraz sprzedawcy,</w:t>
      </w:r>
    </w:p>
    <w:p w14:paraId="3510F56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zobowiązania stron,</w:t>
      </w:r>
    </w:p>
    <w:p w14:paraId="66A2F6B6"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4) osoby upoważnione do kontaktu z ACPRO oraz sprzedawcą, a także ich dane teleadresowe,</w:t>
      </w:r>
    </w:p>
    <w:p w14:paraId="14DF87DA"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5) zasady postępowania reklamacyjnego, rozstrzygania sporów i realizacji obowiązków informacyjnych,</w:t>
      </w:r>
    </w:p>
    <w:p w14:paraId="5E6B609A"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6) ograniczenia w wykonywaniu postanowień umowy,</w:t>
      </w:r>
    </w:p>
    <w:p w14:paraId="5865ECCE"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7) zasady zmiany i rozwiązywania umowy,</w:t>
      </w:r>
    </w:p>
    <w:p w14:paraId="593A7426"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8) zasady i warunki sprzedaży rezerwowej.</w:t>
      </w:r>
    </w:p>
    <w:p w14:paraId="3286C36D"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podmiot zamierzający sprzedawać energię elektryczną URD będących odbiorcami końcowymi, w tym Prosumentami, Prosumentami zbiorowymi, Prosumentami wirtualnymi lub członkami spółdzielni energetycznej, na podstawie umów kompleksowych, zawiera z ACPRO jedną GUD-K, na podstawie której może pełnić funkcję sprzedawcy usługi kompleksowej. GUD-K określa warunki realizacji umów kompleksowych dla ww. URD, którym ten sprzedawca będzie świadczyć usługę kompleksową. GUD-K powinna spełniać wymagania określone w Ustawie oraz zawierać co najmniej następujące elementy:</w:t>
      </w:r>
    </w:p>
    <w:p w14:paraId="7703FC78"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wskazanie wybranego przez sprzedawcę POBZ, który ma zawartą umowę dystrybucji z ACPRO, oraz zasady zmiany POBZ; przez wskazanie POBZ rozumie się przypisanie POBZ do sprzedawcy w CSIRE oraz przekazanie tej informacji przez OIRE do ACPRO,</w:t>
      </w:r>
    </w:p>
    <w:p w14:paraId="6EF9798F"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kody EIC ACPRO oraz sprzedawcy,</w:t>
      </w:r>
    </w:p>
    <w:p w14:paraId="73B9476D"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lastRenderedPageBreak/>
        <w:t>3) zobowiązania stron,</w:t>
      </w:r>
    </w:p>
    <w:p w14:paraId="25F610C4"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4) zasady ograniczania świadczenia usług dystrybucji przez ACPRO,</w:t>
      </w:r>
    </w:p>
    <w:p w14:paraId="6BEE05E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5) warunki świadczenia przez ACPRO usług dystrybucji URD posiadającym zawarte umowy kompleksowe ze sprzedawcą,</w:t>
      </w:r>
    </w:p>
    <w:p w14:paraId="2565021A"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6) warunki i zasady prowadzenia rozliczeń pomiędzy ACPRO a sprzedawcą,</w:t>
      </w:r>
    </w:p>
    <w:p w14:paraId="2F0E661B"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7) zasady zabezpieczeń należytego wykonania umowy,</w:t>
      </w:r>
    </w:p>
    <w:p w14:paraId="566FD84C"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8) osoby upoważnione do kontaktu z ACPRO oraz sprzedawcą, a także ich dane teleadresowe,</w:t>
      </w:r>
    </w:p>
    <w:p w14:paraId="1BC9C82F"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9) ograniczenia w wykonywaniu postanowień umowy,</w:t>
      </w:r>
    </w:p>
    <w:p w14:paraId="27116E1F"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10) zasady postępowania reklamacyjnego, rozstrzygania sporów i realizacji obowiązków informacyjnych,</w:t>
      </w:r>
    </w:p>
    <w:p w14:paraId="62BA53D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11) zasady zmiany i rozwiązywania umowy,</w:t>
      </w:r>
    </w:p>
    <w:p w14:paraId="212EF18A"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12) zasady i warunki sprzedaży rezerwowej.</w:t>
      </w:r>
    </w:p>
    <w:p w14:paraId="2984C68A" w14:textId="675DC161" w:rsidR="00044C53" w:rsidRPr="00EB2E7B" w:rsidRDefault="003C20AE" w:rsidP="00D52D3F">
      <w:pPr>
        <w:spacing w:after="120" w:line="264" w:lineRule="auto"/>
        <w:ind w:left="1134" w:firstLine="0"/>
        <w:rPr>
          <w:rFonts w:asciiTheme="minorHAnsi" w:hAnsiTheme="minorHAnsi" w:cstheme="minorHAnsi"/>
          <w:sz w:val="20"/>
          <w:szCs w:val="20"/>
        </w:rPr>
      </w:pPr>
      <w:r w:rsidRPr="00EB2E7B">
        <w:rPr>
          <w:rFonts w:asciiTheme="minorHAnsi" w:hAnsiTheme="minorHAnsi" w:cstheme="minorHAnsi"/>
          <w:sz w:val="20"/>
          <w:szCs w:val="20"/>
        </w:rPr>
        <w:t>GUD powinna spełniać wymagania określone w ustawie Prawo energetyczne oraz zawierać co najmniej następujące elementy:</w:t>
      </w:r>
    </w:p>
    <w:p w14:paraId="7601203F" w14:textId="26AD7B23" w:rsidR="00955404" w:rsidRPr="00EB2E7B" w:rsidRDefault="00147BF1" w:rsidP="00D52D3F">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wskazanie wybranego przez sprzedawcę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który ma zawartą umowę dystrybucji z </w:t>
      </w:r>
      <w:r w:rsidR="00376A79" w:rsidRPr="00EB2E7B">
        <w:rPr>
          <w:rFonts w:asciiTheme="minorHAnsi" w:hAnsiTheme="minorHAnsi" w:cstheme="minorHAnsi"/>
          <w:sz w:val="20"/>
          <w:szCs w:val="20"/>
        </w:rPr>
        <w:t>ACPRO</w:t>
      </w:r>
      <w:r w:rsidRPr="00EB2E7B">
        <w:rPr>
          <w:rFonts w:asciiTheme="minorHAnsi" w:hAnsiTheme="minorHAnsi" w:cstheme="minorHAnsi"/>
          <w:sz w:val="20"/>
          <w:szCs w:val="20"/>
        </w:rPr>
        <w:t>,</w:t>
      </w:r>
    </w:p>
    <w:p w14:paraId="2EE28210" w14:textId="10D677FA" w:rsidR="000F599D" w:rsidRPr="00EB2E7B" w:rsidRDefault="00147BF1" w:rsidP="00D52D3F">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zasady zaprzestania lub ograniczenia świadczenia usług dystrybucji przez </w:t>
      </w:r>
      <w:r w:rsidR="00376A7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 tym URD,</w:t>
      </w:r>
    </w:p>
    <w:p w14:paraId="7708DA24" w14:textId="7B8287D8" w:rsidR="000F599D" w:rsidRPr="00EB2E7B" w:rsidRDefault="002D64F9" w:rsidP="00D52D3F">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osoby upoważnione do kontaktu z </w:t>
      </w:r>
      <w:r w:rsidR="00376A7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oraz sprzedawcą, a także ich dane teleadresowe</w:t>
      </w:r>
      <w:r w:rsidR="000C16A2" w:rsidRPr="00EB2E7B">
        <w:rPr>
          <w:rFonts w:asciiTheme="minorHAnsi" w:hAnsiTheme="minorHAnsi" w:cstheme="minorHAnsi"/>
          <w:sz w:val="20"/>
          <w:szCs w:val="20"/>
        </w:rPr>
        <w:t>,</w:t>
      </w:r>
    </w:p>
    <w:p w14:paraId="516368D3" w14:textId="1028FF9C" w:rsidR="000F599D" w:rsidRPr="00EB2E7B" w:rsidRDefault="002D64F9" w:rsidP="00D52D3F">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ogólne zasady wymiany danych i informacji pomiędzy </w:t>
      </w:r>
      <w:r w:rsidR="00376A7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a Sprzedawcą,</w:t>
      </w:r>
    </w:p>
    <w:p w14:paraId="7C367113" w14:textId="5FB71F2B" w:rsidR="000F599D" w:rsidRPr="00EB2E7B" w:rsidRDefault="002D64F9" w:rsidP="00D52D3F">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zobowiązanie sprzedawcy do niezwłocznego informowania</w:t>
      </w:r>
      <w:r w:rsidR="00376A79"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o utracie wskazanego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w tym w wyniku zaprzestania lub zawieszenia jego działalności na RB, w rozumieniu WDB</w:t>
      </w:r>
      <w:r w:rsidR="000C16A2" w:rsidRPr="00EB2E7B">
        <w:rPr>
          <w:rFonts w:asciiTheme="minorHAnsi" w:hAnsiTheme="minorHAnsi" w:cstheme="minorHAnsi"/>
          <w:sz w:val="20"/>
          <w:szCs w:val="20"/>
        </w:rPr>
        <w:t>,</w:t>
      </w:r>
    </w:p>
    <w:p w14:paraId="6385870A" w14:textId="6DF6C57F" w:rsidR="000F599D" w:rsidRPr="00EB2E7B" w:rsidRDefault="009E7FF8" w:rsidP="00D52D3F">
      <w:pPr>
        <w:pStyle w:val="NormalnyIRiESD"/>
        <w:numPr>
          <w:ilvl w:val="7"/>
          <w:numId w:val="85"/>
        </w:numPr>
        <w:spacing w:line="264" w:lineRule="auto"/>
        <w:ind w:left="1701" w:hanging="567"/>
        <w:rPr>
          <w:rFonts w:asciiTheme="minorHAnsi" w:hAnsiTheme="minorHAnsi" w:cstheme="minorHAnsi"/>
          <w:sz w:val="20"/>
          <w:szCs w:val="20"/>
        </w:rPr>
      </w:pPr>
      <w:r w:rsidRPr="00EB2E7B">
        <w:rPr>
          <w:rFonts w:asciiTheme="minorHAnsi" w:hAnsiTheme="minorHAnsi" w:cstheme="minorHAnsi"/>
          <w:sz w:val="20"/>
          <w:szCs w:val="20"/>
        </w:rPr>
        <w:t>zasady rozwiązania i ograniczania realizacji umowy, w tym, w przypadku zaprzestania działalności przez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tego Sprzedawcy.</w:t>
      </w:r>
    </w:p>
    <w:p w14:paraId="53498526" w14:textId="07CFF33C" w:rsidR="00F328A3" w:rsidRPr="00EB2E7B" w:rsidRDefault="00FD4335" w:rsidP="009A432E">
      <w:pPr>
        <w:pStyle w:val="ANagwek4"/>
        <w:rPr>
          <w:rFonts w:asciiTheme="minorHAnsi" w:hAnsiTheme="minorHAnsi" w:cstheme="minorHAnsi"/>
          <w:sz w:val="20"/>
          <w:szCs w:val="20"/>
        </w:rPr>
      </w:pPr>
      <w:bookmarkStart w:id="453" w:name="_Ref184493574"/>
      <w:r w:rsidRPr="00EB2E7B">
        <w:rPr>
          <w:rFonts w:asciiTheme="minorHAnsi" w:hAnsiTheme="minorHAnsi" w:cstheme="minorHAnsi"/>
          <w:sz w:val="20"/>
          <w:szCs w:val="20"/>
        </w:rPr>
        <w:t>W celu realizacji obowiązków w zakresie współpracy z OSP, o których mowa w</w:t>
      </w:r>
      <w:r w:rsidR="009E5388" w:rsidRPr="00EB2E7B">
        <w:rPr>
          <w:rFonts w:asciiTheme="minorHAnsi" w:hAnsiTheme="minorHAnsi" w:cstheme="minorHAnsi"/>
          <w:sz w:val="20"/>
          <w:szCs w:val="20"/>
        </w:rPr>
        <w:t> </w:t>
      </w:r>
      <w:r w:rsidRPr="00EB2E7B">
        <w:rPr>
          <w:rFonts w:asciiTheme="minorHAnsi" w:hAnsiTheme="minorHAnsi" w:cstheme="minorHAnsi"/>
          <w:sz w:val="20"/>
          <w:szCs w:val="20"/>
        </w:rPr>
        <w:t xml:space="preserve">pkt. </w:t>
      </w:r>
      <w:r w:rsidR="00053F86" w:rsidRPr="00EB2E7B">
        <w:rPr>
          <w:rFonts w:asciiTheme="minorHAnsi" w:hAnsiTheme="minorHAnsi" w:cstheme="minorHAnsi"/>
          <w:sz w:val="20"/>
          <w:szCs w:val="20"/>
        </w:rPr>
        <w:fldChar w:fldCharType="begin"/>
      </w:r>
      <w:r w:rsidR="00053F86" w:rsidRPr="00EB2E7B">
        <w:rPr>
          <w:rFonts w:asciiTheme="minorHAnsi" w:hAnsiTheme="minorHAnsi" w:cstheme="minorHAnsi"/>
          <w:sz w:val="20"/>
          <w:szCs w:val="20"/>
        </w:rPr>
        <w:instrText xml:space="preserve"> REF _Ref174345536 \w \h  \* MERGEFORMAT </w:instrText>
      </w:r>
      <w:r w:rsidR="00053F86" w:rsidRPr="00EB2E7B">
        <w:rPr>
          <w:rFonts w:asciiTheme="minorHAnsi" w:hAnsiTheme="minorHAnsi" w:cstheme="minorHAnsi"/>
          <w:sz w:val="20"/>
          <w:szCs w:val="20"/>
        </w:rPr>
      </w:r>
      <w:r w:rsidR="00053F8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A.1.4</w:t>
      </w:r>
      <w:r w:rsidR="00053F8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9E5388" w:rsidRPr="00EB2E7B">
        <w:rPr>
          <w:rFonts w:asciiTheme="minorHAnsi" w:hAnsiTheme="minorHAnsi" w:cstheme="minorHAnsi"/>
          <w:sz w:val="20"/>
          <w:szCs w:val="20"/>
        </w:rPr>
        <w:t>OSD</w:t>
      </w:r>
      <w:r w:rsidR="00D00B7F" w:rsidRPr="00EB2E7B">
        <w:rPr>
          <w:rFonts w:asciiTheme="minorHAnsi" w:hAnsiTheme="minorHAnsi" w:cstheme="minorHAnsi"/>
          <w:sz w:val="20"/>
          <w:szCs w:val="20"/>
        </w:rPr>
        <w:t>n</w:t>
      </w:r>
      <w:r w:rsidR="00666FFC"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dla obszaru swojej sieci dystrybucyjnej zawiera z </w:t>
      </w:r>
      <w:proofErr w:type="spellStart"/>
      <w:r w:rsidR="00E85F3B" w:rsidRPr="00EB2E7B">
        <w:rPr>
          <w:rFonts w:asciiTheme="minorHAnsi" w:hAnsiTheme="minorHAnsi" w:cstheme="minorHAnsi"/>
          <w:sz w:val="20"/>
          <w:szCs w:val="20"/>
        </w:rPr>
        <w:t>OSDp</w:t>
      </w:r>
      <w:proofErr w:type="spellEnd"/>
      <w:r w:rsidR="00E85F3B" w:rsidRPr="00EB2E7B">
        <w:rPr>
          <w:rFonts w:asciiTheme="minorHAnsi" w:hAnsiTheme="minorHAnsi" w:cstheme="minorHAnsi"/>
          <w:sz w:val="20"/>
          <w:szCs w:val="20"/>
        </w:rPr>
        <w:t xml:space="preserve"> </w:t>
      </w:r>
      <w:r w:rsidRPr="00EB2E7B">
        <w:rPr>
          <w:rFonts w:asciiTheme="minorHAnsi" w:hAnsiTheme="minorHAnsi" w:cstheme="minorHAnsi"/>
          <w:sz w:val="20"/>
          <w:szCs w:val="20"/>
        </w:rPr>
        <w:t>umowę o</w:t>
      </w:r>
      <w:r w:rsidR="00E85F3B" w:rsidRPr="00EB2E7B">
        <w:rPr>
          <w:rFonts w:asciiTheme="minorHAnsi" w:hAnsiTheme="minorHAnsi" w:cstheme="minorHAnsi"/>
          <w:sz w:val="20"/>
          <w:szCs w:val="20"/>
        </w:rPr>
        <w:t> </w:t>
      </w:r>
      <w:r w:rsidRPr="00EB2E7B">
        <w:rPr>
          <w:rFonts w:asciiTheme="minorHAnsi" w:hAnsiTheme="minorHAnsi" w:cstheme="minorHAnsi"/>
          <w:sz w:val="20"/>
          <w:szCs w:val="20"/>
        </w:rPr>
        <w:t>współpracy międzyoperatorskiej. Umowa ta powinna zawierać co najmniej następujące elementy</w:t>
      </w:r>
      <w:r w:rsidR="00F328A3" w:rsidRPr="00EB2E7B">
        <w:rPr>
          <w:rFonts w:asciiTheme="minorHAnsi" w:hAnsiTheme="minorHAnsi" w:cstheme="minorHAnsi"/>
          <w:sz w:val="20"/>
          <w:szCs w:val="20"/>
        </w:rPr>
        <w:t>:</w:t>
      </w:r>
      <w:bookmarkEnd w:id="453"/>
    </w:p>
    <w:p w14:paraId="33B27D24" w14:textId="07D817D5" w:rsidR="00E877EF" w:rsidRPr="00EB2E7B" w:rsidRDefault="00311F4F"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zakres obowiązków realizowanych przez OSD</w:t>
      </w:r>
      <w:r w:rsidR="00FE77BB" w:rsidRPr="00EB2E7B">
        <w:rPr>
          <w:rFonts w:asciiTheme="minorHAnsi" w:hAnsiTheme="minorHAnsi" w:cstheme="minorHAnsi"/>
          <w:sz w:val="20"/>
          <w:szCs w:val="20"/>
        </w:rPr>
        <w:t>n</w:t>
      </w:r>
      <w:r w:rsidRPr="00EB2E7B">
        <w:rPr>
          <w:rFonts w:asciiTheme="minorHAnsi" w:hAnsiTheme="minorHAnsi" w:cstheme="minorHAnsi"/>
          <w:sz w:val="20"/>
          <w:szCs w:val="20"/>
        </w:rPr>
        <w:t xml:space="preserve"> oraz </w:t>
      </w:r>
      <w:proofErr w:type="spellStart"/>
      <w:r w:rsidR="003E6B7D" w:rsidRPr="00EB2E7B">
        <w:rPr>
          <w:rFonts w:asciiTheme="minorHAnsi" w:hAnsiTheme="minorHAnsi" w:cstheme="minorHAnsi"/>
          <w:sz w:val="20"/>
          <w:szCs w:val="20"/>
        </w:rPr>
        <w:t>OSDp</w:t>
      </w:r>
      <w:proofErr w:type="spellEnd"/>
      <w:r w:rsidR="003E6B7D" w:rsidRPr="00EB2E7B">
        <w:rPr>
          <w:rFonts w:asciiTheme="minorHAnsi" w:hAnsiTheme="minorHAnsi" w:cstheme="minorHAnsi"/>
          <w:sz w:val="20"/>
          <w:szCs w:val="20"/>
        </w:rPr>
        <w:t>,</w:t>
      </w:r>
    </w:p>
    <w:p w14:paraId="65921611" w14:textId="786C4998"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zgodę OSD</w:t>
      </w:r>
      <w:r w:rsidR="00BF52D8" w:rsidRPr="00EB2E7B">
        <w:rPr>
          <w:rFonts w:asciiTheme="minorHAnsi" w:hAnsiTheme="minorHAnsi" w:cstheme="minorHAnsi"/>
          <w:sz w:val="20"/>
          <w:szCs w:val="20"/>
        </w:rPr>
        <w:t>n</w:t>
      </w:r>
      <w:r w:rsidRPr="00EB2E7B">
        <w:rPr>
          <w:rFonts w:asciiTheme="minorHAnsi" w:hAnsiTheme="minorHAnsi" w:cstheme="minorHAnsi"/>
          <w:sz w:val="20"/>
          <w:szCs w:val="20"/>
        </w:rPr>
        <w:t xml:space="preserve"> na realizację jego obowiązków w zakresie współpracy z OSP przez </w:t>
      </w:r>
      <w:proofErr w:type="spellStart"/>
      <w:r w:rsidR="00CF1893"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t>
      </w:r>
    </w:p>
    <w:p w14:paraId="09510456" w14:textId="1F56672E"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oświadczenie OSD</w:t>
      </w:r>
      <w:r w:rsidR="00BF52D8" w:rsidRPr="00EB2E7B">
        <w:rPr>
          <w:rFonts w:asciiTheme="minorHAnsi" w:hAnsiTheme="minorHAnsi" w:cstheme="minorHAnsi"/>
          <w:sz w:val="20"/>
          <w:szCs w:val="20"/>
        </w:rPr>
        <w:t>n</w:t>
      </w:r>
      <w:r w:rsidRPr="00EB2E7B">
        <w:rPr>
          <w:rFonts w:asciiTheme="minorHAnsi" w:hAnsiTheme="minorHAnsi" w:cstheme="minorHAnsi"/>
          <w:sz w:val="20"/>
          <w:szCs w:val="20"/>
        </w:rPr>
        <w:t xml:space="preserve"> o zawarciu umowy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który poprzez swoje MB będzie bilansował URD z obszaru działania OSD</w:t>
      </w:r>
      <w:r w:rsidR="00BF52D8" w:rsidRPr="00EB2E7B">
        <w:rPr>
          <w:rFonts w:asciiTheme="minorHAnsi" w:hAnsiTheme="minorHAnsi" w:cstheme="minorHAnsi"/>
          <w:sz w:val="20"/>
          <w:szCs w:val="20"/>
        </w:rPr>
        <w:t>n</w:t>
      </w:r>
      <w:r w:rsidRPr="00EB2E7B">
        <w:rPr>
          <w:rFonts w:asciiTheme="minorHAnsi" w:hAnsiTheme="minorHAnsi" w:cstheme="minorHAnsi"/>
          <w:sz w:val="20"/>
          <w:szCs w:val="20"/>
        </w:rPr>
        <w:t xml:space="preserve"> - w przypadku gdy do realizacji umów sprzedaży zawartych przez URD z obszaru OSD</w:t>
      </w:r>
      <w:r w:rsidR="007D5DBE" w:rsidRPr="00EB2E7B">
        <w:rPr>
          <w:rFonts w:asciiTheme="minorHAnsi" w:hAnsiTheme="minorHAnsi" w:cstheme="minorHAnsi"/>
          <w:sz w:val="20"/>
          <w:szCs w:val="20"/>
        </w:rPr>
        <w:t>n</w:t>
      </w:r>
      <w:r w:rsidRPr="00EB2E7B">
        <w:rPr>
          <w:rFonts w:asciiTheme="minorHAnsi" w:hAnsiTheme="minorHAnsi" w:cstheme="minorHAnsi"/>
          <w:sz w:val="20"/>
          <w:szCs w:val="20"/>
        </w:rPr>
        <w:t xml:space="preserve"> niezbędne jest uczestnictwo w centralnym mechanizmie bilansowania, </w:t>
      </w:r>
    </w:p>
    <w:p w14:paraId="59F74BF5" w14:textId="220D8E88" w:rsidR="00E55CDF" w:rsidRPr="00EB2E7B" w:rsidRDefault="003E75CF"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zobowiązanie OSDn do zawierania ze sprzedawcami umów dystrybucji (GUD) w których będzie wskazany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posiadający umowę o której mowa w pkt </w:t>
      </w:r>
      <w:r w:rsidR="00032B40" w:rsidRPr="00EB2E7B">
        <w:rPr>
          <w:rFonts w:asciiTheme="minorHAnsi" w:hAnsiTheme="minorHAnsi" w:cstheme="minorHAnsi"/>
          <w:sz w:val="20"/>
          <w:szCs w:val="20"/>
        </w:rPr>
        <w:fldChar w:fldCharType="begin"/>
      </w:r>
      <w:r w:rsidR="00032B40" w:rsidRPr="00EB2E7B">
        <w:rPr>
          <w:rFonts w:asciiTheme="minorHAnsi" w:hAnsiTheme="minorHAnsi" w:cstheme="minorHAnsi"/>
          <w:sz w:val="20"/>
          <w:szCs w:val="20"/>
        </w:rPr>
        <w:instrText xml:space="preserve"> REF _Ref189420169 \w \h  \* MERGEFORMAT </w:instrText>
      </w:r>
      <w:r w:rsidR="00032B40" w:rsidRPr="00EB2E7B">
        <w:rPr>
          <w:rFonts w:asciiTheme="minorHAnsi" w:hAnsiTheme="minorHAnsi" w:cstheme="minorHAnsi"/>
          <w:sz w:val="20"/>
          <w:szCs w:val="20"/>
        </w:rPr>
      </w:r>
      <w:r w:rsidR="00032B4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A.4.3.5</w:t>
      </w:r>
      <w:r w:rsidR="00032B4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zawartą z ACPRO,</w:t>
      </w:r>
    </w:p>
    <w:p w14:paraId="64F32F57" w14:textId="1D0167C9"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dane o posiadanych przez OSD</w:t>
      </w:r>
      <w:r w:rsidR="007D5DBE" w:rsidRPr="00EB2E7B">
        <w:rPr>
          <w:rFonts w:asciiTheme="minorHAnsi" w:hAnsiTheme="minorHAnsi" w:cstheme="minorHAnsi"/>
          <w:sz w:val="20"/>
          <w:szCs w:val="20"/>
        </w:rPr>
        <w:t>n</w:t>
      </w:r>
      <w:r w:rsidRPr="00EB2E7B">
        <w:rPr>
          <w:rFonts w:asciiTheme="minorHAnsi" w:hAnsiTheme="minorHAnsi" w:cstheme="minorHAnsi"/>
          <w:sz w:val="20"/>
          <w:szCs w:val="20"/>
        </w:rPr>
        <w:t xml:space="preserve"> koncesjach i decyzjach dotyczących sprzedaży energii elektrycznej lub świadczenia usług dystrybucji energii elektrycznej, </w:t>
      </w:r>
    </w:p>
    <w:p w14:paraId="21882642" w14:textId="313C80A7"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osoby upoważnione do kontaktu z </w:t>
      </w:r>
      <w:proofErr w:type="spellStart"/>
      <w:r w:rsidR="00FB5239" w:rsidRPr="00EB2E7B">
        <w:rPr>
          <w:rFonts w:asciiTheme="minorHAnsi" w:hAnsiTheme="minorHAnsi" w:cstheme="minorHAnsi"/>
          <w:sz w:val="20"/>
          <w:szCs w:val="20"/>
        </w:rPr>
        <w:t>OSD</w:t>
      </w:r>
      <w:r w:rsidR="00B158C3"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oraz OSD</w:t>
      </w:r>
      <w:r w:rsidR="00B158C3" w:rsidRPr="00EB2E7B">
        <w:rPr>
          <w:rFonts w:asciiTheme="minorHAnsi" w:hAnsiTheme="minorHAnsi" w:cstheme="minorHAnsi"/>
          <w:sz w:val="20"/>
          <w:szCs w:val="20"/>
        </w:rPr>
        <w:t>n</w:t>
      </w:r>
      <w:r w:rsidRPr="00EB2E7B">
        <w:rPr>
          <w:rFonts w:asciiTheme="minorHAnsi" w:hAnsiTheme="minorHAnsi" w:cstheme="minorHAnsi"/>
          <w:sz w:val="20"/>
          <w:szCs w:val="20"/>
        </w:rPr>
        <w:t xml:space="preserve">, a także ich dane teleadresowe, </w:t>
      </w:r>
    </w:p>
    <w:p w14:paraId="29F8E1B2" w14:textId="77777777"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lastRenderedPageBreak/>
        <w:t xml:space="preserve">zobowiązania stron do stosowania w pełnym zakresie postanowień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202D87D6" w14:textId="77777777"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zasady rozwiązywania umowy lub wprowadzania ograniczeń w jej wykonaniu, </w:t>
      </w:r>
    </w:p>
    <w:p w14:paraId="1C5F138F" w14:textId="596BD961"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zasady obejmowania umową kolejnych URD z obszaru OSD</w:t>
      </w:r>
      <w:r w:rsidR="00B158C3" w:rsidRPr="00EB2E7B">
        <w:rPr>
          <w:rFonts w:asciiTheme="minorHAnsi" w:hAnsiTheme="minorHAnsi" w:cstheme="minorHAnsi"/>
          <w:sz w:val="20"/>
          <w:szCs w:val="20"/>
        </w:rPr>
        <w:t>n</w:t>
      </w:r>
      <w:r w:rsidRPr="00EB2E7B">
        <w:rPr>
          <w:rFonts w:asciiTheme="minorHAnsi" w:hAnsiTheme="minorHAnsi" w:cstheme="minorHAnsi"/>
          <w:sz w:val="20"/>
          <w:szCs w:val="20"/>
        </w:rPr>
        <w:t xml:space="preserve">, </w:t>
      </w:r>
    </w:p>
    <w:p w14:paraId="75DD61C5" w14:textId="77777777"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zasady wyznaczania i przekazywania danych pomiarowych, </w:t>
      </w:r>
    </w:p>
    <w:p w14:paraId="7E2E0CAC" w14:textId="77777777"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bookmarkStart w:id="454" w:name="_Ref190168261"/>
      <w:r w:rsidRPr="00EB2E7B">
        <w:rPr>
          <w:rFonts w:asciiTheme="minorHAnsi" w:hAnsiTheme="minorHAnsi" w:cstheme="minorHAnsi"/>
          <w:sz w:val="20"/>
          <w:szCs w:val="20"/>
        </w:rPr>
        <w:t>zasady przekazywania danych pomiarowych dla potrzeb realizacji usługi IRP i usługi IZP,</w:t>
      </w:r>
      <w:bookmarkEnd w:id="454"/>
      <w:r w:rsidRPr="00EB2E7B">
        <w:rPr>
          <w:rFonts w:asciiTheme="minorHAnsi" w:hAnsiTheme="minorHAnsi" w:cstheme="minorHAnsi"/>
          <w:sz w:val="20"/>
          <w:szCs w:val="20"/>
        </w:rPr>
        <w:t xml:space="preserve"> </w:t>
      </w:r>
    </w:p>
    <w:p w14:paraId="23F3E42D" w14:textId="310DEC46" w:rsidR="003E6B7D" w:rsidRPr="00EB2E7B" w:rsidRDefault="003E6B7D" w:rsidP="00620ED0">
      <w:pPr>
        <w:pStyle w:val="Akapitzlist"/>
        <w:numPr>
          <w:ilvl w:val="7"/>
          <w:numId w:val="85"/>
        </w:numPr>
        <w:snapToGrid w:val="0"/>
        <w:spacing w:before="120" w:after="120" w:line="266" w:lineRule="auto"/>
        <w:ind w:left="1701" w:hanging="567"/>
        <w:contextualSpacing w:val="0"/>
        <w:rPr>
          <w:rFonts w:asciiTheme="minorHAnsi" w:hAnsiTheme="minorHAnsi" w:cstheme="minorHAnsi"/>
          <w:sz w:val="20"/>
          <w:szCs w:val="20"/>
        </w:rPr>
      </w:pPr>
      <w:bookmarkStart w:id="455" w:name="_Ref190168263"/>
      <w:r w:rsidRPr="00EB2E7B">
        <w:rPr>
          <w:rFonts w:asciiTheme="minorHAnsi" w:hAnsiTheme="minorHAnsi" w:cstheme="minorHAnsi"/>
          <w:sz w:val="20"/>
          <w:szCs w:val="20"/>
        </w:rPr>
        <w:t>zasady współpracy w zakresie przekazywania informacji, a w szczególności przekazywania danych pomiarowych na potrzeby rynku mocy oraz świadczeniu usług bilansujących.</w:t>
      </w:r>
      <w:bookmarkEnd w:id="455"/>
    </w:p>
    <w:p w14:paraId="05D3C2EA" w14:textId="55DE9DC6" w:rsidR="00CC6CFA" w:rsidRPr="00EB2E7B" w:rsidRDefault="00A1241C" w:rsidP="00620ED0">
      <w:pPr>
        <w:spacing w:before="120" w:after="120" w:line="266" w:lineRule="auto"/>
        <w:ind w:left="1134"/>
        <w:rPr>
          <w:rFonts w:asciiTheme="minorHAnsi" w:hAnsiTheme="minorHAnsi" w:cstheme="minorHAnsi"/>
          <w:sz w:val="20"/>
          <w:szCs w:val="20"/>
        </w:rPr>
      </w:pPr>
      <w:r w:rsidRPr="00EB2E7B">
        <w:rPr>
          <w:rFonts w:asciiTheme="minorHAnsi" w:hAnsiTheme="minorHAnsi" w:cstheme="minorHAnsi"/>
          <w:sz w:val="20"/>
          <w:szCs w:val="20"/>
        </w:rPr>
        <w:t xml:space="preserve">Zasady, o których mowa w lit. </w:t>
      </w:r>
      <w:r w:rsidR="00196B7E" w:rsidRPr="00EB2E7B">
        <w:rPr>
          <w:rFonts w:asciiTheme="minorHAnsi" w:hAnsiTheme="minorHAnsi" w:cstheme="minorHAnsi"/>
          <w:sz w:val="20"/>
          <w:szCs w:val="20"/>
        </w:rPr>
        <w:fldChar w:fldCharType="begin"/>
      </w:r>
      <w:r w:rsidR="00196B7E" w:rsidRPr="00EB2E7B">
        <w:rPr>
          <w:rFonts w:asciiTheme="minorHAnsi" w:hAnsiTheme="minorHAnsi" w:cstheme="minorHAnsi"/>
          <w:sz w:val="20"/>
          <w:szCs w:val="20"/>
        </w:rPr>
        <w:instrText xml:space="preserve"> REF _Ref190168261 \w \h </w:instrText>
      </w:r>
      <w:r w:rsidR="00BE289B" w:rsidRPr="00EB2E7B">
        <w:rPr>
          <w:rFonts w:asciiTheme="minorHAnsi" w:hAnsiTheme="minorHAnsi" w:cstheme="minorHAnsi"/>
          <w:sz w:val="20"/>
          <w:szCs w:val="20"/>
        </w:rPr>
        <w:instrText xml:space="preserve"> \* MERGEFORMAT </w:instrText>
      </w:r>
      <w:r w:rsidR="00196B7E" w:rsidRPr="00EB2E7B">
        <w:rPr>
          <w:rFonts w:asciiTheme="minorHAnsi" w:hAnsiTheme="minorHAnsi" w:cstheme="minorHAnsi"/>
          <w:sz w:val="20"/>
          <w:szCs w:val="20"/>
        </w:rPr>
      </w:r>
      <w:r w:rsidR="00196B7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A.4.3.7.k)</w:t>
      </w:r>
      <w:r w:rsidR="00196B7E" w:rsidRPr="00EB2E7B">
        <w:rPr>
          <w:rFonts w:asciiTheme="minorHAnsi" w:hAnsiTheme="minorHAnsi" w:cstheme="minorHAnsi"/>
          <w:sz w:val="20"/>
          <w:szCs w:val="20"/>
        </w:rPr>
        <w:fldChar w:fldCharType="end"/>
      </w:r>
      <w:r w:rsidR="00BE289B" w:rsidRPr="00EB2E7B">
        <w:rPr>
          <w:rFonts w:asciiTheme="minorHAnsi" w:hAnsiTheme="minorHAnsi" w:cstheme="minorHAnsi"/>
          <w:sz w:val="20"/>
          <w:szCs w:val="20"/>
        </w:rPr>
        <w:t xml:space="preserve"> lub</w:t>
      </w:r>
      <w:r w:rsidR="00196B7E" w:rsidRPr="00EB2E7B">
        <w:rPr>
          <w:rFonts w:asciiTheme="minorHAnsi" w:hAnsiTheme="minorHAnsi" w:cstheme="minorHAnsi"/>
          <w:sz w:val="20"/>
          <w:szCs w:val="20"/>
        </w:rPr>
        <w:fldChar w:fldCharType="begin"/>
      </w:r>
      <w:r w:rsidR="00196B7E" w:rsidRPr="00EB2E7B">
        <w:rPr>
          <w:rFonts w:asciiTheme="minorHAnsi" w:hAnsiTheme="minorHAnsi" w:cstheme="minorHAnsi"/>
          <w:sz w:val="20"/>
          <w:szCs w:val="20"/>
        </w:rPr>
        <w:instrText xml:space="preserve"> REF _Ref190168263 \w \h </w:instrText>
      </w:r>
      <w:r w:rsidR="00BE289B" w:rsidRPr="00EB2E7B">
        <w:rPr>
          <w:rFonts w:asciiTheme="minorHAnsi" w:hAnsiTheme="minorHAnsi" w:cstheme="minorHAnsi"/>
          <w:sz w:val="20"/>
          <w:szCs w:val="20"/>
        </w:rPr>
        <w:instrText xml:space="preserve"> \* MERGEFORMAT </w:instrText>
      </w:r>
      <w:r w:rsidR="00196B7E" w:rsidRPr="00EB2E7B">
        <w:rPr>
          <w:rFonts w:asciiTheme="minorHAnsi" w:hAnsiTheme="minorHAnsi" w:cstheme="minorHAnsi"/>
          <w:sz w:val="20"/>
          <w:szCs w:val="20"/>
        </w:rPr>
      </w:r>
      <w:r w:rsidR="00196B7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A.4.3.7.l)</w:t>
      </w:r>
      <w:r w:rsidR="00196B7E" w:rsidRPr="00EB2E7B">
        <w:rPr>
          <w:rFonts w:asciiTheme="minorHAnsi" w:hAnsiTheme="minorHAnsi" w:cstheme="minorHAnsi"/>
          <w:sz w:val="20"/>
          <w:szCs w:val="20"/>
        </w:rPr>
        <w:fldChar w:fldCharType="end"/>
      </w:r>
      <w:r w:rsidR="00BE289B"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mogą zostać uregulowane w odrębnych umowach zawartych pomiędzy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 OSD</w:t>
      </w:r>
      <w:r w:rsidR="00D167E6" w:rsidRPr="00EB2E7B">
        <w:rPr>
          <w:rFonts w:asciiTheme="minorHAnsi" w:hAnsiTheme="minorHAnsi" w:cstheme="minorHAnsi"/>
          <w:sz w:val="20"/>
          <w:szCs w:val="20"/>
        </w:rPr>
        <w:t>n</w:t>
      </w:r>
      <w:r w:rsidRPr="00EB2E7B">
        <w:rPr>
          <w:rFonts w:asciiTheme="minorHAnsi" w:hAnsiTheme="minorHAnsi" w:cstheme="minorHAnsi"/>
          <w:sz w:val="20"/>
          <w:szCs w:val="20"/>
        </w:rPr>
        <w:t>.</w:t>
      </w:r>
    </w:p>
    <w:p w14:paraId="48A085F0" w14:textId="24262B6A" w:rsidR="00CC6CFA" w:rsidRPr="00EB2E7B" w:rsidRDefault="009A5E8E"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Istotne postanowienia GUD zawarte są w Załączniku nr </w:t>
      </w:r>
      <w:r w:rsidR="00B9675B" w:rsidRPr="00EB2E7B">
        <w:rPr>
          <w:rFonts w:asciiTheme="minorHAnsi" w:hAnsiTheme="minorHAnsi" w:cstheme="minorHAnsi"/>
          <w:sz w:val="20"/>
          <w:szCs w:val="20"/>
        </w:rPr>
        <w:t>4</w:t>
      </w:r>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Postanowienia te są wiążące dla ACPRO i sprzedawców przy zawieraniu tych umów.</w:t>
      </w:r>
    </w:p>
    <w:p w14:paraId="14382509" w14:textId="1FD133B3" w:rsidR="009A4869" w:rsidRPr="00EB2E7B" w:rsidRDefault="009A4869" w:rsidP="009A432E">
      <w:pPr>
        <w:pStyle w:val="ANagwek4"/>
        <w:rPr>
          <w:rFonts w:asciiTheme="minorHAnsi" w:hAnsiTheme="minorHAnsi" w:cstheme="minorHAnsi"/>
          <w:sz w:val="20"/>
          <w:szCs w:val="20"/>
        </w:rPr>
      </w:pPr>
      <w:r>
        <w:rPr>
          <w:rFonts w:asciiTheme="minorHAnsi" w:hAnsiTheme="minorHAnsi" w:cstheme="minorHAnsi"/>
          <w:sz w:val="20"/>
          <w:szCs w:val="20"/>
        </w:rPr>
        <w:t>Nie później niż do 60 dnia kalendarzowego przed dniem przystąpienia ACPRO do CSIRE, ACPRO i sprzedawca zawrą nową GUD lub GUD-K, zgodnie z obowiązującymi w ACPRO wzorcami GUD i GUD-K, dostosowanym do funkcjonowania detalicznego rynku energii elektrycznej po przystąpieniu ACPRO do CSIRE.</w:t>
      </w:r>
    </w:p>
    <w:p w14:paraId="0E8D2C6A" w14:textId="42E30D0B" w:rsidR="00F76DBF" w:rsidRPr="00EB2E7B" w:rsidRDefault="00F76DBF" w:rsidP="00AC2CEC">
      <w:pPr>
        <w:ind w:left="1134" w:firstLine="0"/>
        <w:rPr>
          <w:rFonts w:asciiTheme="minorHAnsi" w:hAnsiTheme="minorHAnsi" w:cstheme="minorHAnsi"/>
          <w:sz w:val="20"/>
          <w:szCs w:val="20"/>
        </w:rPr>
      </w:pPr>
      <w:r>
        <w:rPr>
          <w:rFonts w:asciiTheme="minorHAnsi" w:hAnsiTheme="minorHAnsi" w:cstheme="minorHAnsi"/>
          <w:sz w:val="20"/>
          <w:szCs w:val="20"/>
        </w:rPr>
        <w:t>W przypadku gdy w terminie, o którym mowa w zdaniu pierwszym, sprzedawca nie zawrze nowej GUD lub GUD-K, wówczas:</w:t>
      </w:r>
    </w:p>
    <w:p w14:paraId="34B1A1F2" w14:textId="23621E82" w:rsidR="00AC2CEC" w:rsidRPr="00EB2E7B" w:rsidRDefault="00AC2CEC" w:rsidP="00472992">
      <w:pPr>
        <w:pStyle w:val="Akapitzlist"/>
        <w:numPr>
          <w:ilvl w:val="3"/>
          <w:numId w:val="510"/>
        </w:numPr>
        <w:spacing w:line="266"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dotychczas obowiązująca umowa GUD lub GUD-K zawarta przez sprzedawcę z ACPRO ulega rozwiązaniu z końcem dnia poprzedzającego przystąpienie ACPRO do CSIRE,</w:t>
      </w:r>
    </w:p>
    <w:p w14:paraId="1934A92A" w14:textId="089A0DCE" w:rsidR="00AC2CEC" w:rsidRPr="00EB2E7B" w:rsidRDefault="00AC2CEC" w:rsidP="00472992">
      <w:pPr>
        <w:pStyle w:val="Akapitzlist"/>
        <w:numPr>
          <w:ilvl w:val="3"/>
          <w:numId w:val="51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ACPRO nie przekaże OIRE w ramach realizacji obowiązku, o którym mowa w art. 20 Ustawy OIRE informacji dotyczących możliwości realizacji przez sprzedawcę sprzedaży energii elektrycznej lub świadczenia usługi kompleksowej na obszarze działania </w:t>
      </w:r>
      <w:r w:rsidR="00C57A93"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4813BA9B" w14:textId="57437F82" w:rsidR="00AC2CEC" w:rsidRPr="00EB2E7B" w:rsidRDefault="00AC2CEC" w:rsidP="00472992">
      <w:pPr>
        <w:pStyle w:val="Akapitzlist"/>
        <w:numPr>
          <w:ilvl w:val="3"/>
          <w:numId w:val="51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sprzedawca zobowiązany jest powiadomić </w:t>
      </w:r>
      <w:r w:rsidR="00C57A93"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 zakończeniu umowy sprzedaży albo umowy kompleksowej na koniec dnia poprzedzającego przystąpienie ACPRO do CSIRE, w terminie nie później niż do 50 dnia kalendarzowego przed dniem przystąpienia ACPRO do CSIRE.</w:t>
      </w:r>
    </w:p>
    <w:p w14:paraId="1769F06A" w14:textId="33771CF2" w:rsidR="00B80C9C" w:rsidRPr="00EB2E7B" w:rsidRDefault="0047646F"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Nie później niż do 60 dnia kalendarzowego przed dniem przystąpienia ACPRO do CSIRE, </w:t>
      </w:r>
      <w:r w:rsidR="00216ED8"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i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zawrą nową umowę, o której mowa w pkt </w:t>
      </w:r>
      <w:r w:rsidR="000E4833" w:rsidRPr="00EB2E7B">
        <w:rPr>
          <w:rFonts w:asciiTheme="minorHAnsi" w:hAnsiTheme="minorHAnsi" w:cstheme="minorHAnsi"/>
          <w:sz w:val="20"/>
          <w:szCs w:val="20"/>
        </w:rPr>
        <w:fldChar w:fldCharType="begin"/>
      </w:r>
      <w:r w:rsidR="000E4833" w:rsidRPr="00EB2E7B">
        <w:rPr>
          <w:rFonts w:asciiTheme="minorHAnsi" w:hAnsiTheme="minorHAnsi" w:cstheme="minorHAnsi"/>
          <w:sz w:val="20"/>
          <w:szCs w:val="20"/>
        </w:rPr>
        <w:instrText xml:space="preserve"> REF _Ref189420169 \w \h  \* MERGEFORMAT </w:instrText>
      </w:r>
      <w:r w:rsidR="000E4833" w:rsidRPr="00EB2E7B">
        <w:rPr>
          <w:rFonts w:asciiTheme="minorHAnsi" w:hAnsiTheme="minorHAnsi" w:cstheme="minorHAnsi"/>
          <w:sz w:val="20"/>
          <w:szCs w:val="20"/>
        </w:rPr>
      </w:r>
      <w:r w:rsidR="000E483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A.4.3.5</w:t>
      </w:r>
      <w:r w:rsidR="000E483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zgodnie z obowiązującym w </w:t>
      </w:r>
      <w:r w:rsidR="00216ED8"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wzorcem dostosowanym do funkcjonowania detalicznego rynku energii elektrycznej po przystąpieniu ACPRO do CSIRE.</w:t>
      </w:r>
    </w:p>
    <w:p w14:paraId="467808C1" w14:textId="7F5B66FE" w:rsidR="0047646F" w:rsidRPr="00EB2E7B" w:rsidRDefault="0047646F" w:rsidP="0047646F">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gdy w terminie, o którym mowa w zdaniu pierwszym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nie zawrze nowej umowy, o której mowa w pkt </w:t>
      </w:r>
      <w:r w:rsidR="00216ED8" w:rsidRPr="00EB2E7B">
        <w:rPr>
          <w:rFonts w:asciiTheme="minorHAnsi" w:hAnsiTheme="minorHAnsi" w:cstheme="minorHAnsi"/>
          <w:sz w:val="20"/>
          <w:szCs w:val="20"/>
        </w:rPr>
        <w:fldChar w:fldCharType="begin"/>
      </w:r>
      <w:r w:rsidR="00216ED8" w:rsidRPr="00EB2E7B">
        <w:rPr>
          <w:rFonts w:asciiTheme="minorHAnsi" w:hAnsiTheme="minorHAnsi" w:cstheme="minorHAnsi"/>
          <w:sz w:val="20"/>
          <w:szCs w:val="20"/>
        </w:rPr>
        <w:instrText xml:space="preserve"> REF _Ref189420169 \r \h </w:instrText>
      </w:r>
      <w:r w:rsidR="000E4833" w:rsidRPr="00EB2E7B">
        <w:rPr>
          <w:rFonts w:asciiTheme="minorHAnsi" w:hAnsiTheme="minorHAnsi" w:cstheme="minorHAnsi"/>
          <w:sz w:val="20"/>
          <w:szCs w:val="20"/>
        </w:rPr>
        <w:instrText xml:space="preserve"> \* MERGEFORMAT </w:instrText>
      </w:r>
      <w:r w:rsidR="00216ED8" w:rsidRPr="00EB2E7B">
        <w:rPr>
          <w:rFonts w:asciiTheme="minorHAnsi" w:hAnsiTheme="minorHAnsi" w:cstheme="minorHAnsi"/>
          <w:sz w:val="20"/>
          <w:szCs w:val="20"/>
        </w:rPr>
      </w:r>
      <w:r w:rsidR="00216ED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A.4.3.5</w:t>
      </w:r>
      <w:r w:rsidR="00216ED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wówczas:</w:t>
      </w:r>
    </w:p>
    <w:p w14:paraId="1821BE61" w14:textId="4E3BC703" w:rsidR="00504642" w:rsidRPr="00EB2E7B" w:rsidRDefault="00504642" w:rsidP="00AB75C7">
      <w:pPr>
        <w:pStyle w:val="Akapitzlist"/>
        <w:numPr>
          <w:ilvl w:val="0"/>
          <w:numId w:val="51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dotychczas obowiązująca umowa o świadczenie usług dystrybucji zawarta przez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z ACPRO ulega rozwiązaniu z końcem dnia poprzedzającego przystąpienie ACPRO do CSIRE, </w:t>
      </w:r>
    </w:p>
    <w:p w14:paraId="61914B41" w14:textId="614017E7" w:rsidR="00504642" w:rsidRPr="00EB2E7B" w:rsidRDefault="00504642" w:rsidP="00AB75C7">
      <w:pPr>
        <w:pStyle w:val="Akapitzlist"/>
        <w:numPr>
          <w:ilvl w:val="0"/>
          <w:numId w:val="51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ACPRO nie przekaże OIRE w ramach realizacji obowiązku, o którym mowa w art. 20 Ustawy OIRE informacji dotyczących możliwości pełnienia przez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t>
      </w:r>
      <w:r w:rsidR="00113AFA" w:rsidRPr="00EB2E7B">
        <w:rPr>
          <w:rFonts w:asciiTheme="minorHAnsi" w:hAnsiTheme="minorHAnsi" w:cstheme="minorHAnsi"/>
          <w:sz w:val="20"/>
          <w:szCs w:val="20"/>
        </w:rPr>
        <w:t>funkcji podmiotu odpowiedzialnego za bilansowanie na obszarze działania ACPRO</w:t>
      </w:r>
      <w:r w:rsidRPr="00EB2E7B">
        <w:rPr>
          <w:rFonts w:asciiTheme="minorHAnsi" w:hAnsiTheme="minorHAnsi" w:cstheme="minorHAnsi"/>
          <w:sz w:val="20"/>
          <w:szCs w:val="20"/>
        </w:rPr>
        <w:t xml:space="preserve">, </w:t>
      </w:r>
    </w:p>
    <w:p w14:paraId="390AD8A1" w14:textId="60010634" w:rsidR="00216ED8" w:rsidRPr="00EB2E7B" w:rsidRDefault="00113AFA" w:rsidP="00AB75C7">
      <w:pPr>
        <w:pStyle w:val="Akapitzlist"/>
        <w:numPr>
          <w:ilvl w:val="0"/>
          <w:numId w:val="51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t>
      </w:r>
      <w:r w:rsidR="00504642" w:rsidRPr="00EB2E7B">
        <w:rPr>
          <w:rFonts w:asciiTheme="minorHAnsi" w:hAnsiTheme="minorHAnsi" w:cstheme="minorHAnsi"/>
          <w:sz w:val="20"/>
          <w:szCs w:val="20"/>
        </w:rPr>
        <w:t xml:space="preserve">zobowiązany jest powiadomić </w:t>
      </w:r>
      <w:r w:rsidR="006C216B" w:rsidRPr="00EB2E7B">
        <w:rPr>
          <w:rFonts w:asciiTheme="minorHAnsi" w:hAnsiTheme="minorHAnsi" w:cstheme="minorHAnsi"/>
          <w:sz w:val="20"/>
          <w:szCs w:val="20"/>
        </w:rPr>
        <w:t>sprzedawcę, URD</w:t>
      </w:r>
      <w:r w:rsidR="006C216B" w:rsidRPr="00EB2E7B">
        <w:rPr>
          <w:rFonts w:asciiTheme="minorHAnsi" w:hAnsiTheme="minorHAnsi" w:cstheme="minorHAnsi"/>
          <w:sz w:val="20"/>
          <w:szCs w:val="20"/>
          <w:vertAlign w:val="subscript"/>
        </w:rPr>
        <w:t>W</w:t>
      </w:r>
      <w:r w:rsidR="006C216B" w:rsidRPr="00EB2E7B">
        <w:rPr>
          <w:rFonts w:asciiTheme="minorHAnsi" w:hAnsiTheme="minorHAnsi" w:cstheme="minorHAnsi"/>
          <w:sz w:val="20"/>
          <w:szCs w:val="20"/>
        </w:rPr>
        <w:t xml:space="preserve"> lub URD</w:t>
      </w:r>
      <w:r w:rsidR="006C216B" w:rsidRPr="00EB2E7B">
        <w:rPr>
          <w:rFonts w:asciiTheme="minorHAnsi" w:hAnsiTheme="minorHAnsi" w:cstheme="minorHAnsi"/>
          <w:sz w:val="20"/>
          <w:szCs w:val="20"/>
          <w:vertAlign w:val="subscript"/>
        </w:rPr>
        <w:t>ME</w:t>
      </w:r>
      <w:r w:rsidR="006C216B" w:rsidRPr="00EB2E7B">
        <w:rPr>
          <w:rFonts w:asciiTheme="minorHAnsi" w:hAnsiTheme="minorHAnsi" w:cstheme="minorHAnsi"/>
          <w:sz w:val="20"/>
          <w:szCs w:val="20"/>
        </w:rPr>
        <w:t xml:space="preserve"> </w:t>
      </w:r>
      <w:r w:rsidR="00504642" w:rsidRPr="00EB2E7B">
        <w:rPr>
          <w:rFonts w:asciiTheme="minorHAnsi" w:hAnsiTheme="minorHAnsi" w:cstheme="minorHAnsi"/>
          <w:sz w:val="20"/>
          <w:szCs w:val="20"/>
        </w:rPr>
        <w:t xml:space="preserve">o zakończeniu </w:t>
      </w:r>
      <w:r w:rsidR="006C216B" w:rsidRPr="00EB2E7B">
        <w:rPr>
          <w:rFonts w:asciiTheme="minorHAnsi" w:hAnsiTheme="minorHAnsi" w:cstheme="minorHAnsi"/>
          <w:sz w:val="20"/>
          <w:szCs w:val="20"/>
        </w:rPr>
        <w:t>bilansowania handlowego</w:t>
      </w:r>
      <w:r w:rsidR="00504642" w:rsidRPr="00EB2E7B">
        <w:rPr>
          <w:rFonts w:asciiTheme="minorHAnsi" w:hAnsiTheme="minorHAnsi" w:cstheme="minorHAnsi"/>
          <w:sz w:val="20"/>
          <w:szCs w:val="20"/>
        </w:rPr>
        <w:t xml:space="preserve"> na koniec dnia poprzedzającego przystąpienie ACPRO do CSIRE, w </w:t>
      </w:r>
      <w:r w:rsidR="00504642" w:rsidRPr="00EB2E7B">
        <w:rPr>
          <w:rFonts w:asciiTheme="minorHAnsi" w:hAnsiTheme="minorHAnsi" w:cstheme="minorHAnsi"/>
          <w:sz w:val="20"/>
          <w:szCs w:val="20"/>
        </w:rPr>
        <w:lastRenderedPageBreak/>
        <w:t>terminie nie później niż do 50 dnia kalendarzowego przed dniem przystąpienia ACPRO do CSIRE.</w:t>
      </w:r>
      <w:r w:rsidR="003A5934" w:rsidRPr="00EB2E7B">
        <w:rPr>
          <w:rFonts w:asciiTheme="minorHAnsi" w:hAnsiTheme="minorHAnsi" w:cstheme="minorHAnsi"/>
          <w:sz w:val="20"/>
          <w:szCs w:val="20"/>
        </w:rPr>
        <w:t>D</w:t>
      </w:r>
    </w:p>
    <w:p w14:paraId="7C9685E6" w14:textId="24847B6A" w:rsidR="000D154C" w:rsidRPr="00EB2E7B" w:rsidRDefault="21BF2B3F" w:rsidP="009A432E">
      <w:pPr>
        <w:pStyle w:val="ANagwek4"/>
        <w:rPr>
          <w:rFonts w:asciiTheme="minorHAnsi" w:hAnsiTheme="minorHAnsi" w:cstheme="minorHAnsi"/>
          <w:sz w:val="20"/>
          <w:szCs w:val="20"/>
        </w:rPr>
      </w:pPr>
      <w:bookmarkStart w:id="456" w:name="_Ref190114318"/>
      <w:r w:rsidRPr="00EB2E7B">
        <w:rPr>
          <w:rFonts w:asciiTheme="minorHAnsi" w:hAnsiTheme="minorHAnsi" w:cstheme="minorHAnsi"/>
          <w:sz w:val="20"/>
          <w:szCs w:val="20"/>
        </w:rPr>
        <w:t>Do dnia przystąpienia ACPRO do CSIRE, p</w:t>
      </w:r>
      <w:r w:rsidR="641A77BC" w:rsidRPr="00EB2E7B">
        <w:rPr>
          <w:rFonts w:asciiTheme="minorHAnsi" w:hAnsiTheme="minorHAnsi" w:cstheme="minorHAnsi"/>
          <w:sz w:val="20"/>
          <w:szCs w:val="20"/>
        </w:rPr>
        <w:t xml:space="preserve">odmiot zamierzający pełnić funkcję DUB na zasobach przyłączonych do sieci </w:t>
      </w:r>
      <w:r w:rsidR="0FA6E25B" w:rsidRPr="00EB2E7B">
        <w:rPr>
          <w:rFonts w:asciiTheme="minorHAnsi" w:hAnsiTheme="minorHAnsi" w:cstheme="minorHAnsi"/>
          <w:sz w:val="20"/>
          <w:szCs w:val="20"/>
        </w:rPr>
        <w:t>ACPRO</w:t>
      </w:r>
      <w:r w:rsidR="641A77BC" w:rsidRPr="00EB2E7B">
        <w:rPr>
          <w:rFonts w:asciiTheme="minorHAnsi" w:hAnsiTheme="minorHAnsi" w:cstheme="minorHAnsi"/>
          <w:sz w:val="20"/>
          <w:szCs w:val="20"/>
        </w:rPr>
        <w:t xml:space="preserve">, musi spełnić wymagania zawarte w pkt </w:t>
      </w:r>
      <w:r w:rsidR="005E47F2" w:rsidRPr="00EB2E7B">
        <w:rPr>
          <w:rFonts w:asciiTheme="minorHAnsi" w:hAnsiTheme="minorHAnsi" w:cstheme="minorHAnsi"/>
          <w:sz w:val="20"/>
          <w:szCs w:val="20"/>
        </w:rPr>
        <w:fldChar w:fldCharType="begin"/>
      </w:r>
      <w:r w:rsidR="005E47F2" w:rsidRPr="00EB2E7B">
        <w:rPr>
          <w:rFonts w:asciiTheme="minorHAnsi" w:hAnsiTheme="minorHAnsi" w:cstheme="minorHAnsi"/>
          <w:sz w:val="20"/>
          <w:szCs w:val="20"/>
        </w:rPr>
        <w:instrText xml:space="preserve"> REF _Ref190114260 \w \h  \* MERGEFORMAT </w:instrText>
      </w:r>
      <w:r w:rsidR="005E47F2" w:rsidRPr="00EB2E7B">
        <w:rPr>
          <w:rFonts w:asciiTheme="minorHAnsi" w:hAnsiTheme="minorHAnsi" w:cstheme="minorHAnsi"/>
          <w:sz w:val="20"/>
          <w:szCs w:val="20"/>
        </w:rPr>
      </w:r>
      <w:r w:rsidR="005E47F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A.10</w:t>
      </w:r>
      <w:r w:rsidR="005E47F2" w:rsidRPr="00EB2E7B">
        <w:rPr>
          <w:rFonts w:asciiTheme="minorHAnsi" w:hAnsiTheme="minorHAnsi" w:cstheme="minorHAnsi"/>
          <w:sz w:val="20"/>
          <w:szCs w:val="20"/>
        </w:rPr>
        <w:fldChar w:fldCharType="end"/>
      </w:r>
      <w:r w:rsidR="641A77BC" w:rsidRPr="00EB2E7B">
        <w:rPr>
          <w:rFonts w:asciiTheme="minorHAnsi" w:hAnsiTheme="minorHAnsi" w:cstheme="minorHAnsi"/>
          <w:sz w:val="20"/>
          <w:szCs w:val="20"/>
        </w:rPr>
        <w:t xml:space="preserve">, w tym zawrzeć umowę dystrybucji z </w:t>
      </w:r>
      <w:r w:rsidR="0FA6E25B" w:rsidRPr="00EB2E7B">
        <w:rPr>
          <w:rFonts w:asciiTheme="minorHAnsi" w:hAnsiTheme="minorHAnsi" w:cstheme="minorHAnsi"/>
          <w:sz w:val="20"/>
          <w:szCs w:val="20"/>
        </w:rPr>
        <w:t>ACPRO</w:t>
      </w:r>
      <w:r w:rsidR="641A77BC" w:rsidRPr="00EB2E7B">
        <w:rPr>
          <w:rFonts w:asciiTheme="minorHAnsi" w:hAnsiTheme="minorHAnsi" w:cstheme="minorHAnsi"/>
          <w:sz w:val="20"/>
          <w:szCs w:val="20"/>
        </w:rPr>
        <w:t>.</w:t>
      </w:r>
      <w:bookmarkEnd w:id="456"/>
    </w:p>
    <w:p w14:paraId="08C32784" w14:textId="215D8418" w:rsidR="008E6011" w:rsidRPr="00EB2E7B" w:rsidRDefault="00524DF3" w:rsidP="00524DF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Umowa dystrybucji zawierana przez </w:t>
      </w:r>
      <w:r w:rsidR="00EF756E"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 DUB powinna zawierać w szczególności następujące elementy:</w:t>
      </w:r>
    </w:p>
    <w:p w14:paraId="591658B6" w14:textId="52B9B01E"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oświadczenie DUB o zawarciu umowy przesyłowej umożliwiającej świadczenie usług bilansujących na RB, </w:t>
      </w:r>
    </w:p>
    <w:p w14:paraId="496D9DAD" w14:textId="1194FA97"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kod identyfikacyjny DUB na RB, </w:t>
      </w:r>
    </w:p>
    <w:p w14:paraId="1BDB1F5E" w14:textId="7A7683FC"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dane o posiadanych przez podmiot odpowiednich koncesjach – jeżeli jest taki wymóg prawny, </w:t>
      </w:r>
    </w:p>
    <w:p w14:paraId="35483253" w14:textId="26D185C2"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osoby upoważnione do kontaktu z </w:t>
      </w:r>
      <w:r w:rsidR="00DA4BFF"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oraz DUB, a także ich dane teleadresowe, </w:t>
      </w:r>
    </w:p>
    <w:p w14:paraId="63C03A9A" w14:textId="3C05574E"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zasady zmiany DUB reprezentującego zasób URD, </w:t>
      </w:r>
    </w:p>
    <w:p w14:paraId="6A32623C" w14:textId="39BE8FBA"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wykaz zasobów, z wykorzystaniem których DUB świadczy usługi bilansujące na RB, </w:t>
      </w:r>
    </w:p>
    <w:p w14:paraId="118F701B" w14:textId="3929406B"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oświadczenie DUB, że posiada umocowanie właścicieli poszczególnych zasobów do korzystania z tych zasobów i rozporządzania tymi zasobami przez DUB, zgodnie z zapisami WDB, </w:t>
      </w:r>
    </w:p>
    <w:p w14:paraId="79D0216D" w14:textId="486BDFD6"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zasady informowania DUB o zmianie POB dla zasobów URD, dla których DUB świadczy usługi bilansujące, </w:t>
      </w:r>
    </w:p>
    <w:p w14:paraId="20F508D6"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od dnia przystąpienia ACPRO do CSIRE — zasady informowania DUB o zmianie POBZ dla zasobów URD, dla których DUB świadczy usługi bilansujące,</w:t>
      </w:r>
    </w:p>
    <w:p w14:paraId="6A6EE7EF" w14:textId="44960DAC" w:rsidR="00546FCB"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zobowiązanie DUB do niezwłocznego informowania </w:t>
      </w:r>
      <w:r w:rsidR="00DA4BFF"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 zaprzestaniu lub zawieszeniu działalności na RB w zakresie świadczenia usług bilansujących, </w:t>
      </w:r>
    </w:p>
    <w:p w14:paraId="0027B7E5" w14:textId="50C90516" w:rsidR="00795C5A" w:rsidRPr="00EB2E7B" w:rsidRDefault="00524DF3" w:rsidP="00DA4BFF">
      <w:pPr>
        <w:pStyle w:val="Akapitzlist"/>
        <w:numPr>
          <w:ilvl w:val="7"/>
          <w:numId w:val="521"/>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zasady rozwiązania umowy lub wprowadzania ograniczeń w jej wykonywaniu w przypadku gdy, niezależnie od przyczyny, DUB zaprzestanie lub zawiesi działalność na RB w zakresie świadczenia usług bilansujących.</w:t>
      </w:r>
    </w:p>
    <w:p w14:paraId="6C62781B" w14:textId="202B6090" w:rsidR="00524DF3" w:rsidRPr="00EB2E7B" w:rsidRDefault="00524DF3" w:rsidP="00524DF3">
      <w:pPr>
        <w:ind w:left="1134" w:firstLine="0"/>
        <w:rPr>
          <w:rFonts w:asciiTheme="minorHAnsi" w:hAnsiTheme="minorHAnsi" w:cstheme="minorHAnsi"/>
          <w:sz w:val="20"/>
          <w:szCs w:val="20"/>
        </w:rPr>
      </w:pPr>
      <w:r w:rsidRPr="00EB2E7B">
        <w:rPr>
          <w:rFonts w:asciiTheme="minorHAnsi" w:hAnsiTheme="minorHAnsi" w:cstheme="minorHAnsi"/>
          <w:sz w:val="20"/>
          <w:szCs w:val="20"/>
        </w:rPr>
        <w:t>Jednocześnie w ramach ww. umowy, DUB świadczy usługi bilansujące zasobów przyłączonych do sieci OSDn.</w:t>
      </w:r>
    </w:p>
    <w:p w14:paraId="7360BB14"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podmiot zamierzający pełnić funkcję DUB na zasobach przyłączonych do sieci ACPRO musi spełnić wymagania zawarte w pkt A.10., w tym zawrzeć umowę dystrybucji z ACPRO. Umowa dystrybucji zawierana przez ACPRO z DUB powinna zawierać w szczególności następujące elementy:</w:t>
      </w:r>
    </w:p>
    <w:p w14:paraId="60F5D717"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oświadczenie DUB o zawarciu umowy przesyłowej umożliwiającej świadczenie usług bilansujących na RB,</w:t>
      </w:r>
    </w:p>
    <w:p w14:paraId="52496BB0"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kod identyfikacyjny DUB na RB,</w:t>
      </w:r>
    </w:p>
    <w:p w14:paraId="65B53313"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dane o posiadanych przez podmiot odpowiednich koncesjach – jeżeli jest taki wymóg prawny,</w:t>
      </w:r>
    </w:p>
    <w:p w14:paraId="73754E92"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4) osoby upoważnione do kontaktu z ACPRO oraz DUB, a także ich dane teleadresowe,</w:t>
      </w:r>
    </w:p>
    <w:p w14:paraId="76541BBD"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lastRenderedPageBreak/>
        <w:t>5) zasady zmiany DUB reprezentującego zasób URD,</w:t>
      </w:r>
    </w:p>
    <w:p w14:paraId="13B926A9"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6) wykaz zasobów, z wykorzystaniem których DUB świadczy usługi bilansujące na RB,</w:t>
      </w:r>
    </w:p>
    <w:p w14:paraId="410CE4C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7) oświadczenie DUB, że posiada umocowanie właścicieli poszczególnych zasobów do korzystania z tych zasobów i rozporządzania tymi zasobami przez DUB, zgodnie z zapisami WDB,</w:t>
      </w:r>
    </w:p>
    <w:p w14:paraId="26B0A54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8) zasady informowania DUB o zmianie POBZ dla zasobów URD, dla których DUB świadczy usługi bilansujące,</w:t>
      </w:r>
    </w:p>
    <w:p w14:paraId="61C103C8"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9) zobowiązanie DUB do niezwłocznego informowania ACPRO o zaprzestaniu lub zawieszeniu działalności na RB w zakresie świadczenia usług bilansujących,</w:t>
      </w:r>
    </w:p>
    <w:p w14:paraId="44BB06F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10) zasady rozwiązania umowy lub wprowadzania ograniczeń w jej wykonywaniu w przypadku gdy, niezależnie od przyczyny, DUB zaprzestanie lub zawiesi działalność na RB w zakresie świadczenia usług bilansujących.</w:t>
      </w:r>
    </w:p>
    <w:p w14:paraId="7FBC862C" w14:textId="73D50B5E" w:rsidR="000D154C" w:rsidRPr="00EB2E7B" w:rsidRDefault="000D154C" w:rsidP="0024189C">
      <w:pPr>
        <w:pStyle w:val="ANagwek2"/>
        <w:rPr>
          <w:rFonts w:asciiTheme="minorHAnsi" w:hAnsiTheme="minorHAnsi" w:cstheme="minorHAnsi"/>
          <w:sz w:val="20"/>
          <w:szCs w:val="20"/>
        </w:rPr>
      </w:pPr>
      <w:bookmarkStart w:id="457" w:name="_Toc239333372"/>
      <w:r w:rsidRPr="00EB2E7B">
        <w:rPr>
          <w:rFonts w:asciiTheme="minorHAnsi" w:hAnsiTheme="minorHAnsi" w:cstheme="minorHAnsi"/>
          <w:sz w:val="20"/>
          <w:szCs w:val="20"/>
        </w:rPr>
        <w:t>ZASADY KONFIGURACJI PODMIOTOWEJ I OBIEKTOWEJ RYNKU DETALICZNEGO ORAZ NADAWANIA KODÓW IDENTYFIKACYJNYCH</w:t>
      </w:r>
      <w:bookmarkEnd w:id="457"/>
    </w:p>
    <w:p w14:paraId="14120C6B" w14:textId="77777777" w:rsidR="00473957" w:rsidRPr="00EB2E7B" w:rsidRDefault="731ED5BC" w:rsidP="004854C6">
      <w:pPr>
        <w:pStyle w:val="ANagwek3"/>
        <w:rPr>
          <w:rFonts w:asciiTheme="minorHAnsi" w:hAnsiTheme="minorHAnsi" w:cstheme="minorHAnsi"/>
          <w:sz w:val="20"/>
          <w:szCs w:val="20"/>
        </w:rPr>
      </w:pPr>
      <w:proofErr w:type="spellStart"/>
      <w:r w:rsidRPr="00EB2E7B">
        <w:rPr>
          <w:rFonts w:asciiTheme="minorHAnsi" w:hAnsiTheme="minorHAnsi" w:cstheme="minorHAnsi"/>
          <w:sz w:val="20"/>
          <w:szCs w:val="20"/>
        </w:rPr>
        <w:t>OSD</w:t>
      </w:r>
      <w:r w:rsidR="060C5571" w:rsidRPr="00EB2E7B">
        <w:rPr>
          <w:rFonts w:asciiTheme="minorHAnsi" w:hAnsiTheme="minorHAnsi" w:cstheme="minorHAnsi"/>
          <w:sz w:val="20"/>
          <w:szCs w:val="20"/>
        </w:rPr>
        <w:t>p</w:t>
      </w:r>
      <w:proofErr w:type="spellEnd"/>
      <w:r w:rsidR="215D82E5" w:rsidRPr="00EB2E7B">
        <w:rPr>
          <w:rFonts w:asciiTheme="minorHAnsi" w:hAnsiTheme="minorHAnsi" w:cstheme="minorHAnsi"/>
          <w:sz w:val="20"/>
          <w:szCs w:val="20"/>
        </w:rPr>
        <w:t xml:space="preserve"> bierze udział w administrowaniu rynkiem bilansującym dla obszaru swojej sieci dystrybucyjnej i sieciach, na których zostali wyznaczeni </w:t>
      </w:r>
      <w:r w:rsidR="060C5571" w:rsidRPr="00EB2E7B">
        <w:rPr>
          <w:rFonts w:asciiTheme="minorHAnsi" w:hAnsiTheme="minorHAnsi" w:cstheme="minorHAnsi"/>
          <w:sz w:val="20"/>
          <w:szCs w:val="20"/>
        </w:rPr>
        <w:t xml:space="preserve">inni </w:t>
      </w:r>
      <w:r w:rsidR="215D82E5" w:rsidRPr="00EB2E7B">
        <w:rPr>
          <w:rFonts w:asciiTheme="minorHAnsi" w:hAnsiTheme="minorHAnsi" w:cstheme="minorHAnsi"/>
          <w:sz w:val="20"/>
          <w:szCs w:val="20"/>
        </w:rPr>
        <w:t>OSDn</w:t>
      </w:r>
      <w:r w:rsidR="060C5571" w:rsidRPr="00EB2E7B">
        <w:rPr>
          <w:rFonts w:asciiTheme="minorHAnsi" w:hAnsiTheme="minorHAnsi" w:cstheme="minorHAnsi"/>
          <w:sz w:val="20"/>
          <w:szCs w:val="20"/>
        </w:rPr>
        <w:t xml:space="preserve"> w tym ACPRO</w:t>
      </w:r>
      <w:r w:rsidR="215D82E5" w:rsidRPr="00EB2E7B">
        <w:rPr>
          <w:rFonts w:asciiTheme="minorHAnsi" w:hAnsiTheme="minorHAnsi" w:cstheme="minorHAnsi"/>
          <w:sz w:val="20"/>
          <w:szCs w:val="20"/>
        </w:rPr>
        <w:t>, w oparciu o postanowienia umowy przesyłowej zawartej z OSP i</w:t>
      </w:r>
      <w:r w:rsidR="53278CBA" w:rsidRPr="00EB2E7B">
        <w:rPr>
          <w:rFonts w:asciiTheme="minorHAnsi" w:hAnsiTheme="minorHAnsi" w:cstheme="minorHAnsi"/>
          <w:sz w:val="20"/>
          <w:szCs w:val="20"/>
        </w:rPr>
        <w:t> </w:t>
      </w:r>
      <w:r w:rsidR="215D82E5" w:rsidRPr="00EB2E7B">
        <w:rPr>
          <w:rFonts w:asciiTheme="minorHAnsi" w:hAnsiTheme="minorHAnsi" w:cstheme="minorHAnsi"/>
          <w:sz w:val="20"/>
          <w:szCs w:val="20"/>
        </w:rPr>
        <w:t xml:space="preserve">na zasadach określonych w WDB oraz administruje konfiguracją rynku detalicznego w oparciu o zasady zawarte w </w:t>
      </w:r>
      <w:proofErr w:type="spellStart"/>
      <w:r w:rsidR="215D82E5" w:rsidRPr="00EB2E7B">
        <w:rPr>
          <w:rFonts w:asciiTheme="minorHAnsi" w:hAnsiTheme="minorHAnsi" w:cstheme="minorHAnsi"/>
          <w:sz w:val="20"/>
          <w:szCs w:val="20"/>
        </w:rPr>
        <w:t>IRiESD</w:t>
      </w:r>
      <w:proofErr w:type="spellEnd"/>
      <w:r w:rsidR="215D82E5" w:rsidRPr="00EB2E7B">
        <w:rPr>
          <w:rFonts w:asciiTheme="minorHAnsi" w:hAnsiTheme="minorHAnsi" w:cstheme="minorHAnsi"/>
          <w:sz w:val="20"/>
          <w:szCs w:val="20"/>
        </w:rPr>
        <w:t xml:space="preserve">-Bilansowanie </w:t>
      </w:r>
      <w:proofErr w:type="spellStart"/>
      <w:r w:rsidR="060C5571" w:rsidRPr="00EB2E7B">
        <w:rPr>
          <w:rFonts w:asciiTheme="minorHAnsi" w:hAnsiTheme="minorHAnsi" w:cstheme="minorHAnsi"/>
          <w:sz w:val="20"/>
          <w:szCs w:val="20"/>
        </w:rPr>
        <w:t>OSDp</w:t>
      </w:r>
      <w:proofErr w:type="spellEnd"/>
      <w:r w:rsidR="060C5571" w:rsidRPr="00EB2E7B">
        <w:rPr>
          <w:rFonts w:asciiTheme="minorHAnsi" w:hAnsiTheme="minorHAnsi" w:cstheme="minorHAnsi"/>
          <w:sz w:val="20"/>
          <w:szCs w:val="20"/>
        </w:rPr>
        <w:t xml:space="preserve"> </w:t>
      </w:r>
      <w:r w:rsidR="215D82E5" w:rsidRPr="00EB2E7B">
        <w:rPr>
          <w:rFonts w:asciiTheme="minorHAnsi" w:hAnsiTheme="minorHAnsi" w:cstheme="minorHAnsi"/>
          <w:sz w:val="20"/>
          <w:szCs w:val="20"/>
        </w:rPr>
        <w:t>i</w:t>
      </w:r>
      <w:r w:rsidR="53278CBA" w:rsidRPr="00EB2E7B">
        <w:rPr>
          <w:rFonts w:asciiTheme="minorHAnsi" w:hAnsiTheme="minorHAnsi" w:cstheme="minorHAnsi"/>
          <w:sz w:val="20"/>
          <w:szCs w:val="20"/>
        </w:rPr>
        <w:t> </w:t>
      </w:r>
      <w:r w:rsidR="215D82E5" w:rsidRPr="00EB2E7B">
        <w:rPr>
          <w:rFonts w:asciiTheme="minorHAnsi" w:hAnsiTheme="minorHAnsi" w:cstheme="minorHAnsi"/>
          <w:sz w:val="20"/>
          <w:szCs w:val="20"/>
        </w:rPr>
        <w:t>postanowienia umów dystrybucyjnych.</w:t>
      </w:r>
    </w:p>
    <w:p w14:paraId="383FF858" w14:textId="3879E9D2" w:rsidR="00CE5BC7" w:rsidRPr="00EB2E7B" w:rsidRDefault="002C4EFF"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ramach obowiązków związanych z administrowaniem rynkiem detalicznym, ACPRO realizuje następujące </w:t>
      </w:r>
      <w:r w:rsidR="5577A1F0" w:rsidRPr="00EB2E7B">
        <w:rPr>
          <w:rFonts w:asciiTheme="minorHAnsi" w:hAnsiTheme="minorHAnsi" w:cstheme="minorHAnsi"/>
          <w:sz w:val="20"/>
          <w:szCs w:val="20"/>
        </w:rPr>
        <w:t>zadania</w:t>
      </w:r>
      <w:r w:rsidRPr="00EB2E7B">
        <w:rPr>
          <w:rFonts w:asciiTheme="minorHAnsi" w:hAnsiTheme="minorHAnsi" w:cstheme="minorHAnsi"/>
          <w:sz w:val="20"/>
          <w:szCs w:val="20"/>
        </w:rPr>
        <w:t xml:space="preserve">: </w:t>
      </w:r>
    </w:p>
    <w:p w14:paraId="56062BFC"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w ramach obowiązków związanych z administrowaniem rynkiem detalicznym ACPRO realizuje następujące zadania:</w:t>
      </w:r>
    </w:p>
    <w:p w14:paraId="45D2339F"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przyporządkowuje do POBZ określone MB służące do reprezentowania na RB ilości dostarczanej energii elektrycznej na podstawie danych konfiguracyjnych określonych w umowie przesyłowej zawartej z OSP oraz umowach dystrybucji albo umowach kompleksowych,</w:t>
      </w:r>
    </w:p>
    <w:p w14:paraId="2C1322C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przyporządkowuje sprzedawców, URDW oraz URDME do poszczególnych MB przydzielonych POBZ, na podstawie informacji przekazanej ACPRO przez OIRE z CSIRE,</w:t>
      </w:r>
    </w:p>
    <w:p w14:paraId="7529A86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przyporządkowuje URD do poszczególnych MDD przydzielonych sprzedawcom realizującym umowy sprzedaży, w tym umowy sprzedaży rezerwowej, na podstawie informacji przekazanej ACPRO przez OIRE z CSIRE,</w:t>
      </w:r>
    </w:p>
    <w:p w14:paraId="5A2E19CF"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4) przyporządkowuje URD do poszczególnych MDD przydzielonych sprzedawcom realizującym umowy kompleksowe, w tym umowy kompleksowe rezerwowe, na podstawie informacji przekazanej ACPRO przez OIRE z CSIRE,</w:t>
      </w:r>
    </w:p>
    <w:p w14:paraId="35A1026D"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5) uwzględnia zmianę POBZ przez sprzedawcę, URDW lub URDME, na podstawie informacji przekazanej ACPRO przez OIRE z CSIRE,</w:t>
      </w:r>
    </w:p>
    <w:p w14:paraId="7CE6DC78"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6) przekazuje OSP dane konfiguracyjne niezbędne do monitorowania poprawności konfiguracji RB,</w:t>
      </w:r>
    </w:p>
    <w:p w14:paraId="3FA4F5BC"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7) rozpatruje reklamacje POBZ dotyczące danych konfiguracyjnych i wprowadza niezbędne korekty, zgodnie z zapisami rozdziału H.</w:t>
      </w:r>
    </w:p>
    <w:p w14:paraId="68C96FE4" w14:textId="5F5FCFC3" w:rsidR="00CE5BC7" w:rsidRPr="00EB2E7B" w:rsidRDefault="002C4EFF" w:rsidP="00360E38">
      <w:pPr>
        <w:pStyle w:val="Akapitzlist"/>
        <w:numPr>
          <w:ilvl w:val="3"/>
          <w:numId w:val="277"/>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lastRenderedPageBreak/>
        <w:t>przyporządkowuje do POB</w:t>
      </w:r>
      <w:r w:rsidR="005453DB"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określone MB służące do reprezentowania na RB ilości dostarczanej energii elektrycznej na podstawie danych konfiguracyjnych przekazanych przez OSP oraz um</w:t>
      </w:r>
      <w:r w:rsidR="00D6244B" w:rsidRPr="00EB2E7B">
        <w:rPr>
          <w:rFonts w:asciiTheme="minorHAnsi" w:hAnsiTheme="minorHAnsi" w:cstheme="minorHAnsi"/>
          <w:sz w:val="20"/>
          <w:szCs w:val="20"/>
        </w:rPr>
        <w:t>ów</w:t>
      </w:r>
      <w:r w:rsidRPr="00EB2E7B">
        <w:rPr>
          <w:rFonts w:asciiTheme="minorHAnsi" w:hAnsiTheme="minorHAnsi" w:cstheme="minorHAnsi"/>
          <w:sz w:val="20"/>
          <w:szCs w:val="20"/>
        </w:rPr>
        <w:t xml:space="preserve"> przesyłow</w:t>
      </w:r>
      <w:r w:rsidR="00D6244B" w:rsidRPr="00EB2E7B">
        <w:rPr>
          <w:rFonts w:asciiTheme="minorHAnsi" w:hAnsiTheme="minorHAnsi" w:cstheme="minorHAnsi"/>
          <w:sz w:val="20"/>
          <w:szCs w:val="20"/>
        </w:rPr>
        <w:t>ych</w:t>
      </w:r>
      <w:r w:rsidRPr="00EB2E7B">
        <w:rPr>
          <w:rFonts w:asciiTheme="minorHAnsi" w:hAnsiTheme="minorHAnsi" w:cstheme="minorHAnsi"/>
          <w:sz w:val="20"/>
          <w:szCs w:val="20"/>
        </w:rPr>
        <w:t xml:space="preserve"> </w:t>
      </w:r>
      <w:r w:rsidR="00D6244B" w:rsidRPr="00EB2E7B">
        <w:rPr>
          <w:rFonts w:asciiTheme="minorHAnsi" w:hAnsiTheme="minorHAnsi" w:cstheme="minorHAnsi"/>
          <w:sz w:val="20"/>
          <w:szCs w:val="20"/>
        </w:rPr>
        <w:t>i umów dystrybucji lub umów kompleksowych</w:t>
      </w:r>
      <w:r w:rsidRPr="00EB2E7B">
        <w:rPr>
          <w:rFonts w:asciiTheme="minorHAnsi" w:hAnsiTheme="minorHAnsi" w:cstheme="minorHAnsi"/>
          <w:sz w:val="20"/>
          <w:szCs w:val="20"/>
        </w:rPr>
        <w:t xml:space="preserve">, </w:t>
      </w:r>
    </w:p>
    <w:p w14:paraId="3960944F" w14:textId="7EC9D27F" w:rsidR="00CE5BC7" w:rsidRPr="00EB2E7B" w:rsidRDefault="002C4EFF" w:rsidP="00360E38">
      <w:pPr>
        <w:pStyle w:val="Akapitzlist"/>
        <w:numPr>
          <w:ilvl w:val="3"/>
          <w:numId w:val="277"/>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przyporządkowuje sprzedawców,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oraz URD</w:t>
      </w:r>
      <w:r w:rsidRPr="00EB2E7B">
        <w:rPr>
          <w:rFonts w:asciiTheme="minorHAnsi" w:hAnsiTheme="minorHAnsi" w:cstheme="minorHAnsi"/>
          <w:sz w:val="20"/>
          <w:szCs w:val="20"/>
          <w:vertAlign w:val="subscript"/>
        </w:rPr>
        <w:t xml:space="preserve">ME </w:t>
      </w:r>
      <w:r w:rsidRPr="00EB2E7B">
        <w:rPr>
          <w:rFonts w:asciiTheme="minorHAnsi" w:hAnsiTheme="minorHAnsi" w:cstheme="minorHAnsi"/>
          <w:sz w:val="20"/>
          <w:szCs w:val="20"/>
        </w:rPr>
        <w:t>do poszczególnych MB, przydzielonych POB</w:t>
      </w:r>
      <w:r w:rsidR="005453DB"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t>
      </w:r>
      <w:r w:rsidR="000E122F" w:rsidRPr="00EB2E7B">
        <w:rPr>
          <w:rFonts w:asciiTheme="minorHAnsi" w:hAnsiTheme="minorHAnsi" w:cstheme="minorHAnsi"/>
          <w:sz w:val="20"/>
          <w:szCs w:val="20"/>
        </w:rPr>
        <w:t>na podstawie GUD oraz umów dystrybucji</w:t>
      </w:r>
      <w:r w:rsidRPr="00EB2E7B">
        <w:rPr>
          <w:rFonts w:asciiTheme="minorHAnsi" w:hAnsiTheme="minorHAnsi" w:cstheme="minorHAnsi"/>
          <w:sz w:val="20"/>
          <w:szCs w:val="20"/>
        </w:rPr>
        <w:t xml:space="preserve">, </w:t>
      </w:r>
    </w:p>
    <w:p w14:paraId="04CBB6C3" w14:textId="7446B50A" w:rsidR="00CE5BC7" w:rsidRPr="00EB2E7B" w:rsidRDefault="002C4EFF" w:rsidP="00360E38">
      <w:pPr>
        <w:pStyle w:val="Akapitzlist"/>
        <w:numPr>
          <w:ilvl w:val="3"/>
          <w:numId w:val="277"/>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przyporządkowuje URD do poszczególnych MDD przydzielonych sprzedawcom realizującym umowy sprzedaży, w tym umowy sprzedaży rezerwowej,</w:t>
      </w:r>
      <w:r w:rsidR="00791AEE" w:rsidRPr="00EB2E7B">
        <w:rPr>
          <w:rFonts w:asciiTheme="minorHAnsi" w:hAnsiTheme="minorHAnsi" w:cstheme="minorHAnsi"/>
          <w:sz w:val="20"/>
          <w:szCs w:val="20"/>
        </w:rPr>
        <w:t xml:space="preserve"> na podstawie GUD oraz umów dystrybucj</w:t>
      </w:r>
      <w:r w:rsidR="00CE32BD" w:rsidRPr="00EB2E7B">
        <w:rPr>
          <w:rFonts w:asciiTheme="minorHAnsi" w:hAnsiTheme="minorHAnsi" w:cstheme="minorHAnsi"/>
          <w:sz w:val="20"/>
          <w:szCs w:val="20"/>
        </w:rPr>
        <w:t>i</w:t>
      </w:r>
      <w:r w:rsidR="00EE14B9" w:rsidRPr="00EB2E7B">
        <w:rPr>
          <w:rFonts w:asciiTheme="minorHAnsi" w:hAnsiTheme="minorHAnsi" w:cstheme="minorHAnsi"/>
          <w:sz w:val="20"/>
          <w:szCs w:val="20"/>
        </w:rPr>
        <w:t xml:space="preserve">, o których mowa w pkt </w:t>
      </w:r>
      <w:r w:rsidR="005053E7" w:rsidRPr="00EB2E7B">
        <w:rPr>
          <w:rFonts w:asciiTheme="minorHAnsi" w:hAnsiTheme="minorHAnsi" w:cstheme="minorHAnsi"/>
          <w:sz w:val="20"/>
          <w:szCs w:val="20"/>
        </w:rPr>
        <w:fldChar w:fldCharType="begin"/>
      </w:r>
      <w:r w:rsidR="005053E7" w:rsidRPr="00EB2E7B">
        <w:rPr>
          <w:rFonts w:asciiTheme="minorHAnsi" w:hAnsiTheme="minorHAnsi" w:cstheme="minorHAnsi"/>
          <w:sz w:val="20"/>
          <w:szCs w:val="20"/>
        </w:rPr>
        <w:instrText xml:space="preserve"> REF _Ref184493574 \w \h  \* MERGEFORMAT </w:instrText>
      </w:r>
      <w:r w:rsidR="005053E7" w:rsidRPr="00EB2E7B">
        <w:rPr>
          <w:rFonts w:asciiTheme="minorHAnsi" w:hAnsiTheme="minorHAnsi" w:cstheme="minorHAnsi"/>
          <w:sz w:val="20"/>
          <w:szCs w:val="20"/>
        </w:rPr>
      </w:r>
      <w:r w:rsidR="005053E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A.4.3.7</w:t>
      </w:r>
      <w:r w:rsidR="005053E7" w:rsidRPr="00EB2E7B">
        <w:rPr>
          <w:rFonts w:asciiTheme="minorHAnsi" w:hAnsiTheme="minorHAnsi" w:cstheme="minorHAnsi"/>
          <w:sz w:val="20"/>
          <w:szCs w:val="20"/>
        </w:rPr>
        <w:fldChar w:fldCharType="end"/>
      </w:r>
      <w:r w:rsidR="001224E7"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p w14:paraId="79DD5AA6" w14:textId="7ABB0F38" w:rsidR="00CE5BC7" w:rsidRPr="00EB2E7B" w:rsidRDefault="002C4EFF" w:rsidP="00360E38">
      <w:pPr>
        <w:pStyle w:val="Akapitzlist"/>
        <w:numPr>
          <w:ilvl w:val="3"/>
          <w:numId w:val="277"/>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przyporządkowuje URD do poszczególnych MDD przydzielonych sprzedawcom realizującym umowy kompleksowe</w:t>
      </w:r>
      <w:r w:rsidR="00405F22" w:rsidRPr="00EB2E7B">
        <w:rPr>
          <w:rFonts w:asciiTheme="minorHAnsi" w:hAnsiTheme="minorHAnsi" w:cstheme="minorHAnsi"/>
          <w:sz w:val="20"/>
          <w:szCs w:val="20"/>
        </w:rPr>
        <w:t xml:space="preserve"> z o</w:t>
      </w:r>
      <w:r w:rsidR="009A0A37" w:rsidRPr="00EB2E7B">
        <w:rPr>
          <w:rFonts w:asciiTheme="minorHAnsi" w:hAnsiTheme="minorHAnsi" w:cstheme="minorHAnsi"/>
          <w:sz w:val="20"/>
          <w:szCs w:val="20"/>
        </w:rPr>
        <w:t>d</w:t>
      </w:r>
      <w:r w:rsidR="00405F22" w:rsidRPr="00EB2E7B">
        <w:rPr>
          <w:rFonts w:asciiTheme="minorHAnsi" w:hAnsiTheme="minorHAnsi" w:cstheme="minorHAnsi"/>
          <w:sz w:val="20"/>
          <w:szCs w:val="20"/>
        </w:rPr>
        <w:t>biorcą nie będącym URD</w:t>
      </w:r>
      <w:r w:rsidR="00405F22" w:rsidRPr="00EB2E7B">
        <w:rPr>
          <w:rFonts w:asciiTheme="minorHAnsi" w:hAnsiTheme="minorHAnsi" w:cstheme="minorHAnsi"/>
          <w:sz w:val="20"/>
          <w:szCs w:val="20"/>
          <w:vertAlign w:val="subscript"/>
        </w:rPr>
        <w:t>O</w:t>
      </w:r>
      <w:r w:rsidR="00405F22" w:rsidRPr="00EB2E7B">
        <w:rPr>
          <w:rFonts w:asciiTheme="minorHAnsi" w:hAnsiTheme="minorHAnsi" w:cstheme="minorHAnsi"/>
          <w:sz w:val="20"/>
          <w:szCs w:val="20"/>
        </w:rPr>
        <w:t xml:space="preserve"> w gospodarstwie domowym</w:t>
      </w:r>
      <w:r w:rsidRPr="00EB2E7B">
        <w:rPr>
          <w:rFonts w:asciiTheme="minorHAnsi" w:hAnsiTheme="minorHAnsi" w:cstheme="minorHAnsi"/>
          <w:sz w:val="20"/>
          <w:szCs w:val="20"/>
        </w:rPr>
        <w:t xml:space="preserve">, w tym rezerwowe umowy kompleksowe, </w:t>
      </w:r>
      <w:r w:rsidR="00405F22" w:rsidRPr="00EB2E7B">
        <w:rPr>
          <w:rFonts w:asciiTheme="minorHAnsi" w:hAnsiTheme="minorHAnsi" w:cstheme="minorHAnsi"/>
          <w:sz w:val="20"/>
          <w:szCs w:val="20"/>
        </w:rPr>
        <w:t>na podstawie G</w:t>
      </w:r>
      <w:r w:rsidR="00260A6C" w:rsidRPr="00EB2E7B">
        <w:rPr>
          <w:rFonts w:asciiTheme="minorHAnsi" w:hAnsiTheme="minorHAnsi" w:cstheme="minorHAnsi"/>
          <w:sz w:val="20"/>
          <w:szCs w:val="20"/>
        </w:rPr>
        <w:t>UD</w:t>
      </w:r>
      <w:r w:rsidR="009A0A37" w:rsidRPr="00EB2E7B">
        <w:rPr>
          <w:rFonts w:asciiTheme="minorHAnsi" w:hAnsiTheme="minorHAnsi" w:cstheme="minorHAnsi"/>
          <w:sz w:val="20"/>
          <w:szCs w:val="20"/>
        </w:rPr>
        <w:t>,</w:t>
      </w:r>
    </w:p>
    <w:p w14:paraId="0963D00A" w14:textId="2D39E0A4" w:rsidR="00CE5BC7" w:rsidRPr="00EB2E7B" w:rsidRDefault="007C26F2" w:rsidP="00360E38">
      <w:pPr>
        <w:pStyle w:val="Akapitzlist"/>
        <w:numPr>
          <w:ilvl w:val="3"/>
          <w:numId w:val="277"/>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realizuje</w:t>
      </w:r>
      <w:r w:rsidR="002C4EFF" w:rsidRPr="00EB2E7B">
        <w:rPr>
          <w:rFonts w:asciiTheme="minorHAnsi" w:hAnsiTheme="minorHAnsi" w:cstheme="minorHAnsi"/>
          <w:sz w:val="20"/>
          <w:szCs w:val="20"/>
        </w:rPr>
        <w:t xml:space="preserve"> zmianę POB</w:t>
      </w:r>
      <w:r w:rsidR="005453DB" w:rsidRPr="00EB2E7B">
        <w:rPr>
          <w:rFonts w:asciiTheme="minorHAnsi" w:hAnsiTheme="minorHAnsi" w:cstheme="minorHAnsi"/>
          <w:sz w:val="20"/>
          <w:szCs w:val="20"/>
          <w:vertAlign w:val="subscript"/>
        </w:rPr>
        <w:t>Z</w:t>
      </w:r>
      <w:r w:rsidR="002C4EFF" w:rsidRPr="00EB2E7B">
        <w:rPr>
          <w:rFonts w:asciiTheme="minorHAnsi" w:hAnsiTheme="minorHAnsi" w:cstheme="minorHAnsi"/>
          <w:sz w:val="20"/>
          <w:szCs w:val="20"/>
        </w:rPr>
        <w:t xml:space="preserve"> przez sprzedawcę, URD</w:t>
      </w:r>
      <w:r w:rsidR="002C4EFF" w:rsidRPr="00EB2E7B">
        <w:rPr>
          <w:rFonts w:asciiTheme="minorHAnsi" w:hAnsiTheme="minorHAnsi" w:cstheme="minorHAnsi"/>
          <w:sz w:val="20"/>
          <w:szCs w:val="20"/>
          <w:vertAlign w:val="subscript"/>
        </w:rPr>
        <w:t>W</w:t>
      </w:r>
      <w:r w:rsidR="002C4EFF" w:rsidRPr="00EB2E7B">
        <w:rPr>
          <w:rFonts w:asciiTheme="minorHAnsi" w:hAnsiTheme="minorHAnsi" w:cstheme="minorHAnsi"/>
          <w:sz w:val="20"/>
          <w:szCs w:val="20"/>
        </w:rPr>
        <w:t xml:space="preserve"> lub URD</w:t>
      </w:r>
      <w:r w:rsidR="002C4EFF" w:rsidRPr="00EB2E7B">
        <w:rPr>
          <w:rFonts w:asciiTheme="minorHAnsi" w:hAnsiTheme="minorHAnsi" w:cstheme="minorHAnsi"/>
          <w:sz w:val="20"/>
          <w:szCs w:val="20"/>
          <w:vertAlign w:val="subscript"/>
        </w:rPr>
        <w:t>ME</w:t>
      </w:r>
      <w:r w:rsidR="002C4EFF" w:rsidRPr="00EB2E7B">
        <w:rPr>
          <w:rFonts w:asciiTheme="minorHAnsi" w:hAnsiTheme="minorHAnsi" w:cstheme="minorHAnsi"/>
          <w:sz w:val="20"/>
          <w:szCs w:val="20"/>
        </w:rPr>
        <w:t xml:space="preserve">, </w:t>
      </w:r>
    </w:p>
    <w:p w14:paraId="11565A61" w14:textId="56FF282D" w:rsidR="00CE5BC7" w:rsidRPr="00EB2E7B" w:rsidRDefault="002C4EFF" w:rsidP="00360E38">
      <w:pPr>
        <w:pStyle w:val="Akapitzlist"/>
        <w:numPr>
          <w:ilvl w:val="3"/>
          <w:numId w:val="277"/>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przekazuje OSP</w:t>
      </w:r>
      <w:r w:rsidR="007C26F2" w:rsidRPr="00EB2E7B">
        <w:rPr>
          <w:rFonts w:asciiTheme="minorHAnsi" w:hAnsiTheme="minorHAnsi" w:cstheme="minorHAnsi"/>
          <w:sz w:val="20"/>
          <w:szCs w:val="20"/>
        </w:rPr>
        <w:t xml:space="preserve"> za pośrednictwem </w:t>
      </w:r>
      <w:proofErr w:type="spellStart"/>
      <w:r w:rsidR="007C26F2"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dane konfiguracyjne niezbędne do monitorowania poprawności konfiguracji RB, </w:t>
      </w:r>
    </w:p>
    <w:p w14:paraId="5C50F93D" w14:textId="21C3543B" w:rsidR="002C4EFF" w:rsidRPr="00EB2E7B" w:rsidRDefault="002C4EFF" w:rsidP="00360E38">
      <w:pPr>
        <w:pStyle w:val="Akapitzlist"/>
        <w:numPr>
          <w:ilvl w:val="3"/>
          <w:numId w:val="277"/>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rozpatruje reklamacje POB</w:t>
      </w:r>
      <w:r w:rsidR="005453DB"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dotyczące danych konfiguracyjnych i wprowadza niezbędne korekty, zgodnie z zapisami rozdziału </w:t>
      </w:r>
      <w:r w:rsidR="00E97B64" w:rsidRPr="00EB2E7B">
        <w:rPr>
          <w:rFonts w:asciiTheme="minorHAnsi" w:hAnsiTheme="minorHAnsi" w:cstheme="minorHAnsi"/>
          <w:sz w:val="20"/>
          <w:szCs w:val="20"/>
        </w:rPr>
        <w:fldChar w:fldCharType="begin"/>
      </w:r>
      <w:r w:rsidR="00E97B64" w:rsidRPr="00EB2E7B">
        <w:rPr>
          <w:rFonts w:asciiTheme="minorHAnsi" w:hAnsiTheme="minorHAnsi" w:cstheme="minorHAnsi"/>
          <w:sz w:val="20"/>
          <w:szCs w:val="20"/>
        </w:rPr>
        <w:instrText xml:space="preserve"> REF _Ref189081093 \w \h  \* MERGEFORMAT </w:instrText>
      </w:r>
      <w:r w:rsidR="00E97B64" w:rsidRPr="00EB2E7B">
        <w:rPr>
          <w:rFonts w:asciiTheme="minorHAnsi" w:hAnsiTheme="minorHAnsi" w:cstheme="minorHAnsi"/>
          <w:sz w:val="20"/>
          <w:szCs w:val="20"/>
        </w:rPr>
      </w:r>
      <w:r w:rsidR="00E97B6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w:t>
      </w:r>
      <w:r w:rsidR="00E97B64"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C86238C" w14:textId="4DAF620A" w:rsidR="0099109F" w:rsidRPr="00EB2E7B" w:rsidRDefault="0099109F"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 nadaje kody identyfikacyjne podmiotom, których urządzenia są przyłączone do jego sieci dystrybucyjnej nie objętej obszarem rynku bilansującego. Dla podmiotu, którego urządzenia są przyłączone do sieci przesyłowej lub dystrybucyjnej objętej obszarem rynku bilansującego stosowany jest kod identyfikacyjny nadany przez OSP</w:t>
      </w:r>
      <w:r w:rsidR="003C7088" w:rsidRPr="00EB2E7B">
        <w:rPr>
          <w:rFonts w:asciiTheme="minorHAnsi" w:hAnsiTheme="minorHAnsi" w:cstheme="minorHAnsi"/>
          <w:sz w:val="20"/>
          <w:szCs w:val="20"/>
        </w:rPr>
        <w:t>.</w:t>
      </w:r>
    </w:p>
    <w:p w14:paraId="61EE3BA9" w14:textId="477876D4" w:rsidR="0099109F" w:rsidRPr="00EB2E7B" w:rsidRDefault="00AC060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 nadaje kody identyfikacyjne Sprzedawcom realizującym umowy sprzedaży energii lub umowy kompleksowe w sieci ACPRO oraz URD przyłączonym do sieci dystrybucyjnej zarządzanej przez ACPRO. Kody te zawierają czteroliterowe oznaczenie podmiotu, oznaczenie ACPRO, literę charakteryzującą podmiot oraz numer podmiotu i mają następującą postać:</w:t>
      </w:r>
    </w:p>
    <w:p w14:paraId="1FD105D5" w14:textId="1E3159DE" w:rsidR="00846FBF" w:rsidRPr="00EB2E7B" w:rsidRDefault="00846FBF" w:rsidP="00D12778">
      <w:pPr>
        <w:numPr>
          <w:ilvl w:val="1"/>
          <w:numId w:val="423"/>
        </w:numPr>
        <w:spacing w:after="87" w:line="270"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URD typu wytwórca - </w:t>
      </w:r>
      <w:proofErr w:type="spellStart"/>
      <w:r w:rsidRPr="00EB2E7B">
        <w:rPr>
          <w:rFonts w:asciiTheme="minorHAnsi" w:hAnsiTheme="minorHAnsi" w:cstheme="minorHAnsi"/>
          <w:sz w:val="20"/>
          <w:szCs w:val="20"/>
        </w:rPr>
        <w:t>AAAA_KodOSD_W_XXXX</w:t>
      </w:r>
      <w:proofErr w:type="spellEnd"/>
      <w:r w:rsidRPr="00EB2E7B">
        <w:rPr>
          <w:rFonts w:asciiTheme="minorHAnsi" w:hAnsiTheme="minorHAnsi" w:cstheme="minorHAnsi"/>
          <w:sz w:val="20"/>
          <w:szCs w:val="20"/>
        </w:rPr>
        <w:t xml:space="preserve">, gdzie: </w:t>
      </w:r>
    </w:p>
    <w:p w14:paraId="30D97B9F" w14:textId="6E223154" w:rsidR="00846FBF" w:rsidRPr="00EB2E7B" w:rsidRDefault="00846FBF" w:rsidP="003C7088">
      <w:pPr>
        <w:spacing w:after="110" w:line="249" w:lineRule="auto"/>
        <w:ind w:left="1701" w:firstLine="0"/>
        <w:jc w:val="left"/>
        <w:rPr>
          <w:rFonts w:asciiTheme="minorHAnsi" w:hAnsiTheme="minorHAnsi" w:cstheme="minorHAnsi"/>
          <w:sz w:val="20"/>
          <w:szCs w:val="20"/>
        </w:rPr>
      </w:pPr>
      <w:r w:rsidRPr="00EB2E7B">
        <w:rPr>
          <w:rFonts w:asciiTheme="minorHAnsi" w:hAnsiTheme="minorHAnsi" w:cstheme="minorHAnsi"/>
          <w:sz w:val="20"/>
          <w:szCs w:val="20"/>
        </w:rPr>
        <w:t>...(</w:t>
      </w:r>
      <w:r w:rsidRPr="00EB2E7B">
        <w:rPr>
          <w:rFonts w:asciiTheme="minorHAnsi" w:hAnsiTheme="minorHAnsi" w:cstheme="minorHAnsi"/>
          <w:i/>
          <w:sz w:val="20"/>
          <w:szCs w:val="20"/>
        </w:rPr>
        <w:t>oznaczenie literowe podmiotu</w:t>
      </w:r>
      <w:r w:rsidRPr="00EB2E7B">
        <w:rPr>
          <w:rFonts w:asciiTheme="minorHAnsi" w:hAnsiTheme="minorHAnsi" w:cstheme="minorHAnsi"/>
          <w:sz w:val="20"/>
          <w:szCs w:val="20"/>
        </w:rPr>
        <w:t>)..._...(</w:t>
      </w:r>
      <w:r w:rsidRPr="00EB2E7B">
        <w:rPr>
          <w:rFonts w:asciiTheme="minorHAnsi" w:hAnsiTheme="minorHAnsi" w:cstheme="minorHAnsi"/>
          <w:i/>
          <w:sz w:val="20"/>
          <w:szCs w:val="20"/>
        </w:rPr>
        <w:t>oznaczenie kodowe</w:t>
      </w:r>
      <w:r w:rsidR="00222C05" w:rsidRPr="00EB2E7B">
        <w:rPr>
          <w:rFonts w:asciiTheme="minorHAnsi" w:hAnsiTheme="minorHAnsi" w:cstheme="minorHAnsi"/>
          <w:i/>
          <w:sz w:val="20"/>
          <w:szCs w:val="20"/>
        </w:rPr>
        <w:t xml:space="preserve"> </w:t>
      </w:r>
      <w:r w:rsidRPr="00EB2E7B">
        <w:rPr>
          <w:rFonts w:asciiTheme="minorHAnsi" w:hAnsiTheme="minorHAnsi" w:cstheme="minorHAnsi"/>
          <w:i/>
          <w:sz w:val="20"/>
          <w:szCs w:val="20"/>
        </w:rPr>
        <w:t>ACPRO</w:t>
      </w:r>
      <w:r w:rsidRPr="00EB2E7B">
        <w:rPr>
          <w:rFonts w:asciiTheme="minorHAnsi" w:hAnsiTheme="minorHAnsi" w:cstheme="minorHAnsi"/>
          <w:sz w:val="20"/>
          <w:szCs w:val="20"/>
        </w:rPr>
        <w:t>)..._W_...</w:t>
      </w:r>
      <w:r w:rsidR="00441992" w:rsidRPr="00EB2E7B">
        <w:rPr>
          <w:rFonts w:asciiTheme="minorHAnsi" w:hAnsiTheme="minorHAnsi" w:cstheme="minorHAnsi"/>
          <w:sz w:val="20"/>
          <w:szCs w:val="20"/>
        </w:rPr>
        <w:t xml:space="preserve"> </w:t>
      </w:r>
      <w:r w:rsidRPr="00EB2E7B">
        <w:rPr>
          <w:rFonts w:asciiTheme="minorHAnsi" w:hAnsiTheme="minorHAnsi" w:cstheme="minorHAnsi"/>
          <w:sz w:val="20"/>
          <w:szCs w:val="20"/>
        </w:rPr>
        <w:t>(</w:t>
      </w:r>
      <w:r w:rsidRPr="00EB2E7B">
        <w:rPr>
          <w:rFonts w:asciiTheme="minorHAnsi" w:hAnsiTheme="minorHAnsi" w:cstheme="minorHAnsi"/>
          <w:i/>
          <w:sz w:val="20"/>
          <w:szCs w:val="20"/>
        </w:rPr>
        <w:t>numer podmiotu</w:t>
      </w:r>
      <w:r w:rsidRPr="00EB2E7B">
        <w:rPr>
          <w:rFonts w:asciiTheme="minorHAnsi" w:hAnsiTheme="minorHAnsi" w:cstheme="minorHAnsi"/>
          <w:sz w:val="20"/>
          <w:szCs w:val="20"/>
        </w:rPr>
        <w:t xml:space="preserve">)..., </w:t>
      </w:r>
    </w:p>
    <w:p w14:paraId="226841EE" w14:textId="77777777" w:rsidR="00846FBF" w:rsidRPr="00EB2E7B" w:rsidRDefault="00846FBF" w:rsidP="003C7088">
      <w:pPr>
        <w:numPr>
          <w:ilvl w:val="1"/>
          <w:numId w:val="423"/>
        </w:numPr>
        <w:spacing w:after="87" w:line="270"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Sprzedawca - </w:t>
      </w:r>
      <w:proofErr w:type="spellStart"/>
      <w:r w:rsidRPr="00EB2E7B">
        <w:rPr>
          <w:rFonts w:asciiTheme="minorHAnsi" w:hAnsiTheme="minorHAnsi" w:cstheme="minorHAnsi"/>
          <w:sz w:val="20"/>
          <w:szCs w:val="20"/>
        </w:rPr>
        <w:t>AAAA_KodOSD_P_XXXX</w:t>
      </w:r>
      <w:proofErr w:type="spellEnd"/>
      <w:r w:rsidRPr="00EB2E7B">
        <w:rPr>
          <w:rFonts w:asciiTheme="minorHAnsi" w:hAnsiTheme="minorHAnsi" w:cstheme="minorHAnsi"/>
          <w:sz w:val="20"/>
          <w:szCs w:val="20"/>
        </w:rPr>
        <w:t xml:space="preserve">, gdzie: </w:t>
      </w:r>
    </w:p>
    <w:p w14:paraId="14B5FFA9" w14:textId="328BE1AA" w:rsidR="00846FBF" w:rsidRPr="00EB2E7B" w:rsidRDefault="00846FBF" w:rsidP="003C7088">
      <w:pPr>
        <w:spacing w:after="163" w:line="249" w:lineRule="auto"/>
        <w:ind w:left="1701" w:firstLine="0"/>
        <w:jc w:val="left"/>
        <w:rPr>
          <w:rFonts w:asciiTheme="minorHAnsi" w:hAnsiTheme="minorHAnsi" w:cstheme="minorHAnsi"/>
          <w:sz w:val="20"/>
          <w:szCs w:val="20"/>
        </w:rPr>
      </w:pPr>
      <w:r w:rsidRPr="00EB2E7B">
        <w:rPr>
          <w:rFonts w:asciiTheme="minorHAnsi" w:hAnsiTheme="minorHAnsi" w:cstheme="minorHAnsi"/>
          <w:sz w:val="20"/>
          <w:szCs w:val="20"/>
        </w:rPr>
        <w:t>...(</w:t>
      </w:r>
      <w:r w:rsidRPr="00EB2E7B">
        <w:rPr>
          <w:rFonts w:asciiTheme="minorHAnsi" w:hAnsiTheme="minorHAnsi" w:cstheme="minorHAnsi"/>
          <w:i/>
          <w:sz w:val="20"/>
          <w:szCs w:val="20"/>
        </w:rPr>
        <w:t>oznaczenie literowe podmiotu</w:t>
      </w:r>
      <w:r w:rsidRPr="00EB2E7B">
        <w:rPr>
          <w:rFonts w:asciiTheme="minorHAnsi" w:hAnsiTheme="minorHAnsi" w:cstheme="minorHAnsi"/>
          <w:sz w:val="20"/>
          <w:szCs w:val="20"/>
        </w:rPr>
        <w:t>)..._...(</w:t>
      </w:r>
      <w:r w:rsidRPr="00EB2E7B">
        <w:rPr>
          <w:rFonts w:asciiTheme="minorHAnsi" w:hAnsiTheme="minorHAnsi" w:cstheme="minorHAnsi"/>
          <w:i/>
          <w:sz w:val="20"/>
          <w:szCs w:val="20"/>
        </w:rPr>
        <w:t>oznaczenie kodowe ACPRO</w:t>
      </w:r>
      <w:r w:rsidRPr="00EB2E7B">
        <w:rPr>
          <w:rFonts w:asciiTheme="minorHAnsi" w:hAnsiTheme="minorHAnsi" w:cstheme="minorHAnsi"/>
          <w:sz w:val="20"/>
          <w:szCs w:val="20"/>
        </w:rPr>
        <w:t>)..._P_...</w:t>
      </w:r>
      <w:r w:rsidR="00924196" w:rsidRPr="00EB2E7B">
        <w:rPr>
          <w:rFonts w:asciiTheme="minorHAnsi" w:hAnsiTheme="minorHAnsi" w:cstheme="minorHAnsi"/>
          <w:sz w:val="20"/>
          <w:szCs w:val="20"/>
        </w:rPr>
        <w:t xml:space="preserve"> </w:t>
      </w:r>
      <w:r w:rsidRPr="00EB2E7B">
        <w:rPr>
          <w:rFonts w:asciiTheme="minorHAnsi" w:hAnsiTheme="minorHAnsi" w:cstheme="minorHAnsi"/>
          <w:sz w:val="20"/>
          <w:szCs w:val="20"/>
        </w:rPr>
        <w:t>(</w:t>
      </w:r>
      <w:r w:rsidRPr="00EB2E7B">
        <w:rPr>
          <w:rFonts w:asciiTheme="minorHAnsi" w:hAnsiTheme="minorHAnsi" w:cstheme="minorHAnsi"/>
          <w:i/>
          <w:sz w:val="20"/>
          <w:szCs w:val="20"/>
        </w:rPr>
        <w:t>numer podmiotu</w:t>
      </w:r>
      <w:r w:rsidRPr="00EB2E7B">
        <w:rPr>
          <w:rFonts w:asciiTheme="minorHAnsi" w:hAnsiTheme="minorHAnsi" w:cstheme="minorHAnsi"/>
          <w:sz w:val="20"/>
          <w:szCs w:val="20"/>
        </w:rPr>
        <w:t xml:space="preserve">)..., </w:t>
      </w:r>
    </w:p>
    <w:p w14:paraId="52ADFFAE" w14:textId="01C89C70" w:rsidR="003C7088" w:rsidRPr="00EB2E7B" w:rsidRDefault="003C7088" w:rsidP="004854C6">
      <w:pPr>
        <w:pStyle w:val="ANagwek3"/>
        <w:rPr>
          <w:rFonts w:asciiTheme="minorHAnsi" w:hAnsiTheme="minorHAnsi" w:cstheme="minorHAnsi"/>
          <w:sz w:val="20"/>
          <w:szCs w:val="20"/>
        </w:rPr>
      </w:pPr>
      <w:r w:rsidRPr="00EB2E7B">
        <w:rPr>
          <w:rFonts w:asciiTheme="minorHAnsi" w:hAnsiTheme="minorHAnsi" w:cstheme="minorHAnsi"/>
          <w:sz w:val="20"/>
          <w:szCs w:val="20"/>
        </w:rPr>
        <w:t>Nadanie kodów identyfikacyjnych oraz potwierdzenie faktu rejestracji odbywa się poprzez zawarcie umowy o świadczenie usług dystrybucji</w:t>
      </w:r>
      <w:r w:rsidR="003911C4" w:rsidRPr="00EB2E7B">
        <w:rPr>
          <w:rFonts w:asciiTheme="minorHAnsi" w:hAnsiTheme="minorHAnsi" w:cstheme="minorHAnsi"/>
          <w:sz w:val="20"/>
          <w:szCs w:val="20"/>
        </w:rPr>
        <w:t xml:space="preserve"> lub</w:t>
      </w:r>
      <w:r w:rsidRPr="00EB2E7B">
        <w:rPr>
          <w:rFonts w:asciiTheme="minorHAnsi" w:hAnsiTheme="minorHAnsi" w:cstheme="minorHAnsi"/>
          <w:sz w:val="20"/>
          <w:szCs w:val="20"/>
        </w:rPr>
        <w:t xml:space="preserve"> GUD pomiędzy podmiotem oraz ACPRO.</w:t>
      </w:r>
    </w:p>
    <w:p w14:paraId="42E57906" w14:textId="35DD747F" w:rsidR="003C7088" w:rsidRPr="00EB2E7B" w:rsidRDefault="003C7088"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 nadaje kody identyfikacyjne obiektom rynku detalicznego wykorzystywanym w procesie wyznaczania danych pomiarowo-rozliczeniowych.</w:t>
      </w:r>
    </w:p>
    <w:p w14:paraId="2D3574F5" w14:textId="7651FB07" w:rsidR="004047E4" w:rsidRPr="00EB2E7B" w:rsidRDefault="003C7088" w:rsidP="004854C6">
      <w:pPr>
        <w:pStyle w:val="ANagwek3"/>
        <w:rPr>
          <w:rFonts w:asciiTheme="minorHAnsi" w:hAnsiTheme="minorHAnsi" w:cstheme="minorHAnsi"/>
          <w:sz w:val="20"/>
          <w:szCs w:val="20"/>
        </w:rPr>
      </w:pPr>
      <w:r w:rsidRPr="00EB2E7B">
        <w:rPr>
          <w:rFonts w:asciiTheme="minorHAnsi" w:hAnsiTheme="minorHAnsi" w:cstheme="minorHAnsi"/>
          <w:sz w:val="20"/>
          <w:szCs w:val="20"/>
        </w:rPr>
        <w:t>Kody Miejsc Dostarczania Energii Rynku Detalicznego (MDD) mają następującą postać: MDD_AAAA_XX_XXXX (16 znaków), gdzie:</w:t>
      </w:r>
    </w:p>
    <w:p w14:paraId="5E3DDFE5" w14:textId="77777777" w:rsidR="000F20AB" w:rsidRPr="00EB2E7B" w:rsidRDefault="00846FBF" w:rsidP="00846FBF">
      <w:pPr>
        <w:spacing w:after="161" w:line="249" w:lineRule="auto"/>
        <w:ind w:left="1051" w:firstLine="70"/>
        <w:jc w:val="left"/>
        <w:rPr>
          <w:rFonts w:asciiTheme="minorHAnsi" w:hAnsiTheme="minorHAnsi" w:cstheme="minorHAnsi"/>
          <w:i/>
          <w:sz w:val="20"/>
          <w:szCs w:val="20"/>
        </w:rPr>
      </w:pPr>
      <w:r w:rsidRPr="00EB2E7B">
        <w:rPr>
          <w:rFonts w:asciiTheme="minorHAnsi" w:hAnsiTheme="minorHAnsi" w:cstheme="minorHAnsi"/>
          <w:i/>
          <w:sz w:val="20"/>
          <w:szCs w:val="20"/>
        </w:rPr>
        <w:t>(rodzaj obiektu)_(oznaczenie literowe podmiotu)_(kod typu URD w MDD)</w:t>
      </w:r>
      <w:r w:rsidR="000F20AB" w:rsidRPr="00EB2E7B">
        <w:rPr>
          <w:rFonts w:asciiTheme="minorHAnsi" w:hAnsiTheme="minorHAnsi" w:cstheme="minorHAnsi"/>
          <w:i/>
          <w:sz w:val="20"/>
          <w:szCs w:val="20"/>
        </w:rPr>
        <w:t xml:space="preserve"> </w:t>
      </w:r>
      <w:r w:rsidRPr="00EB2E7B">
        <w:rPr>
          <w:rFonts w:asciiTheme="minorHAnsi" w:hAnsiTheme="minorHAnsi" w:cstheme="minorHAnsi"/>
          <w:i/>
          <w:sz w:val="20"/>
          <w:szCs w:val="20"/>
        </w:rPr>
        <w:t>(numer obiektu),</w:t>
      </w:r>
    </w:p>
    <w:p w14:paraId="7E1E966D" w14:textId="77777777" w:rsidR="00FE0AE0" w:rsidRPr="00EB2E7B" w:rsidRDefault="00FE0AE0"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Kody Punktów Dostarczania Energii (PDE) mają następującą postać: </w:t>
      </w:r>
      <w:proofErr w:type="spellStart"/>
      <w:r w:rsidRPr="00EB2E7B">
        <w:rPr>
          <w:rFonts w:asciiTheme="minorHAnsi" w:hAnsiTheme="minorHAnsi" w:cstheme="minorHAnsi"/>
          <w:sz w:val="20"/>
          <w:szCs w:val="20"/>
        </w:rPr>
        <w:t>PDE_AAAA_KodOSD_A_XXXXXXX</w:t>
      </w:r>
      <w:proofErr w:type="spellEnd"/>
      <w:r w:rsidRPr="00EB2E7B">
        <w:rPr>
          <w:rFonts w:asciiTheme="minorHAnsi" w:hAnsiTheme="minorHAnsi" w:cstheme="minorHAnsi"/>
          <w:sz w:val="20"/>
          <w:szCs w:val="20"/>
        </w:rPr>
        <w:t xml:space="preserve">, gdzie: </w:t>
      </w:r>
    </w:p>
    <w:p w14:paraId="14C94DF6" w14:textId="56591540" w:rsidR="00361816" w:rsidRPr="00EB2E7B" w:rsidRDefault="00FE0AE0" w:rsidP="67E0C8B9">
      <w:pPr>
        <w:ind w:left="1134"/>
        <w:rPr>
          <w:rFonts w:asciiTheme="minorHAnsi" w:hAnsiTheme="minorHAnsi" w:cstheme="minorHAnsi"/>
          <w:i/>
          <w:iCs/>
          <w:sz w:val="20"/>
          <w:szCs w:val="20"/>
        </w:rPr>
      </w:pPr>
      <w:r w:rsidRPr="00EB2E7B">
        <w:rPr>
          <w:rFonts w:asciiTheme="minorHAnsi" w:hAnsiTheme="minorHAnsi" w:cstheme="minorHAnsi"/>
          <w:i/>
          <w:iCs/>
          <w:sz w:val="20"/>
          <w:szCs w:val="20"/>
        </w:rPr>
        <w:lastRenderedPageBreak/>
        <w:t>(rodzaj obiektu)_(oznaczenie literowe podmiotu)_(kod ACPRO)_(typ URD)_(numer podmiotu),</w:t>
      </w:r>
    </w:p>
    <w:p w14:paraId="3FAE1F42" w14:textId="68A43071" w:rsidR="001A3304" w:rsidRPr="00EB2E7B" w:rsidRDefault="00CF4725" w:rsidP="004854C6">
      <w:pPr>
        <w:pStyle w:val="ANagwek3"/>
        <w:rPr>
          <w:rFonts w:asciiTheme="minorHAnsi" w:hAnsiTheme="minorHAnsi" w:cstheme="minorHAnsi"/>
          <w:sz w:val="20"/>
          <w:szCs w:val="20"/>
        </w:rPr>
      </w:pPr>
      <w:r w:rsidRPr="00EB2E7B">
        <w:rPr>
          <w:rFonts w:asciiTheme="minorHAnsi" w:hAnsiTheme="minorHAnsi" w:cstheme="minorHAnsi"/>
          <w:sz w:val="20"/>
          <w:szCs w:val="20"/>
        </w:rPr>
        <w:t>Kod PPE jest oznaczeniem w formacie zgodnym z międzynarodowym standardem GS1/GSRN, o następującej postaci:</w:t>
      </w:r>
    </w:p>
    <w:p w14:paraId="03C4F732" w14:textId="19B46B1A" w:rsidR="00846FBF" w:rsidRPr="00EB2E7B" w:rsidRDefault="00846FBF" w:rsidP="00846FBF">
      <w:pPr>
        <w:spacing w:after="109" w:line="249" w:lineRule="auto"/>
        <w:ind w:left="1232" w:right="238"/>
        <w:jc w:val="center"/>
        <w:rPr>
          <w:rFonts w:asciiTheme="minorHAnsi" w:hAnsiTheme="minorHAnsi" w:cstheme="minorHAnsi"/>
          <w:sz w:val="20"/>
          <w:szCs w:val="20"/>
        </w:rPr>
      </w:pPr>
      <w:r w:rsidRPr="00EB2E7B">
        <w:rPr>
          <w:rFonts w:asciiTheme="minorHAnsi" w:hAnsiTheme="minorHAnsi" w:cstheme="minorHAnsi"/>
          <w:sz w:val="20"/>
          <w:szCs w:val="20"/>
        </w:rPr>
        <w:t>(590)(J1J2J3J4</w:t>
      </w:r>
      <w:r w:rsidR="00D05F62" w:rsidRPr="00EB2E7B">
        <w:rPr>
          <w:rFonts w:asciiTheme="minorHAnsi" w:hAnsiTheme="minorHAnsi" w:cstheme="minorHAnsi"/>
          <w:sz w:val="20"/>
          <w:szCs w:val="20"/>
        </w:rPr>
        <w:t>J5J6J7</w:t>
      </w:r>
      <w:r w:rsidRPr="00EB2E7B">
        <w:rPr>
          <w:rFonts w:asciiTheme="minorHAnsi" w:hAnsiTheme="minorHAnsi" w:cstheme="minorHAnsi"/>
          <w:sz w:val="20"/>
          <w:szCs w:val="20"/>
        </w:rPr>
        <w:t>)(S1S2S3S4S5S6S7</w:t>
      </w:r>
      <w:r w:rsidR="00747239" w:rsidRPr="00EB2E7B">
        <w:rPr>
          <w:rFonts w:asciiTheme="minorHAnsi" w:hAnsiTheme="minorHAnsi" w:cstheme="minorHAnsi"/>
          <w:sz w:val="20"/>
          <w:szCs w:val="20"/>
        </w:rPr>
        <w:t>)</w:t>
      </w:r>
      <w:r w:rsidRPr="00EB2E7B">
        <w:rPr>
          <w:rFonts w:asciiTheme="minorHAnsi" w:hAnsiTheme="minorHAnsi" w:cstheme="minorHAnsi"/>
          <w:sz w:val="20"/>
          <w:szCs w:val="20"/>
        </w:rPr>
        <w:t xml:space="preserve">(K) </w:t>
      </w:r>
    </w:p>
    <w:p w14:paraId="364BD929" w14:textId="77777777" w:rsidR="00846FBF" w:rsidRPr="00EB2E7B" w:rsidRDefault="00846FBF" w:rsidP="00846FBF">
      <w:pPr>
        <w:spacing w:after="98"/>
        <w:ind w:left="1143" w:right="11"/>
        <w:rPr>
          <w:rFonts w:asciiTheme="minorHAnsi" w:hAnsiTheme="minorHAnsi" w:cstheme="minorHAnsi"/>
          <w:sz w:val="20"/>
          <w:szCs w:val="20"/>
        </w:rPr>
      </w:pPr>
      <w:r w:rsidRPr="00EB2E7B">
        <w:rPr>
          <w:rFonts w:asciiTheme="minorHAnsi" w:hAnsiTheme="minorHAnsi" w:cstheme="minorHAnsi"/>
          <w:sz w:val="20"/>
          <w:szCs w:val="20"/>
        </w:rPr>
        <w:t xml:space="preserve">gdzie: </w:t>
      </w:r>
    </w:p>
    <w:p w14:paraId="16D6C2E1" w14:textId="77777777" w:rsidR="00846FBF" w:rsidRPr="00EB2E7B" w:rsidRDefault="00846FBF" w:rsidP="00846FBF">
      <w:pPr>
        <w:spacing w:after="135" w:line="251" w:lineRule="auto"/>
        <w:ind w:left="1493" w:right="667" w:firstLine="0"/>
        <w:rPr>
          <w:rFonts w:asciiTheme="minorHAnsi" w:hAnsiTheme="minorHAnsi" w:cstheme="minorHAnsi"/>
          <w:sz w:val="20"/>
          <w:szCs w:val="20"/>
        </w:rPr>
      </w:pPr>
      <w:r w:rsidRPr="00EB2E7B">
        <w:rPr>
          <w:rFonts w:asciiTheme="minorHAnsi" w:hAnsiTheme="minorHAnsi" w:cstheme="minorHAnsi"/>
          <w:i/>
          <w:sz w:val="20"/>
          <w:szCs w:val="20"/>
        </w:rPr>
        <w:t xml:space="preserve">590 - prefiks dla polskiej organizacji GS1 </w:t>
      </w:r>
    </w:p>
    <w:p w14:paraId="47FEE211" w14:textId="7D77BDF5" w:rsidR="00846FBF" w:rsidRPr="00EB2E7B" w:rsidRDefault="00846FBF" w:rsidP="67E0C8B9">
      <w:pPr>
        <w:spacing w:after="86" w:line="251" w:lineRule="auto"/>
        <w:ind w:left="1493" w:right="667" w:firstLine="0"/>
        <w:rPr>
          <w:rFonts w:asciiTheme="minorHAnsi" w:hAnsiTheme="minorHAnsi" w:cstheme="minorHAnsi"/>
          <w:i/>
          <w:iCs/>
          <w:sz w:val="20"/>
          <w:szCs w:val="20"/>
        </w:rPr>
      </w:pPr>
      <w:r w:rsidRPr="00EB2E7B">
        <w:rPr>
          <w:rFonts w:asciiTheme="minorHAnsi" w:hAnsiTheme="minorHAnsi" w:cstheme="minorHAnsi"/>
          <w:i/>
          <w:iCs/>
          <w:sz w:val="20"/>
          <w:szCs w:val="20"/>
        </w:rPr>
        <w:t>J1J2J3J4</w:t>
      </w:r>
      <w:r w:rsidR="00747239" w:rsidRPr="00EB2E7B">
        <w:rPr>
          <w:rFonts w:asciiTheme="minorHAnsi" w:hAnsiTheme="minorHAnsi" w:cstheme="minorHAnsi"/>
          <w:i/>
          <w:iCs/>
          <w:sz w:val="20"/>
          <w:szCs w:val="20"/>
        </w:rPr>
        <w:t>J5J6J7</w:t>
      </w:r>
      <w:r w:rsidRPr="00EB2E7B">
        <w:rPr>
          <w:rFonts w:asciiTheme="minorHAnsi" w:hAnsiTheme="minorHAnsi" w:cstheme="minorHAnsi"/>
          <w:i/>
          <w:iCs/>
          <w:sz w:val="20"/>
          <w:szCs w:val="20"/>
        </w:rPr>
        <w:t xml:space="preserve"> - numer </w:t>
      </w:r>
      <w:r w:rsidR="00BC28B3" w:rsidRPr="00EB2E7B">
        <w:rPr>
          <w:rFonts w:asciiTheme="minorHAnsi" w:hAnsiTheme="minorHAnsi" w:cstheme="minorHAnsi"/>
          <w:i/>
          <w:iCs/>
          <w:sz w:val="20"/>
          <w:szCs w:val="20"/>
        </w:rPr>
        <w:t>ACPRO</w:t>
      </w:r>
      <w:r w:rsidRPr="00EB2E7B">
        <w:rPr>
          <w:rFonts w:asciiTheme="minorHAnsi" w:hAnsiTheme="minorHAnsi" w:cstheme="minorHAnsi"/>
          <w:i/>
          <w:iCs/>
          <w:sz w:val="20"/>
          <w:szCs w:val="20"/>
        </w:rPr>
        <w:t xml:space="preserve"> nadawany przez polską organizację GS1 </w:t>
      </w:r>
    </w:p>
    <w:p w14:paraId="0423077D" w14:textId="3EB2D2B1" w:rsidR="00BC28B3" w:rsidRPr="00EB2E7B" w:rsidRDefault="00846FBF" w:rsidP="00BC28B3">
      <w:pPr>
        <w:spacing w:after="137" w:line="251" w:lineRule="auto"/>
        <w:ind w:left="1493" w:firstLine="0"/>
        <w:rPr>
          <w:rFonts w:asciiTheme="minorHAnsi" w:hAnsiTheme="minorHAnsi" w:cstheme="minorHAnsi"/>
          <w:sz w:val="20"/>
          <w:szCs w:val="20"/>
        </w:rPr>
      </w:pPr>
      <w:r w:rsidRPr="00EB2E7B">
        <w:rPr>
          <w:rFonts w:asciiTheme="minorHAnsi" w:hAnsiTheme="minorHAnsi" w:cstheme="minorHAnsi"/>
          <w:i/>
          <w:sz w:val="20"/>
          <w:szCs w:val="20"/>
        </w:rPr>
        <w:t xml:space="preserve">S1S2S3S4S5S6S7 - unikalna liczba nadana przez </w:t>
      </w:r>
      <w:r w:rsidR="00663799" w:rsidRPr="00EB2E7B">
        <w:rPr>
          <w:rFonts w:asciiTheme="minorHAnsi" w:hAnsiTheme="minorHAnsi" w:cstheme="minorHAnsi"/>
          <w:i/>
          <w:sz w:val="20"/>
          <w:szCs w:val="20"/>
        </w:rPr>
        <w:t>ACPRO</w:t>
      </w:r>
      <w:r w:rsidRPr="00EB2E7B">
        <w:rPr>
          <w:rFonts w:asciiTheme="minorHAnsi" w:hAnsiTheme="minorHAnsi" w:cstheme="minorHAnsi"/>
          <w:i/>
          <w:sz w:val="20"/>
          <w:szCs w:val="20"/>
        </w:rPr>
        <w:t xml:space="preserve"> dla danego PPE </w:t>
      </w:r>
    </w:p>
    <w:p w14:paraId="0BABC0A7" w14:textId="3009D451" w:rsidR="00846FBF" w:rsidRPr="00EB2E7B" w:rsidRDefault="00846FBF" w:rsidP="002D05F1">
      <w:pPr>
        <w:spacing w:after="137" w:line="251" w:lineRule="auto"/>
        <w:ind w:left="1493" w:firstLine="0"/>
        <w:rPr>
          <w:rFonts w:asciiTheme="minorHAnsi" w:hAnsiTheme="minorHAnsi" w:cstheme="minorHAnsi"/>
          <w:sz w:val="20"/>
          <w:szCs w:val="20"/>
        </w:rPr>
      </w:pPr>
      <w:r w:rsidRPr="00EB2E7B">
        <w:rPr>
          <w:rFonts w:asciiTheme="minorHAnsi" w:hAnsiTheme="minorHAnsi" w:cstheme="minorHAnsi"/>
          <w:i/>
          <w:sz w:val="20"/>
          <w:szCs w:val="20"/>
        </w:rPr>
        <w:t xml:space="preserve">K - cyfra kontrolna wyznaczona zgodnie z algorytmem publikowanym przez organizację GS1. </w:t>
      </w:r>
    </w:p>
    <w:p w14:paraId="570A8528" w14:textId="02ED6550" w:rsidR="00846FBF" w:rsidRPr="00EB2E7B" w:rsidRDefault="00846FBF" w:rsidP="00846FBF">
      <w:pPr>
        <w:spacing w:after="82"/>
        <w:ind w:left="1143" w:right="11"/>
        <w:rPr>
          <w:rFonts w:asciiTheme="minorHAnsi" w:hAnsiTheme="minorHAnsi" w:cstheme="minorHAnsi"/>
          <w:sz w:val="20"/>
          <w:szCs w:val="20"/>
        </w:rPr>
      </w:pPr>
      <w:r w:rsidRPr="00EB2E7B">
        <w:rPr>
          <w:rFonts w:asciiTheme="minorHAnsi" w:hAnsiTheme="minorHAnsi" w:cstheme="minorHAnsi"/>
          <w:sz w:val="20"/>
          <w:szCs w:val="20"/>
        </w:rPr>
        <w:t xml:space="preserve">W przypadku drukowania kodu PPE w postaci kodu kreskowego będzie on poprzedzony prefiksem 8018, oznaczającym, że kod ten dotyczy PPE.  </w:t>
      </w:r>
    </w:p>
    <w:p w14:paraId="1CBFEEFD" w14:textId="6F3E3F38" w:rsidR="00394C83" w:rsidRPr="00EB2E7B" w:rsidRDefault="00394C83" w:rsidP="004854C6">
      <w:pPr>
        <w:pStyle w:val="ANagwek3"/>
        <w:rPr>
          <w:rFonts w:asciiTheme="minorHAnsi" w:hAnsiTheme="minorHAnsi" w:cstheme="minorHAnsi"/>
          <w:sz w:val="20"/>
          <w:szCs w:val="20"/>
        </w:rPr>
      </w:pPr>
      <w:r w:rsidRPr="00EB2E7B">
        <w:rPr>
          <w:rFonts w:asciiTheme="minorHAnsi" w:hAnsiTheme="minorHAnsi" w:cstheme="minorHAnsi"/>
          <w:sz w:val="20"/>
          <w:szCs w:val="20"/>
        </w:rPr>
        <w:t>Punkt Poboru Energii (PPE) jest oznaczany przez kod PPE, przy czym dany kod identyfikuje tylko jeden PPE.</w:t>
      </w:r>
    </w:p>
    <w:p w14:paraId="4724AE0A" w14:textId="36CDD0EF" w:rsidR="002D05F1" w:rsidRPr="00EB2E7B" w:rsidRDefault="00BD1027" w:rsidP="004854C6">
      <w:pPr>
        <w:pStyle w:val="ANagwek3"/>
        <w:rPr>
          <w:rFonts w:asciiTheme="minorHAnsi" w:hAnsiTheme="minorHAnsi" w:cstheme="minorHAnsi"/>
          <w:sz w:val="20"/>
          <w:szCs w:val="20"/>
        </w:rPr>
      </w:pPr>
      <w:bookmarkStart w:id="458" w:name="_Ref190096487"/>
      <w:r w:rsidRPr="00EB2E7B">
        <w:rPr>
          <w:rFonts w:asciiTheme="minorHAnsi" w:hAnsiTheme="minorHAnsi" w:cstheme="minorHAnsi"/>
          <w:sz w:val="20"/>
          <w:szCs w:val="20"/>
        </w:rPr>
        <w:t>Kod PPE jest nadawany przez</w:t>
      </w:r>
      <w:r w:rsidR="002D05F1"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po zgłoszeniu gotowości przyłącza/instalacji do przyłączenia do sieci </w:t>
      </w:r>
      <w:r w:rsidR="002D05F1"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a przed zawarciem przez URD umowy na postawie której ma być dostarczana energia elektryczna do PPE</w:t>
      </w:r>
      <w:r w:rsidR="002D05F1" w:rsidRPr="00EB2E7B">
        <w:rPr>
          <w:rFonts w:asciiTheme="minorHAnsi" w:hAnsiTheme="minorHAnsi" w:cstheme="minorHAnsi"/>
          <w:sz w:val="20"/>
          <w:szCs w:val="20"/>
        </w:rPr>
        <w:t>.</w:t>
      </w:r>
      <w:bookmarkEnd w:id="458"/>
    </w:p>
    <w:p w14:paraId="71E5C1F9" w14:textId="544B4DB7" w:rsidR="00846FBF" w:rsidRPr="00EB2E7B" w:rsidRDefault="00846FBF"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Zasady nadawania kodów PPE: </w:t>
      </w:r>
    </w:p>
    <w:p w14:paraId="164F5AA1" w14:textId="77777777" w:rsidR="00846FBF" w:rsidRPr="00EB2E7B" w:rsidRDefault="00846FBF" w:rsidP="00CE1578">
      <w:pPr>
        <w:numPr>
          <w:ilvl w:val="0"/>
          <w:numId w:val="427"/>
        </w:numPr>
        <w:spacing w:after="133" w:line="270"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wszystkie punkty poboru energii otrzymują kod PPE, </w:t>
      </w:r>
    </w:p>
    <w:p w14:paraId="7D549EFD" w14:textId="0AB7119A" w:rsidR="00846FBF" w:rsidRPr="00EB2E7B" w:rsidRDefault="00846FBF" w:rsidP="00472992">
      <w:pPr>
        <w:numPr>
          <w:ilvl w:val="0"/>
          <w:numId w:val="427"/>
        </w:numPr>
        <w:spacing w:after="120" w:line="264"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kod PPE jest nadawany w momencie, o którym mowa w pkt. </w:t>
      </w:r>
      <w:r w:rsidR="00AF71D1" w:rsidRPr="00EB2E7B">
        <w:rPr>
          <w:rFonts w:asciiTheme="minorHAnsi" w:hAnsiTheme="minorHAnsi" w:cstheme="minorHAnsi"/>
          <w:sz w:val="20"/>
          <w:szCs w:val="20"/>
        </w:rPr>
        <w:fldChar w:fldCharType="begin"/>
      </w:r>
      <w:r w:rsidR="00AF71D1" w:rsidRPr="00EB2E7B">
        <w:rPr>
          <w:rFonts w:asciiTheme="minorHAnsi" w:hAnsiTheme="minorHAnsi" w:cstheme="minorHAnsi"/>
          <w:sz w:val="20"/>
          <w:szCs w:val="20"/>
        </w:rPr>
        <w:instrText xml:space="preserve"> REF _Ref190096487 \w \h  \* MERGEFORMAT </w:instrText>
      </w:r>
      <w:r w:rsidR="00AF71D1" w:rsidRPr="00EB2E7B">
        <w:rPr>
          <w:rFonts w:asciiTheme="minorHAnsi" w:hAnsiTheme="minorHAnsi" w:cstheme="minorHAnsi"/>
          <w:sz w:val="20"/>
          <w:szCs w:val="20"/>
        </w:rPr>
      </w:r>
      <w:r w:rsidR="00AF71D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A.5.11</w:t>
      </w:r>
      <w:r w:rsidR="00AF71D1" w:rsidRPr="00EB2E7B">
        <w:rPr>
          <w:rFonts w:asciiTheme="minorHAnsi" w:hAnsiTheme="minorHAnsi" w:cstheme="minorHAnsi"/>
          <w:sz w:val="20"/>
          <w:szCs w:val="20"/>
        </w:rPr>
        <w:fldChar w:fldCharType="end"/>
      </w:r>
      <w:r w:rsidR="006956F2" w:rsidRPr="00EB2E7B">
        <w:rPr>
          <w:rFonts w:asciiTheme="minorHAnsi" w:hAnsiTheme="minorHAnsi" w:cstheme="minorHAnsi"/>
          <w:sz w:val="20"/>
          <w:szCs w:val="20"/>
        </w:rPr>
        <w:t>,</w:t>
      </w:r>
    </w:p>
    <w:p w14:paraId="32643B35" w14:textId="406EB334" w:rsidR="00846FBF" w:rsidRPr="00EB2E7B" w:rsidRDefault="00846FBF" w:rsidP="00472992">
      <w:pPr>
        <w:numPr>
          <w:ilvl w:val="0"/>
          <w:numId w:val="427"/>
        </w:numPr>
        <w:spacing w:after="120" w:line="264"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kod PPE nadany zostaje dla każdego punktu na obszarze działania </w:t>
      </w:r>
      <w:r w:rsidR="0064739E"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którym następuje: </w:t>
      </w:r>
    </w:p>
    <w:p w14:paraId="4A403E4A" w14:textId="28BE9F6B" w:rsidR="00846FBF" w:rsidRPr="00EB2E7B" w:rsidRDefault="00846FBF" w:rsidP="00472992">
      <w:pPr>
        <w:numPr>
          <w:ilvl w:val="1"/>
          <w:numId w:val="427"/>
        </w:numPr>
        <w:spacing w:after="120" w:line="264" w:lineRule="auto"/>
        <w:ind w:left="2268" w:right="78" w:hanging="567"/>
        <w:rPr>
          <w:rFonts w:asciiTheme="minorHAnsi" w:hAnsiTheme="minorHAnsi" w:cstheme="minorHAnsi"/>
          <w:sz w:val="20"/>
          <w:szCs w:val="20"/>
        </w:rPr>
      </w:pPr>
      <w:r w:rsidRPr="00EB2E7B">
        <w:rPr>
          <w:rFonts w:asciiTheme="minorHAnsi" w:hAnsiTheme="minorHAnsi" w:cstheme="minorHAnsi"/>
          <w:sz w:val="20"/>
          <w:szCs w:val="20"/>
        </w:rPr>
        <w:t xml:space="preserve">„pobieranie”, „wprowadzenie” lub „pobieranie i wprowadzanie” produktu energetycznego (energii, usług dystrybucyjnych, mocy, itp.) do lub z sieci </w:t>
      </w:r>
      <w:r w:rsidR="00183A8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przez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lub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oraz  </w:t>
      </w:r>
    </w:p>
    <w:p w14:paraId="1DA27527" w14:textId="77777777" w:rsidR="00846FBF" w:rsidRPr="00EB2E7B" w:rsidRDefault="00846FBF" w:rsidP="00472992">
      <w:pPr>
        <w:numPr>
          <w:ilvl w:val="1"/>
          <w:numId w:val="427"/>
        </w:numPr>
        <w:spacing w:after="120" w:line="264" w:lineRule="auto"/>
        <w:ind w:left="2268" w:right="78" w:hanging="567"/>
        <w:rPr>
          <w:rFonts w:asciiTheme="minorHAnsi" w:hAnsiTheme="minorHAnsi" w:cstheme="minorHAnsi"/>
          <w:sz w:val="20"/>
          <w:szCs w:val="20"/>
        </w:rPr>
      </w:pPr>
      <w:r w:rsidRPr="00EB2E7B">
        <w:rPr>
          <w:rFonts w:asciiTheme="minorHAnsi" w:hAnsiTheme="minorHAnsi" w:cstheme="minorHAnsi"/>
          <w:sz w:val="20"/>
          <w:szCs w:val="20"/>
        </w:rPr>
        <w:t xml:space="preserve">pomiar tej wielkości przez układ pomiarowo-rozliczeniowy lub jej wyznaczanie na potrzeby rozliczeń. </w:t>
      </w:r>
    </w:p>
    <w:p w14:paraId="314AA96D" w14:textId="21B48D1E" w:rsidR="00846FBF" w:rsidRPr="00EB2E7B" w:rsidRDefault="00846FBF" w:rsidP="00472992">
      <w:pPr>
        <w:numPr>
          <w:ilvl w:val="0"/>
          <w:numId w:val="427"/>
        </w:numPr>
        <w:snapToGrid w:val="0"/>
        <w:spacing w:after="120" w:line="264"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dla punktów w sieci lub instalacji wewnętrznej URD, które są podrzędne do PPE, </w:t>
      </w:r>
      <w:r w:rsidR="00183A8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nie nadaje odrębnego kodu PPE, </w:t>
      </w:r>
    </w:p>
    <w:p w14:paraId="185280F5" w14:textId="77777777" w:rsidR="00846FBF" w:rsidRPr="00EB2E7B" w:rsidRDefault="00846FBF" w:rsidP="00472992">
      <w:pPr>
        <w:numPr>
          <w:ilvl w:val="0"/>
          <w:numId w:val="427"/>
        </w:numPr>
        <w:snapToGrid w:val="0"/>
        <w:spacing w:after="120" w:line="264"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likwidacja kodu PPE następuje tylko w przypadku fizycznej likwidacji przyłącza lub przyłączonego obiektu. Likwidacja kodu PPE oznacza zmianę fizycznego statusu PPE na „odłączony”, a tym samym nie ma powtórnego nadawania tych samych kodów PPE,  </w:t>
      </w:r>
    </w:p>
    <w:p w14:paraId="564E3D3D" w14:textId="78437E31" w:rsidR="00846FBF" w:rsidRPr="00EB2E7B" w:rsidRDefault="00846FBF" w:rsidP="00472992">
      <w:pPr>
        <w:numPr>
          <w:ilvl w:val="0"/>
          <w:numId w:val="427"/>
        </w:numPr>
        <w:snapToGrid w:val="0"/>
        <w:spacing w:after="120" w:line="264"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zmiany własnościowe obiektu, zmiana adresu (np. nazwy ulicy), nadanie adresu dla punktu identyfikowanego np. nr działki, zmiana parametrów technicznych PPE</w:t>
      </w:r>
      <w:r w:rsidR="005D2CD7"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(np. zmiana mocy przyłączeniowej), itp. nie powodują zmiany kodu PPE, </w:t>
      </w:r>
    </w:p>
    <w:p w14:paraId="12902D12" w14:textId="77777777" w:rsidR="00846FBF" w:rsidRPr="00EB2E7B" w:rsidRDefault="00846FBF" w:rsidP="00472992">
      <w:pPr>
        <w:numPr>
          <w:ilvl w:val="0"/>
          <w:numId w:val="427"/>
        </w:numPr>
        <w:snapToGrid w:val="0"/>
        <w:spacing w:after="120" w:line="264"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zmiana typu umowy sieciowej (umowa kompleksowa, umowa o świadczenie usług dystrybucji) lub jej przeniesienie do innego systemu informatycznego nie powodują zmiany kodu PPE, </w:t>
      </w:r>
    </w:p>
    <w:p w14:paraId="401DD232" w14:textId="77777777" w:rsidR="00846FBF" w:rsidRPr="00EB2E7B" w:rsidRDefault="00846FBF" w:rsidP="00472992">
      <w:pPr>
        <w:numPr>
          <w:ilvl w:val="0"/>
          <w:numId w:val="427"/>
        </w:numPr>
        <w:snapToGrid w:val="0"/>
        <w:spacing w:after="120" w:line="264"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dla punktu w sieci, w którym występuje pobieranie i wprowadzenie, nadaje się jeden kod PPE.  </w:t>
      </w:r>
    </w:p>
    <w:p w14:paraId="5315AD04" w14:textId="52D1BEB7" w:rsidR="00846FBF" w:rsidRPr="00EB2E7B" w:rsidRDefault="00846FBF"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Przypadki szczególne dotyczące nadawania kodów PPE: </w:t>
      </w:r>
    </w:p>
    <w:p w14:paraId="019B5F07" w14:textId="77777777" w:rsidR="00846FBF" w:rsidRPr="00EB2E7B" w:rsidRDefault="00846FBF" w:rsidP="00B16F49">
      <w:pPr>
        <w:numPr>
          <w:ilvl w:val="0"/>
          <w:numId w:val="428"/>
        </w:numPr>
        <w:spacing w:after="120" w:line="266"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jeżeli w układzie pomiarowo-rozliczeniowym występują oprócz podstawowego układu pomiarowo-rozliczeniowego inne układy (np. rezerwowy) to wszystkie mają jeden, ten sam kod PPE, </w:t>
      </w:r>
    </w:p>
    <w:p w14:paraId="40994A96" w14:textId="77777777" w:rsidR="00846FBF" w:rsidRPr="00EB2E7B" w:rsidRDefault="00846FBF" w:rsidP="00B16F49">
      <w:pPr>
        <w:numPr>
          <w:ilvl w:val="0"/>
          <w:numId w:val="428"/>
        </w:numPr>
        <w:spacing w:after="120" w:line="266"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jeżeli w skład układu pomiarowo-rozliczeniowego wchodzą liczniki energii czynnej, biernej indukcyjnej, biernej pojemnościowej, itp. to wszystkie mają jeden, ten sam kod PPE, </w:t>
      </w:r>
    </w:p>
    <w:p w14:paraId="53CF3B6D" w14:textId="77777777" w:rsidR="00846FBF" w:rsidRPr="00EB2E7B" w:rsidRDefault="00846FBF" w:rsidP="00B16F49">
      <w:pPr>
        <w:numPr>
          <w:ilvl w:val="0"/>
          <w:numId w:val="428"/>
        </w:numPr>
        <w:spacing w:after="120" w:line="266"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w budynkach wielolokalowych każdy PPE, posiada odrębny kod PPE, </w:t>
      </w:r>
    </w:p>
    <w:p w14:paraId="5027AF38" w14:textId="77777777" w:rsidR="00846FBF" w:rsidRPr="00EB2E7B" w:rsidRDefault="00846FBF" w:rsidP="00B16F49">
      <w:pPr>
        <w:numPr>
          <w:ilvl w:val="0"/>
          <w:numId w:val="428"/>
        </w:numPr>
        <w:spacing w:after="120" w:line="266"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w przypadku, gdy pod jednym adresem pocztowym istnieje kilka punktów poboru energii, to każdy z nich posiada odrębny kod PPE, </w:t>
      </w:r>
    </w:p>
    <w:p w14:paraId="089976D9" w14:textId="489BF000" w:rsidR="00FD6EED" w:rsidRPr="00EB2E7B" w:rsidRDefault="00846FBF" w:rsidP="00B16F49">
      <w:pPr>
        <w:numPr>
          <w:ilvl w:val="0"/>
          <w:numId w:val="428"/>
        </w:numPr>
        <w:spacing w:after="120" w:line="266" w:lineRule="auto"/>
        <w:ind w:left="1701" w:right="11" w:hanging="567"/>
        <w:rPr>
          <w:rFonts w:asciiTheme="minorHAnsi" w:hAnsiTheme="minorHAnsi" w:cstheme="minorHAnsi"/>
          <w:sz w:val="20"/>
          <w:szCs w:val="20"/>
        </w:rPr>
      </w:pPr>
      <w:r w:rsidRPr="00EB2E7B">
        <w:rPr>
          <w:rFonts w:asciiTheme="minorHAnsi" w:hAnsiTheme="minorHAnsi" w:cstheme="minorHAnsi"/>
          <w:sz w:val="20"/>
          <w:szCs w:val="20"/>
        </w:rPr>
        <w:t xml:space="preserve">kod PPE nie ulega zmianie w przypadku przyłączenia do sieci mikroinstalacji. </w:t>
      </w:r>
    </w:p>
    <w:p w14:paraId="3673F6CD"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PPI może przyjmować następujący charakter:</w:t>
      </w:r>
    </w:p>
    <w:p w14:paraId="19CFF79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magazyn energii elektrycznej będący częścią instalacji odbiorczej lub wytwórczej,</w:t>
      </w:r>
    </w:p>
    <w:p w14:paraId="5A59D230"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punkt ładowania będący częścią instalacji odbiorczej,</w:t>
      </w:r>
    </w:p>
    <w:p w14:paraId="42E16B1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źródło wytwarzania będące częścią instalacji odbiorczej,</w:t>
      </w:r>
    </w:p>
    <w:p w14:paraId="5CD5D0D4"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4) zaciski generatora,</w:t>
      </w:r>
    </w:p>
    <w:p w14:paraId="11B94ACE"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5) biorący udział w wyznaczeniu energii elektrycznej w miejscu dostarczania.</w:t>
      </w:r>
    </w:p>
    <w:p w14:paraId="0C7788FF"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PPE może przyjmować następujący charakter:</w:t>
      </w:r>
    </w:p>
    <w:p w14:paraId="60CF4F0A"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odbiorczy,</w:t>
      </w:r>
    </w:p>
    <w:p w14:paraId="0C181983"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wytwórczy,</w:t>
      </w:r>
    </w:p>
    <w:p w14:paraId="1397792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3) odbiorczy z </w:t>
      </w:r>
      <w:proofErr w:type="spellStart"/>
      <w:r>
        <w:rPr>
          <w:rFonts w:asciiTheme="minorHAnsi" w:hAnsiTheme="minorHAnsi" w:cstheme="minorHAnsi"/>
          <w:sz w:val="20"/>
          <w:szCs w:val="20"/>
        </w:rPr>
        <w:t>mikroinstalacją</w:t>
      </w:r>
      <w:proofErr w:type="spellEnd"/>
      <w:r>
        <w:rPr>
          <w:rFonts w:asciiTheme="minorHAnsi" w:hAnsiTheme="minorHAnsi" w:cstheme="minorHAnsi"/>
          <w:sz w:val="20"/>
          <w:szCs w:val="20"/>
        </w:rPr>
        <w:t>,</w:t>
      </w:r>
    </w:p>
    <w:p w14:paraId="350EA5DB"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4) odbiorczy z możliwością zwrotu energii do sieci,</w:t>
      </w:r>
    </w:p>
    <w:p w14:paraId="0DFD8540"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5) magazyn energii elektrycznej,</w:t>
      </w:r>
    </w:p>
    <w:p w14:paraId="51ED8EB0"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6) OSDn.</w:t>
      </w:r>
    </w:p>
    <w:p w14:paraId="2187D6BF"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Obiekt pomiarowy umożliwia grupowanie PP o równorzędnych relacjach. Specyfiką Obiektów pomiarowych jest posiadanie wyodrębnionych atrybutów obiektu, które są niezależne od atrybutów charakterystyk PP, a składają się na Obiekt pomiarowy.</w:t>
      </w:r>
    </w:p>
    <w:p w14:paraId="73462AEF"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Powiązanie ze sobą PP w postaci Obiektów pomiarowych:</w:t>
      </w:r>
    </w:p>
    <w:p w14:paraId="65EA12F3"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umożliwia realizowanie wybranych procesów rynku energii lub wymiany informacji rynku energii dla całego obiektu,</w:t>
      </w:r>
    </w:p>
    <w:p w14:paraId="5FE5E57E"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nie wpływa na możliwość realizowania procesów rynku energii lub wymiany informacji rynku energii indywidualnie dla każdego z PP objętych Obiektem pomiarowym,</w:t>
      </w:r>
    </w:p>
    <w:p w14:paraId="11A1FE39"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pozwala na przypisywanie do Obiektu pomiarowego danych niezależnych od atrybutów charakterystyki PP wchodzących w skład tego obiektu.</w:t>
      </w:r>
    </w:p>
    <w:p w14:paraId="0EA29652"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lastRenderedPageBreak/>
        <w:t xml:space="preserve">od dnia przystąpienia ACPRO do CSIRE — tworzenie, zmiana lub likwidacja Obiektów pomiarowych oraz zapytanie o Obiekt pomiarowy odbywa się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w:t>
      </w:r>
    </w:p>
    <w:p w14:paraId="0E6D7174"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Tworzenie, zmiana lub likwidacja Obiektów pomiarowych jest dokonywane przez ACPRO z własnej inicjatywy lub na wniosek właściwego podmiotu.</w:t>
      </w:r>
    </w:p>
    <w:p w14:paraId="17A62252"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Jeden PP może być przypisany do wielu Obiektów pomiarowych.</w:t>
      </w:r>
    </w:p>
    <w:p w14:paraId="5B7F5996"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wyróżnia się następujące typy Obiektów pomiarowych zarządzanych przez ACPRO:</w:t>
      </w:r>
    </w:p>
    <w:p w14:paraId="3F9CB95E"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wspólnota energetyczna (klastry albo spółdzielnie energetyczne),</w:t>
      </w:r>
    </w:p>
    <w:p w14:paraId="7A8017DF"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2) wspólnota </w:t>
      </w:r>
      <w:proofErr w:type="spellStart"/>
      <w:r>
        <w:rPr>
          <w:rFonts w:asciiTheme="minorHAnsi" w:hAnsiTheme="minorHAnsi" w:cstheme="minorHAnsi"/>
          <w:sz w:val="20"/>
          <w:szCs w:val="20"/>
        </w:rPr>
        <w:t>prosumencka</w:t>
      </w:r>
      <w:proofErr w:type="spellEnd"/>
      <w:r>
        <w:rPr>
          <w:rFonts w:asciiTheme="minorHAnsi" w:hAnsiTheme="minorHAnsi" w:cstheme="minorHAnsi"/>
          <w:sz w:val="20"/>
          <w:szCs w:val="20"/>
        </w:rPr>
        <w:t xml:space="preserve"> (Prosument zbiorowy oraz Prosument wirtualny),</w:t>
      </w:r>
    </w:p>
    <w:p w14:paraId="1F20C637"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obiekt sumujący.</w:t>
      </w:r>
    </w:p>
    <w:p w14:paraId="4760FDBA"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każdy Obiekt pomiarowy posiada jednoznacznie identyfikujący dany obiekt kod nadawany przez ACPRO. Identyfikator Obiektu pomiarowego posiada następującą strukturę: (KOD_EIC)(OP)(S1S2S3S4S5S6S7S8), gdzie:</w:t>
      </w:r>
    </w:p>
    <w:p w14:paraId="6EF2A8ED" w14:textId="77777777" w:rsidR="00E954A0" w:rsidRPr="00974F23" w:rsidRDefault="00047FD1">
      <w:pPr>
        <w:ind w:left="1701" w:hanging="567"/>
        <w:rPr>
          <w:rFonts w:asciiTheme="minorHAnsi" w:hAnsiTheme="minorHAnsi" w:cstheme="minorHAnsi"/>
          <w:sz w:val="20"/>
          <w:szCs w:val="20"/>
          <w:lang w:val="en-US"/>
        </w:rPr>
      </w:pPr>
      <w:r w:rsidRPr="00974F23">
        <w:rPr>
          <w:rFonts w:asciiTheme="minorHAnsi" w:hAnsiTheme="minorHAnsi" w:cstheme="minorHAnsi"/>
          <w:sz w:val="20"/>
          <w:szCs w:val="20"/>
          <w:lang w:val="en-US"/>
        </w:rPr>
        <w:t xml:space="preserve">1) </w:t>
      </w:r>
      <w:proofErr w:type="spellStart"/>
      <w:r w:rsidRPr="00974F23">
        <w:rPr>
          <w:rFonts w:asciiTheme="minorHAnsi" w:hAnsiTheme="minorHAnsi" w:cstheme="minorHAnsi"/>
          <w:sz w:val="20"/>
          <w:szCs w:val="20"/>
          <w:lang w:val="en-US"/>
        </w:rPr>
        <w:t>kod</w:t>
      </w:r>
      <w:proofErr w:type="spellEnd"/>
      <w:r w:rsidRPr="00974F23">
        <w:rPr>
          <w:rFonts w:asciiTheme="minorHAnsi" w:hAnsiTheme="minorHAnsi" w:cstheme="minorHAnsi"/>
          <w:sz w:val="20"/>
          <w:szCs w:val="20"/>
          <w:lang w:val="en-US"/>
        </w:rPr>
        <w:t xml:space="preserve"> EIC – </w:t>
      </w:r>
      <w:proofErr w:type="spellStart"/>
      <w:r w:rsidRPr="00974F23">
        <w:rPr>
          <w:rFonts w:asciiTheme="minorHAnsi" w:hAnsiTheme="minorHAnsi" w:cstheme="minorHAnsi"/>
          <w:sz w:val="20"/>
          <w:szCs w:val="20"/>
          <w:lang w:val="en-US"/>
        </w:rPr>
        <w:t>kod</w:t>
      </w:r>
      <w:proofErr w:type="spellEnd"/>
      <w:r w:rsidRPr="00974F23">
        <w:rPr>
          <w:rFonts w:asciiTheme="minorHAnsi" w:hAnsiTheme="minorHAnsi" w:cstheme="minorHAnsi"/>
          <w:sz w:val="20"/>
          <w:szCs w:val="20"/>
          <w:lang w:val="en-US"/>
        </w:rPr>
        <w:t xml:space="preserve"> EIC ACPRO,</w:t>
      </w:r>
    </w:p>
    <w:p w14:paraId="6E477C90"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OP – dwa znaki określające typ przedmiotu identyfikacji, dla Obiektów pomiarowych zawsze w postaci OP,</w:t>
      </w:r>
    </w:p>
    <w:p w14:paraId="478292E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S1-S8 – unikalne dopełnienie kodu nadane przez ACPRO.</w:t>
      </w:r>
    </w:p>
    <w:p w14:paraId="42AB0B70" w14:textId="6F188E32" w:rsidR="000D154C" w:rsidRPr="00EB2E7B" w:rsidRDefault="000D154C" w:rsidP="0024189C">
      <w:pPr>
        <w:pStyle w:val="ANagwek2"/>
        <w:rPr>
          <w:rFonts w:asciiTheme="minorHAnsi" w:hAnsiTheme="minorHAnsi" w:cstheme="minorHAnsi"/>
          <w:sz w:val="20"/>
          <w:szCs w:val="20"/>
        </w:rPr>
      </w:pPr>
      <w:bookmarkStart w:id="459" w:name="_Ref190095183"/>
      <w:bookmarkStart w:id="460" w:name="_Toc239333373"/>
      <w:r w:rsidRPr="00EB2E7B">
        <w:rPr>
          <w:rFonts w:asciiTheme="minorHAnsi" w:hAnsiTheme="minorHAnsi" w:cstheme="minorHAnsi"/>
          <w:sz w:val="20"/>
          <w:szCs w:val="20"/>
        </w:rPr>
        <w:t>ZASADY WSPÓŁPRACY OSD</w:t>
      </w:r>
      <w:r w:rsidR="00291A07" w:rsidRPr="00EB2E7B">
        <w:rPr>
          <w:rFonts w:asciiTheme="minorHAnsi" w:hAnsiTheme="minorHAnsi" w:cstheme="minorHAnsi"/>
          <w:sz w:val="20"/>
          <w:szCs w:val="20"/>
        </w:rPr>
        <w:t>n</w:t>
      </w:r>
      <w:r w:rsidRPr="00EB2E7B">
        <w:rPr>
          <w:rFonts w:asciiTheme="minorHAnsi" w:hAnsiTheme="minorHAnsi" w:cstheme="minorHAnsi"/>
          <w:sz w:val="20"/>
          <w:szCs w:val="20"/>
        </w:rPr>
        <w:t xml:space="preserve">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ZAKRESIE PRZEKAZYWANIA DANYCH POMIAROWYCH</w:t>
      </w:r>
      <w:bookmarkEnd w:id="459"/>
      <w:bookmarkEnd w:id="460"/>
    </w:p>
    <w:p w14:paraId="0109D1BC" w14:textId="7449C96C" w:rsidR="00473957" w:rsidRPr="00EB2E7B" w:rsidRDefault="000B4A84" w:rsidP="004854C6">
      <w:pPr>
        <w:pStyle w:val="ANagwek3"/>
        <w:rPr>
          <w:rFonts w:asciiTheme="minorHAnsi" w:hAnsiTheme="minorHAnsi" w:cstheme="minorHAnsi"/>
          <w:sz w:val="20"/>
          <w:szCs w:val="20"/>
        </w:rPr>
      </w:pPr>
      <w:bookmarkStart w:id="461" w:name="_Ref99042198"/>
      <w:r w:rsidRPr="00EB2E7B">
        <w:rPr>
          <w:rFonts w:asciiTheme="minorHAnsi" w:hAnsiTheme="minorHAnsi" w:cstheme="minorHAnsi"/>
          <w:sz w:val="20"/>
          <w:szCs w:val="20"/>
        </w:rPr>
        <w:t>Podstawą realizacji współpracy OSD</w:t>
      </w:r>
      <w:r w:rsidR="00291A07" w:rsidRPr="00EB2E7B">
        <w:rPr>
          <w:rFonts w:asciiTheme="minorHAnsi" w:hAnsiTheme="minorHAnsi" w:cstheme="minorHAnsi"/>
          <w:sz w:val="20"/>
          <w:szCs w:val="20"/>
        </w:rPr>
        <w:t>n</w:t>
      </w:r>
      <w:r w:rsidR="00584904"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zakresie przekazywania danych pomiarowych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dla potrzeb:</w:t>
      </w:r>
      <w:bookmarkEnd w:id="461"/>
    </w:p>
    <w:p w14:paraId="7ECFE708" w14:textId="75D9A9FB" w:rsidR="000B4A84" w:rsidRPr="00EB2E7B" w:rsidRDefault="000B4A84" w:rsidP="00E2615F">
      <w:pPr>
        <w:pStyle w:val="aprzed"/>
        <w:numPr>
          <w:ilvl w:val="0"/>
          <w:numId w:val="144"/>
        </w:numPr>
        <w:ind w:left="1701" w:hanging="566"/>
        <w:rPr>
          <w:rFonts w:asciiTheme="minorHAnsi" w:hAnsiTheme="minorHAnsi" w:cstheme="minorHAnsi"/>
          <w:sz w:val="20"/>
          <w:szCs w:val="20"/>
        </w:rPr>
      </w:pPr>
      <w:r w:rsidRPr="00EB2E7B">
        <w:rPr>
          <w:rFonts w:asciiTheme="minorHAnsi" w:hAnsiTheme="minorHAnsi" w:cstheme="minorHAnsi"/>
          <w:sz w:val="20"/>
          <w:szCs w:val="20"/>
        </w:rPr>
        <w:t>rozliczeń na RB,</w:t>
      </w:r>
    </w:p>
    <w:p w14:paraId="3A5B09BB" w14:textId="3A0E6D45" w:rsidR="000B4A84" w:rsidRPr="00EB2E7B" w:rsidRDefault="00CC6847" w:rsidP="00E2615F">
      <w:pPr>
        <w:pStyle w:val="aprzed"/>
        <w:numPr>
          <w:ilvl w:val="0"/>
          <w:numId w:val="144"/>
        </w:numPr>
        <w:ind w:left="1701" w:hanging="566"/>
        <w:rPr>
          <w:rFonts w:asciiTheme="minorHAnsi" w:hAnsiTheme="minorHAnsi" w:cstheme="minorHAnsi"/>
          <w:sz w:val="20"/>
          <w:szCs w:val="20"/>
        </w:rPr>
      </w:pPr>
      <w:r w:rsidRPr="00EB2E7B">
        <w:rPr>
          <w:rFonts w:asciiTheme="minorHAnsi" w:hAnsiTheme="minorHAnsi" w:cstheme="minorHAnsi"/>
          <w:sz w:val="20"/>
          <w:szCs w:val="20"/>
        </w:rPr>
        <w:t>usług IRP i usług IZP</w:t>
      </w:r>
      <w:r w:rsidR="000B4A84" w:rsidRPr="00EB2E7B">
        <w:rPr>
          <w:rFonts w:asciiTheme="minorHAnsi" w:hAnsiTheme="minorHAnsi" w:cstheme="minorHAnsi"/>
          <w:sz w:val="20"/>
          <w:szCs w:val="20"/>
        </w:rPr>
        <w:t>,</w:t>
      </w:r>
    </w:p>
    <w:p w14:paraId="5B5571CC" w14:textId="2F2D46B7" w:rsidR="000B4A84" w:rsidRPr="00EB2E7B" w:rsidRDefault="000B4A84" w:rsidP="00E2615F">
      <w:pPr>
        <w:pStyle w:val="aprzed"/>
        <w:numPr>
          <w:ilvl w:val="0"/>
          <w:numId w:val="144"/>
        </w:numPr>
        <w:ind w:left="1701" w:hanging="566"/>
        <w:rPr>
          <w:rFonts w:asciiTheme="minorHAnsi" w:hAnsiTheme="minorHAnsi" w:cstheme="minorHAnsi"/>
          <w:sz w:val="20"/>
          <w:szCs w:val="20"/>
        </w:rPr>
      </w:pPr>
      <w:r w:rsidRPr="00EB2E7B">
        <w:rPr>
          <w:rFonts w:asciiTheme="minorHAnsi" w:hAnsiTheme="minorHAnsi" w:cstheme="minorHAnsi"/>
          <w:sz w:val="20"/>
          <w:szCs w:val="20"/>
        </w:rPr>
        <w:t>rynku mocy</w:t>
      </w:r>
      <w:r w:rsidR="009C789B" w:rsidRPr="00EB2E7B">
        <w:rPr>
          <w:rFonts w:asciiTheme="minorHAnsi" w:hAnsiTheme="minorHAnsi" w:cstheme="minorHAnsi"/>
          <w:sz w:val="20"/>
          <w:szCs w:val="20"/>
        </w:rPr>
        <w:t>,</w:t>
      </w:r>
    </w:p>
    <w:p w14:paraId="1FEED24A" w14:textId="6B47A1D9" w:rsidR="009C789B" w:rsidRPr="00EB2E7B" w:rsidRDefault="009C789B" w:rsidP="00E2615F">
      <w:pPr>
        <w:pStyle w:val="aprzed"/>
        <w:numPr>
          <w:ilvl w:val="0"/>
          <w:numId w:val="144"/>
        </w:numPr>
        <w:ind w:left="1701" w:hanging="566"/>
        <w:rPr>
          <w:rFonts w:asciiTheme="minorHAnsi" w:hAnsiTheme="minorHAnsi" w:cstheme="minorHAnsi"/>
          <w:sz w:val="20"/>
          <w:szCs w:val="20"/>
        </w:rPr>
      </w:pPr>
      <w:r w:rsidRPr="00EB2E7B">
        <w:rPr>
          <w:rFonts w:asciiTheme="minorHAnsi" w:hAnsiTheme="minorHAnsi" w:cstheme="minorHAnsi"/>
          <w:sz w:val="20"/>
          <w:szCs w:val="20"/>
        </w:rPr>
        <w:t>rozliczeń usług bilansujących,</w:t>
      </w:r>
    </w:p>
    <w:p w14:paraId="6DF57032" w14:textId="0ED69631" w:rsidR="00215489" w:rsidRPr="00EB2E7B" w:rsidRDefault="00215489"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jest zawarcie stosownej umowy lub umów przez OSD</w:t>
      </w:r>
      <w:r w:rsidR="00FB1517" w:rsidRPr="00EB2E7B">
        <w:rPr>
          <w:rFonts w:asciiTheme="minorHAnsi" w:hAnsiTheme="minorHAnsi" w:cstheme="minorHAnsi"/>
          <w:sz w:val="20"/>
          <w:szCs w:val="20"/>
        </w:rPr>
        <w:t>n</w:t>
      </w:r>
      <w:r w:rsidRPr="00EB2E7B">
        <w:rPr>
          <w:rFonts w:asciiTheme="minorHAnsi" w:hAnsiTheme="minorHAnsi" w:cstheme="minorHAnsi"/>
          <w:sz w:val="20"/>
          <w:szCs w:val="20"/>
        </w:rPr>
        <w:t xml:space="preserve">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70BFCD98" w14:textId="05D8D174" w:rsidR="00473957" w:rsidRPr="00EB2E7B" w:rsidRDefault="00DC2B7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W celu umożliwienia realizacji wymiany danych pomiarowych, o których mowa w</w:t>
      </w:r>
      <w:r w:rsidR="00347834" w:rsidRPr="00EB2E7B">
        <w:rPr>
          <w:rFonts w:asciiTheme="minorHAnsi" w:hAnsiTheme="minorHAnsi" w:cstheme="minorHAnsi"/>
          <w:sz w:val="20"/>
          <w:szCs w:val="20"/>
        </w:rPr>
        <w:t> </w:t>
      </w:r>
      <w:r w:rsidRPr="00EB2E7B">
        <w:rPr>
          <w:rFonts w:asciiTheme="minorHAnsi" w:hAnsiTheme="minorHAnsi" w:cstheme="minorHAnsi"/>
          <w:sz w:val="20"/>
          <w:szCs w:val="20"/>
        </w:rPr>
        <w:t xml:space="preserve">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_Ref99042198 \r \h </w:instrText>
      </w:r>
      <w:r w:rsidR="00AD312E"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A.6.1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ACPRO, OSDn oraz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muszą posiadać układy pomiarowo-rozliczeniowe dostosowane do wymagań określonych odpowiednio w</w:t>
      </w:r>
      <w:r w:rsidR="006C7046" w:rsidRPr="00EB2E7B">
        <w:rPr>
          <w:rFonts w:asciiTheme="minorHAnsi" w:hAnsiTheme="minorHAnsi" w:cstheme="minorHAnsi"/>
          <w:sz w:val="20"/>
          <w:szCs w:val="20"/>
        </w:rPr>
        <w:t> </w:t>
      </w:r>
      <w:r w:rsidRPr="00EB2E7B">
        <w:rPr>
          <w:rFonts w:asciiTheme="minorHAnsi" w:hAnsiTheme="minorHAnsi" w:cstheme="minorHAnsi"/>
          <w:sz w:val="20"/>
          <w:szCs w:val="20"/>
        </w:rPr>
        <w:t xml:space="preserve">rozporządzeniu pomiarowym oraz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3548D122" w14:textId="6B483310" w:rsidR="00956601" w:rsidRPr="00EB2E7B" w:rsidRDefault="00956601"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gdy dane pomiarowe dotyczą obszaru sąsiedniego OSDn, o którym mowa w pkt. </w:t>
      </w:r>
      <w:r w:rsidR="006C2577" w:rsidRPr="00EB2E7B">
        <w:rPr>
          <w:rFonts w:asciiTheme="minorHAnsi" w:hAnsiTheme="minorHAnsi" w:cstheme="minorHAnsi"/>
          <w:sz w:val="20"/>
          <w:szCs w:val="20"/>
        </w:rPr>
        <w:fldChar w:fldCharType="begin"/>
      </w:r>
      <w:r w:rsidR="006C2577" w:rsidRPr="00EB2E7B">
        <w:rPr>
          <w:rFonts w:asciiTheme="minorHAnsi" w:hAnsiTheme="minorHAnsi" w:cstheme="minorHAnsi"/>
          <w:sz w:val="20"/>
          <w:szCs w:val="20"/>
        </w:rPr>
        <w:instrText xml:space="preserve"> REF _Ref190168409 \w \h  \* MERGEFORMAT </w:instrText>
      </w:r>
      <w:r w:rsidR="006C2577" w:rsidRPr="00EB2E7B">
        <w:rPr>
          <w:rFonts w:asciiTheme="minorHAnsi" w:hAnsiTheme="minorHAnsi" w:cstheme="minorHAnsi"/>
          <w:sz w:val="20"/>
          <w:szCs w:val="20"/>
        </w:rPr>
      </w:r>
      <w:r w:rsidR="006C257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A.2.3</w:t>
      </w:r>
      <w:r w:rsidR="006C257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w:t>
      </w:r>
      <w:r w:rsidR="00C90C0B" w:rsidRPr="00EB2E7B">
        <w:rPr>
          <w:rFonts w:asciiTheme="minorHAnsi" w:hAnsiTheme="minorHAnsi" w:cstheme="minorHAnsi"/>
          <w:sz w:val="20"/>
          <w:szCs w:val="20"/>
        </w:rPr>
        <w:t xml:space="preserve"> </w:t>
      </w:r>
      <w:r w:rsidR="00C90C0B" w:rsidRPr="00EB2E7B">
        <w:rPr>
          <w:rFonts w:asciiTheme="minorHAnsi" w:hAnsiTheme="minorHAnsi" w:cstheme="minorHAnsi"/>
          <w:sz w:val="20"/>
          <w:szCs w:val="20"/>
        </w:rPr>
        <w:fldChar w:fldCharType="begin"/>
      </w:r>
      <w:r w:rsidR="00C90C0B" w:rsidRPr="00EB2E7B">
        <w:rPr>
          <w:rFonts w:asciiTheme="minorHAnsi" w:hAnsiTheme="minorHAnsi" w:cstheme="minorHAnsi"/>
          <w:sz w:val="20"/>
          <w:szCs w:val="20"/>
        </w:rPr>
        <w:instrText xml:space="preserve"> REF _Ref190096578 \r \h </w:instrText>
      </w:r>
      <w:r w:rsidR="005E3FEE" w:rsidRPr="00EB2E7B">
        <w:rPr>
          <w:rFonts w:asciiTheme="minorHAnsi" w:hAnsiTheme="minorHAnsi" w:cstheme="minorHAnsi"/>
          <w:sz w:val="20"/>
          <w:szCs w:val="20"/>
        </w:rPr>
        <w:instrText xml:space="preserve"> \* MERGEFORMAT </w:instrText>
      </w:r>
      <w:r w:rsidR="00C90C0B" w:rsidRPr="00EB2E7B">
        <w:rPr>
          <w:rFonts w:asciiTheme="minorHAnsi" w:hAnsiTheme="minorHAnsi" w:cstheme="minorHAnsi"/>
          <w:sz w:val="20"/>
          <w:szCs w:val="20"/>
        </w:rPr>
      </w:r>
      <w:r w:rsidR="00C90C0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w:t>
      </w:r>
      <w:r w:rsidR="00C90C0B"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obowiązek dostosowania układów pomiarowych, o którym mowa powyżej, dotyczy podmiotu przyłączonego do sieci </w:t>
      </w:r>
      <w:proofErr w:type="spellStart"/>
      <w:r w:rsidRPr="00EB2E7B">
        <w:rPr>
          <w:rFonts w:asciiTheme="minorHAnsi" w:hAnsiTheme="minorHAnsi" w:cstheme="minorHAnsi"/>
          <w:sz w:val="20"/>
          <w:szCs w:val="20"/>
        </w:rPr>
        <w:t>OSD</w:t>
      </w:r>
      <w:r w:rsidR="00567A38"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z którego siecią połączona jest sieć OSDn.</w:t>
      </w:r>
    </w:p>
    <w:p w14:paraId="093F382F" w14:textId="09FD3AF1" w:rsidR="00473957" w:rsidRPr="00EB2E7B" w:rsidRDefault="00215489" w:rsidP="004854C6">
      <w:pPr>
        <w:pStyle w:val="ANagwek3"/>
        <w:rPr>
          <w:rFonts w:asciiTheme="minorHAnsi" w:hAnsiTheme="minorHAnsi" w:cstheme="minorHAnsi"/>
          <w:sz w:val="20"/>
          <w:szCs w:val="20"/>
        </w:rPr>
      </w:pPr>
      <w:bookmarkStart w:id="462" w:name="_Ref99045179"/>
      <w:r w:rsidRPr="00EB2E7B">
        <w:rPr>
          <w:rFonts w:asciiTheme="minorHAnsi" w:hAnsiTheme="minorHAnsi" w:cstheme="minorHAnsi"/>
          <w:sz w:val="20"/>
          <w:szCs w:val="20"/>
        </w:rPr>
        <w:t xml:space="preserve">Warunkiem przekazywania 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danych pomiarowych do OSP jest jednoczesne obowiązywanie następujących umów:</w:t>
      </w:r>
      <w:bookmarkEnd w:id="462"/>
    </w:p>
    <w:p w14:paraId="595B1ABF" w14:textId="12A629AC" w:rsidR="00473957" w:rsidRPr="00EB2E7B" w:rsidRDefault="00215489" w:rsidP="00620ED0">
      <w:pPr>
        <w:pStyle w:val="aprzed"/>
        <w:numPr>
          <w:ilvl w:val="0"/>
          <w:numId w:val="92"/>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 świadczenie usług przesyłania energii elektrycznej zawartej pomiędzy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 OSP,</w:t>
      </w:r>
    </w:p>
    <w:p w14:paraId="171DE9A8" w14:textId="4BF308B9" w:rsidR="00473957" w:rsidRPr="00EB2E7B" w:rsidRDefault="00215489" w:rsidP="00260864">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_Ref99042198 \r \h </w:instrText>
      </w:r>
      <w:r w:rsidR="00A747E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A.6.1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odpowiednio do zakresu przekazywania danych pomiarowych,</w:t>
      </w:r>
    </w:p>
    <w:p w14:paraId="71998475" w14:textId="39FF836B" w:rsidR="00473957" w:rsidRPr="00EB2E7B" w:rsidRDefault="00215489" w:rsidP="00260864">
      <w:pPr>
        <w:pStyle w:val="aprzed"/>
        <w:numPr>
          <w:ilvl w:val="0"/>
          <w:numId w:val="277"/>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 xml:space="preserve">o świadczenie usług dystrybucji energii elektrycznej zawartej pomiędzy </w:t>
      </w:r>
      <w:proofErr w:type="spellStart"/>
      <w:r w:rsidRPr="00EB2E7B">
        <w:rPr>
          <w:rFonts w:asciiTheme="minorHAnsi" w:hAnsiTheme="minorHAnsi" w:cstheme="minorHAnsi"/>
          <w:sz w:val="20"/>
          <w:szCs w:val="20"/>
        </w:rPr>
        <w:t>OSD</w:t>
      </w:r>
      <w:r w:rsidR="009301A4"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a OSD</w:t>
      </w:r>
      <w:r w:rsidR="009301A4" w:rsidRPr="00EB2E7B">
        <w:rPr>
          <w:rFonts w:asciiTheme="minorHAnsi" w:hAnsiTheme="minorHAnsi" w:cstheme="minorHAnsi"/>
          <w:sz w:val="20"/>
          <w:szCs w:val="20"/>
        </w:rPr>
        <w:t>n</w:t>
      </w:r>
      <w:r w:rsidRPr="00EB2E7B">
        <w:rPr>
          <w:rFonts w:asciiTheme="minorHAnsi" w:hAnsiTheme="minorHAnsi" w:cstheme="minorHAnsi"/>
          <w:sz w:val="20"/>
          <w:szCs w:val="20"/>
        </w:rPr>
        <w:t xml:space="preserve"> albo pomiędzy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 przedsiębiorstwem energetycznym przyłączonym do sieci dystrybucyjnej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świadczącym usługi dystrybucji dla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przyłączonym do sieci tego przedsiębiorstwa lub świadczącym usługi dystrybucji dla innego przedsiębiorstwa do sieci którego są przyłączeni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(zwanym dalej PEP) – w przypadku, gdy na sieci, której właścicielem jest to przedsiębiorstwo, funkcja operatora została powierzona innemu podmiotowi,</w:t>
      </w:r>
    </w:p>
    <w:p w14:paraId="297B5FB6" w14:textId="4284CCE1" w:rsidR="00473957" w:rsidRPr="00EB2E7B" w:rsidRDefault="00215489" w:rsidP="00260864">
      <w:pPr>
        <w:pStyle w:val="aprzed"/>
        <w:numPr>
          <w:ilvl w:val="0"/>
          <w:numId w:val="277"/>
        </w:numPr>
        <w:ind w:left="1701" w:hanging="566"/>
        <w:rPr>
          <w:rFonts w:asciiTheme="minorHAnsi" w:hAnsiTheme="minorHAnsi" w:cstheme="minorHAnsi"/>
          <w:sz w:val="20"/>
          <w:szCs w:val="20"/>
        </w:rPr>
      </w:pPr>
      <w:bookmarkStart w:id="463" w:name="_Ref99045190"/>
      <w:r w:rsidRPr="00EB2E7B">
        <w:rPr>
          <w:rFonts w:asciiTheme="minorHAnsi" w:hAnsiTheme="minorHAnsi" w:cstheme="minorHAnsi"/>
          <w:sz w:val="20"/>
          <w:szCs w:val="20"/>
        </w:rPr>
        <w:t xml:space="preserve">o świadczenie usług dystrybucji energii elektrycznej zawartej pomiędzy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którego MB są wykorzystywane w bilansowaniu handlowym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przyłączonych do sieci PEP lub OSD</w:t>
      </w:r>
      <w:r w:rsidR="00DD18AC" w:rsidRPr="00EB2E7B">
        <w:rPr>
          <w:rFonts w:asciiTheme="minorHAnsi" w:hAnsiTheme="minorHAnsi" w:cstheme="minorHAnsi"/>
          <w:sz w:val="20"/>
          <w:szCs w:val="20"/>
        </w:rPr>
        <w:t>n</w:t>
      </w:r>
      <w:r w:rsidRPr="00EB2E7B">
        <w:rPr>
          <w:rFonts w:asciiTheme="minorHAnsi" w:hAnsiTheme="minorHAnsi" w:cstheme="minorHAnsi"/>
          <w:sz w:val="20"/>
          <w:szCs w:val="20"/>
        </w:rPr>
        <w:t xml:space="preserve"> – dotyczy tylko rozliczeń dla potrzeb RB.</w:t>
      </w:r>
      <w:bookmarkEnd w:id="463"/>
    </w:p>
    <w:p w14:paraId="7D138F79" w14:textId="2EAA4AD9" w:rsidR="00473957" w:rsidRPr="00EB2E7B" w:rsidRDefault="000D6375"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celu umożliwienia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przekazywania danych pomiarowych do OSP na potrzeby rozliczeń na RB, OSD</w:t>
      </w:r>
      <w:r w:rsidR="004757B9" w:rsidRPr="00EB2E7B">
        <w:rPr>
          <w:rFonts w:asciiTheme="minorHAnsi" w:hAnsiTheme="minorHAnsi" w:cstheme="minorHAnsi"/>
          <w:sz w:val="20"/>
          <w:szCs w:val="20"/>
        </w:rPr>
        <w:t>n</w:t>
      </w:r>
      <w:r w:rsidRPr="00EB2E7B">
        <w:rPr>
          <w:rFonts w:asciiTheme="minorHAnsi" w:hAnsiTheme="minorHAnsi" w:cstheme="minorHAnsi"/>
          <w:sz w:val="20"/>
          <w:szCs w:val="20"/>
        </w:rPr>
        <w:t xml:space="preserve"> jest zobowiązany w szczególności do:</w:t>
      </w:r>
      <w:r w:rsidR="0077111A" w:rsidRPr="00EB2E7B">
        <w:rPr>
          <w:rFonts w:asciiTheme="minorHAnsi" w:hAnsiTheme="minorHAnsi" w:cstheme="minorHAnsi"/>
          <w:sz w:val="20"/>
          <w:szCs w:val="20"/>
        </w:rPr>
        <w:t xml:space="preserve"> </w:t>
      </w:r>
    </w:p>
    <w:p w14:paraId="7274044C" w14:textId="49BAA932" w:rsidR="00473957" w:rsidRPr="00EB2E7B" w:rsidRDefault="000D6375" w:rsidP="00834667">
      <w:pPr>
        <w:pStyle w:val="aprzed"/>
        <w:numPr>
          <w:ilvl w:val="0"/>
          <w:numId w:val="93"/>
        </w:numPr>
        <w:ind w:left="1701" w:hanging="567"/>
        <w:rPr>
          <w:rFonts w:asciiTheme="minorHAnsi" w:hAnsiTheme="minorHAnsi" w:cstheme="minorHAnsi"/>
          <w:sz w:val="20"/>
          <w:szCs w:val="20"/>
        </w:rPr>
      </w:pPr>
      <w:bookmarkStart w:id="464" w:name="_Ref99042511"/>
      <w:r w:rsidRPr="00EB2E7B">
        <w:rPr>
          <w:rFonts w:asciiTheme="minorHAnsi" w:hAnsiTheme="minorHAnsi" w:cstheme="minorHAnsi"/>
          <w:sz w:val="20"/>
          <w:szCs w:val="20"/>
        </w:rPr>
        <w:t xml:space="preserve">pozyskiwania danych pomiarowych z układów pomiarowo-rozliczeniowych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zgodnie z niniejszą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464"/>
    </w:p>
    <w:p w14:paraId="67D5D4D0" w14:textId="0793534D" w:rsidR="00473957" w:rsidRPr="00EB2E7B" w:rsidRDefault="000D6375"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przekazywania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danych pomiarowych, o których mowa w lit. </w:t>
      </w:r>
      <w:r w:rsidR="001007E0" w:rsidRPr="00EB2E7B">
        <w:rPr>
          <w:rFonts w:asciiTheme="minorHAnsi" w:hAnsiTheme="minorHAnsi" w:cstheme="minorHAnsi"/>
          <w:sz w:val="20"/>
          <w:szCs w:val="20"/>
        </w:rPr>
        <w:fldChar w:fldCharType="begin"/>
      </w:r>
      <w:r w:rsidR="001007E0" w:rsidRPr="00EB2E7B">
        <w:rPr>
          <w:rFonts w:asciiTheme="minorHAnsi" w:hAnsiTheme="minorHAnsi" w:cstheme="minorHAnsi"/>
          <w:sz w:val="20"/>
          <w:szCs w:val="20"/>
        </w:rPr>
        <w:instrText xml:space="preserve"> REF _Ref99042511 \r \h </w:instrText>
      </w:r>
      <w:r w:rsidR="006C2577" w:rsidRPr="00EB2E7B">
        <w:rPr>
          <w:rFonts w:asciiTheme="minorHAnsi" w:hAnsiTheme="minorHAnsi" w:cstheme="minorHAnsi"/>
          <w:sz w:val="20"/>
          <w:szCs w:val="20"/>
        </w:rPr>
        <w:instrText xml:space="preserve"> \* MERGEFORMAT </w:instrText>
      </w:r>
      <w:r w:rsidR="001007E0" w:rsidRPr="00EB2E7B">
        <w:rPr>
          <w:rFonts w:asciiTheme="minorHAnsi" w:hAnsiTheme="minorHAnsi" w:cstheme="minorHAnsi"/>
          <w:sz w:val="20"/>
          <w:szCs w:val="20"/>
        </w:rPr>
      </w:r>
      <w:r w:rsidR="001007E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1007E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dotyczących rzeczywistej ilości energii elektrycznej pobranej z sieci OSD</w:t>
      </w:r>
      <w:r w:rsidR="00AE2EEB" w:rsidRPr="00EB2E7B">
        <w:rPr>
          <w:rFonts w:asciiTheme="minorHAnsi" w:hAnsiTheme="minorHAnsi" w:cstheme="minorHAnsi"/>
          <w:sz w:val="20"/>
          <w:szCs w:val="20"/>
        </w:rPr>
        <w:t>n</w:t>
      </w:r>
      <w:r w:rsidRPr="00EB2E7B">
        <w:rPr>
          <w:rFonts w:asciiTheme="minorHAnsi" w:hAnsiTheme="minorHAnsi" w:cstheme="minorHAnsi"/>
          <w:sz w:val="20"/>
          <w:szCs w:val="20"/>
        </w:rPr>
        <w:t xml:space="preserve"> lub oddanej do sieci OSD</w:t>
      </w:r>
      <w:r w:rsidR="004757B9" w:rsidRPr="00EB2E7B">
        <w:rPr>
          <w:rFonts w:asciiTheme="minorHAnsi" w:hAnsiTheme="minorHAnsi" w:cstheme="minorHAnsi"/>
          <w:sz w:val="20"/>
          <w:szCs w:val="20"/>
        </w:rPr>
        <w:t>n</w:t>
      </w:r>
      <w:r w:rsidRPr="00EB2E7B">
        <w:rPr>
          <w:rFonts w:asciiTheme="minorHAnsi" w:hAnsiTheme="minorHAnsi" w:cstheme="minorHAnsi"/>
          <w:sz w:val="20"/>
          <w:szCs w:val="20"/>
        </w:rPr>
        <w:t xml:space="preserve">, zmierzonej przez układy pomiarowo-rozliczeniowe, na każdą godzinę doby handlowej w PPE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typu odbiorca, w podziale na sprzedawców, zagregowane na MB oraz oddzielnie w PPE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typu wytwórca lub posiadacz magazynu energii elektrycznej,</w:t>
      </w:r>
    </w:p>
    <w:p w14:paraId="11521D7C" w14:textId="18EA6266" w:rsidR="00473957" w:rsidRPr="00EB2E7B" w:rsidRDefault="000D6375"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przekazywania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skorygowanych danych pomiarowych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w celu ich przesłania do OSP w trybach korekty obowiązujących na RB zgodnie z</w:t>
      </w:r>
      <w:r w:rsidR="0085240F" w:rsidRPr="00EB2E7B">
        <w:rPr>
          <w:rFonts w:asciiTheme="minorHAnsi" w:hAnsiTheme="minorHAnsi" w:cstheme="minorHAnsi"/>
          <w:sz w:val="20"/>
          <w:szCs w:val="20"/>
        </w:rPr>
        <w:t> </w:t>
      </w:r>
      <w:r w:rsidRPr="00EB2E7B">
        <w:rPr>
          <w:rFonts w:asciiTheme="minorHAnsi" w:hAnsiTheme="minorHAnsi" w:cstheme="minorHAnsi"/>
          <w:sz w:val="20"/>
          <w:szCs w:val="20"/>
        </w:rPr>
        <w:t>WDB,</w:t>
      </w:r>
    </w:p>
    <w:p w14:paraId="1641E36F" w14:textId="79685EB1" w:rsidR="00473957" w:rsidRPr="00EB2E7B" w:rsidRDefault="000D6375"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niezwłocznego przekazywania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informacji o wstrzymaniu lub zaprzestaniu świadczenia przez OSD</w:t>
      </w:r>
      <w:r w:rsidR="00AE2EEB" w:rsidRPr="00EB2E7B">
        <w:rPr>
          <w:rFonts w:asciiTheme="minorHAnsi" w:hAnsiTheme="minorHAnsi" w:cstheme="minorHAnsi"/>
          <w:sz w:val="20"/>
          <w:szCs w:val="20"/>
        </w:rPr>
        <w:t>n</w:t>
      </w:r>
      <w:r w:rsidRPr="00EB2E7B">
        <w:rPr>
          <w:rFonts w:asciiTheme="minorHAnsi" w:hAnsiTheme="minorHAnsi" w:cstheme="minorHAnsi"/>
          <w:sz w:val="20"/>
          <w:szCs w:val="20"/>
        </w:rPr>
        <w:t xml:space="preserve"> usług dystrybucji energii elektrycznej dla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lub o zaprzestaniu sprzedaży energii elektrycznej do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przez sprzedawcę,</w:t>
      </w:r>
    </w:p>
    <w:p w14:paraId="78BED471" w14:textId="34B78CC2" w:rsidR="00473957" w:rsidRPr="00EB2E7B" w:rsidRDefault="000D6375"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niezwłocznego informowania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okolicznościach mających wpływ na prawidłowość przekazywanych danych pomiarowych.</w:t>
      </w:r>
    </w:p>
    <w:p w14:paraId="4BE8D8F4" w14:textId="71485943" w:rsidR="00473957" w:rsidRPr="00EB2E7B" w:rsidRDefault="001007E0"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w:t>
      </w:r>
      <w:r w:rsidR="009C789B" w:rsidRPr="00EB2E7B">
        <w:rPr>
          <w:rFonts w:asciiTheme="minorHAnsi" w:hAnsiTheme="minorHAnsi" w:cstheme="minorHAnsi"/>
          <w:sz w:val="20"/>
          <w:szCs w:val="20"/>
        </w:rPr>
        <w:t xml:space="preserve">celu umożliwienia </w:t>
      </w:r>
      <w:proofErr w:type="spellStart"/>
      <w:r w:rsidR="009C789B" w:rsidRPr="00EB2E7B">
        <w:rPr>
          <w:rFonts w:asciiTheme="minorHAnsi" w:hAnsiTheme="minorHAnsi" w:cstheme="minorHAnsi"/>
          <w:sz w:val="20"/>
          <w:szCs w:val="20"/>
        </w:rPr>
        <w:t>OSDp</w:t>
      </w:r>
      <w:proofErr w:type="spellEnd"/>
      <w:r w:rsidR="009C789B" w:rsidRPr="00EB2E7B">
        <w:rPr>
          <w:rFonts w:asciiTheme="minorHAnsi" w:hAnsiTheme="minorHAnsi" w:cstheme="minorHAnsi"/>
          <w:sz w:val="20"/>
          <w:szCs w:val="20"/>
        </w:rPr>
        <w:t xml:space="preserve"> przekazywania OSP danych pomiarowych na potrzeby rozliczeń usługi IRP</w:t>
      </w:r>
      <w:r w:rsidR="00F865BC" w:rsidRPr="00EB2E7B">
        <w:rPr>
          <w:rFonts w:asciiTheme="minorHAnsi" w:hAnsiTheme="minorHAnsi" w:cstheme="minorHAnsi"/>
          <w:sz w:val="20"/>
          <w:szCs w:val="20"/>
        </w:rPr>
        <w:t>, usługi IZP</w:t>
      </w:r>
      <w:r w:rsidR="009C789B" w:rsidRPr="00EB2E7B">
        <w:rPr>
          <w:rFonts w:asciiTheme="minorHAnsi" w:hAnsiTheme="minorHAnsi" w:cstheme="minorHAnsi"/>
          <w:sz w:val="20"/>
          <w:szCs w:val="20"/>
        </w:rPr>
        <w:t xml:space="preserve"> lub usług bilansujących, OSD</w:t>
      </w:r>
      <w:r w:rsidR="00072CFF" w:rsidRPr="00EB2E7B">
        <w:rPr>
          <w:rFonts w:asciiTheme="minorHAnsi" w:hAnsiTheme="minorHAnsi" w:cstheme="minorHAnsi"/>
          <w:sz w:val="20"/>
          <w:szCs w:val="20"/>
        </w:rPr>
        <w:t>n</w:t>
      </w:r>
      <w:r w:rsidR="009C789B" w:rsidRPr="00EB2E7B">
        <w:rPr>
          <w:rFonts w:asciiTheme="minorHAnsi" w:hAnsiTheme="minorHAnsi" w:cstheme="minorHAnsi"/>
          <w:sz w:val="20"/>
          <w:szCs w:val="20"/>
        </w:rPr>
        <w:t xml:space="preserve"> jest zobowiązany w</w:t>
      </w:r>
      <w:r w:rsidR="0085240F" w:rsidRPr="00EB2E7B">
        <w:rPr>
          <w:rFonts w:asciiTheme="minorHAnsi" w:hAnsiTheme="minorHAnsi" w:cstheme="minorHAnsi"/>
          <w:sz w:val="20"/>
          <w:szCs w:val="20"/>
        </w:rPr>
        <w:t> </w:t>
      </w:r>
      <w:r w:rsidR="009C789B" w:rsidRPr="00EB2E7B">
        <w:rPr>
          <w:rFonts w:asciiTheme="minorHAnsi" w:hAnsiTheme="minorHAnsi" w:cstheme="minorHAnsi"/>
          <w:sz w:val="20"/>
          <w:szCs w:val="20"/>
        </w:rPr>
        <w:t>szczególności do:</w:t>
      </w:r>
    </w:p>
    <w:p w14:paraId="0E70E8F5" w14:textId="77777777" w:rsidR="009C789B" w:rsidRPr="00EB2E7B" w:rsidRDefault="009C789B" w:rsidP="00834667">
      <w:pPr>
        <w:pStyle w:val="aprzed"/>
        <w:numPr>
          <w:ilvl w:val="0"/>
          <w:numId w:val="218"/>
        </w:numPr>
        <w:ind w:left="1701" w:hanging="567"/>
        <w:rPr>
          <w:rFonts w:asciiTheme="minorHAnsi" w:hAnsiTheme="minorHAnsi" w:cstheme="minorHAnsi"/>
          <w:sz w:val="20"/>
          <w:szCs w:val="20"/>
        </w:rPr>
      </w:pPr>
      <w:bookmarkStart w:id="465" w:name="_Ref190168522"/>
      <w:r w:rsidRPr="00EB2E7B">
        <w:rPr>
          <w:rFonts w:asciiTheme="minorHAnsi" w:hAnsiTheme="minorHAnsi" w:cstheme="minorHAnsi"/>
          <w:sz w:val="20"/>
          <w:szCs w:val="20"/>
        </w:rPr>
        <w:t xml:space="preserve">pozyskiwania danych pomiarowych z układów pomiarowo-rozliczeniowych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zgodnie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465"/>
    </w:p>
    <w:p w14:paraId="1CA5AAFD" w14:textId="2DB15B30" w:rsidR="009C789B" w:rsidRPr="00EB2E7B" w:rsidRDefault="009C789B"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dla potrzeb rozliczeń </w:t>
      </w:r>
      <w:r w:rsidR="00CC6847" w:rsidRPr="00EB2E7B">
        <w:rPr>
          <w:rFonts w:asciiTheme="minorHAnsi" w:hAnsiTheme="minorHAnsi" w:cstheme="minorHAnsi"/>
          <w:sz w:val="20"/>
          <w:szCs w:val="20"/>
        </w:rPr>
        <w:t>usługi IRP i usługi IZP</w:t>
      </w:r>
      <w:r w:rsidRPr="00EB2E7B">
        <w:rPr>
          <w:rFonts w:asciiTheme="minorHAnsi" w:hAnsiTheme="minorHAnsi" w:cstheme="minorHAnsi"/>
          <w:sz w:val="20"/>
          <w:szCs w:val="20"/>
        </w:rPr>
        <w:t xml:space="preserve"> danych pomiarowych, o których mowa w lit. </w:t>
      </w:r>
      <w:r w:rsidR="00113C87" w:rsidRPr="00EB2E7B">
        <w:rPr>
          <w:rFonts w:asciiTheme="minorHAnsi" w:hAnsiTheme="minorHAnsi" w:cstheme="minorHAnsi"/>
          <w:sz w:val="20"/>
          <w:szCs w:val="20"/>
        </w:rPr>
        <w:fldChar w:fldCharType="begin"/>
      </w:r>
      <w:r w:rsidR="00113C87" w:rsidRPr="00EB2E7B">
        <w:rPr>
          <w:rFonts w:asciiTheme="minorHAnsi" w:hAnsiTheme="minorHAnsi" w:cstheme="minorHAnsi"/>
          <w:sz w:val="20"/>
          <w:szCs w:val="20"/>
        </w:rPr>
        <w:instrText xml:space="preserve"> REF _Ref190168522 \w \h  \* MERGEFORMAT </w:instrText>
      </w:r>
      <w:r w:rsidR="00113C87" w:rsidRPr="00EB2E7B">
        <w:rPr>
          <w:rFonts w:asciiTheme="minorHAnsi" w:hAnsiTheme="minorHAnsi" w:cstheme="minorHAnsi"/>
          <w:sz w:val="20"/>
          <w:szCs w:val="20"/>
        </w:rPr>
      </w:r>
      <w:r w:rsidR="00113C8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113C8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dotyczących rzeczywistej ilości energii elektrycznej pobranej z sieci OSD</w:t>
      </w:r>
      <w:r w:rsidR="00072CFF" w:rsidRPr="00EB2E7B">
        <w:rPr>
          <w:rFonts w:asciiTheme="minorHAnsi" w:hAnsiTheme="minorHAnsi" w:cstheme="minorHAnsi"/>
          <w:sz w:val="20"/>
          <w:szCs w:val="20"/>
        </w:rPr>
        <w:t>n</w:t>
      </w:r>
      <w:r w:rsidRPr="00EB2E7B">
        <w:rPr>
          <w:rFonts w:asciiTheme="minorHAnsi" w:hAnsiTheme="minorHAnsi" w:cstheme="minorHAnsi"/>
          <w:sz w:val="20"/>
          <w:szCs w:val="20"/>
        </w:rPr>
        <w:t xml:space="preserve"> lub oddanej do sieci OSD</w:t>
      </w:r>
      <w:r w:rsidR="00072CFF" w:rsidRPr="00EB2E7B">
        <w:rPr>
          <w:rFonts w:asciiTheme="minorHAnsi" w:hAnsiTheme="minorHAnsi" w:cstheme="minorHAnsi"/>
          <w:sz w:val="20"/>
          <w:szCs w:val="20"/>
        </w:rPr>
        <w:t>n</w:t>
      </w:r>
      <w:r w:rsidRPr="00EB2E7B">
        <w:rPr>
          <w:rFonts w:asciiTheme="minorHAnsi" w:hAnsiTheme="minorHAnsi" w:cstheme="minorHAnsi"/>
          <w:sz w:val="20"/>
          <w:szCs w:val="20"/>
        </w:rPr>
        <w:t xml:space="preserve">, zmierzonej przez układy pomiarowo-rozliczeniowe, dla każdego ORN doby handlowej w PPE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w:t>
      </w:r>
    </w:p>
    <w:p w14:paraId="1A9D774A" w14:textId="1CCAB180" w:rsidR="009C789B" w:rsidRPr="00EB2E7B" w:rsidRDefault="009C789B"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dla potrzeb rozliczeń usług bilansujących danych pomiarowych, o których mowa w lit. </w:t>
      </w:r>
      <w:r w:rsidR="00562257" w:rsidRPr="00EB2E7B">
        <w:rPr>
          <w:rFonts w:asciiTheme="minorHAnsi" w:hAnsiTheme="minorHAnsi" w:cstheme="minorHAnsi"/>
          <w:sz w:val="20"/>
          <w:szCs w:val="20"/>
        </w:rPr>
        <w:fldChar w:fldCharType="begin"/>
      </w:r>
      <w:r w:rsidR="00562257" w:rsidRPr="00EB2E7B">
        <w:rPr>
          <w:rFonts w:asciiTheme="minorHAnsi" w:hAnsiTheme="minorHAnsi" w:cstheme="minorHAnsi"/>
          <w:sz w:val="20"/>
          <w:szCs w:val="20"/>
        </w:rPr>
        <w:instrText xml:space="preserve"> REF _Ref190168522 \w \h  \* MERGEFORMAT </w:instrText>
      </w:r>
      <w:r w:rsidR="00562257" w:rsidRPr="00EB2E7B">
        <w:rPr>
          <w:rFonts w:asciiTheme="minorHAnsi" w:hAnsiTheme="minorHAnsi" w:cstheme="minorHAnsi"/>
          <w:sz w:val="20"/>
          <w:szCs w:val="20"/>
        </w:rPr>
      </w:r>
      <w:r w:rsidR="0056225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56225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dotyczących wielkości mocy oraz rzeczywistej ilości energii elektrycznej pobranej z sieci OSD</w:t>
      </w:r>
      <w:r w:rsidR="006B4D99" w:rsidRPr="00EB2E7B">
        <w:rPr>
          <w:rFonts w:asciiTheme="minorHAnsi" w:hAnsiTheme="minorHAnsi" w:cstheme="minorHAnsi"/>
          <w:sz w:val="20"/>
          <w:szCs w:val="20"/>
        </w:rPr>
        <w:t>n</w:t>
      </w:r>
      <w:r w:rsidRPr="00EB2E7B">
        <w:rPr>
          <w:rFonts w:asciiTheme="minorHAnsi" w:hAnsiTheme="minorHAnsi" w:cstheme="minorHAnsi"/>
          <w:sz w:val="20"/>
          <w:szCs w:val="20"/>
        </w:rPr>
        <w:t xml:space="preserve"> lub oddanej do sieci OSD</w:t>
      </w:r>
      <w:r w:rsidR="006B4D99" w:rsidRPr="00EB2E7B">
        <w:rPr>
          <w:rFonts w:asciiTheme="minorHAnsi" w:hAnsiTheme="minorHAnsi" w:cstheme="minorHAnsi"/>
          <w:sz w:val="20"/>
          <w:szCs w:val="20"/>
        </w:rPr>
        <w:t>n</w:t>
      </w:r>
      <w:r w:rsidRPr="00EB2E7B">
        <w:rPr>
          <w:rFonts w:asciiTheme="minorHAnsi" w:hAnsiTheme="minorHAnsi" w:cstheme="minorHAnsi"/>
          <w:sz w:val="20"/>
          <w:szCs w:val="20"/>
        </w:rPr>
        <w:t xml:space="preserve">, zmierzonej przez układy pomiarowo-rozliczeniowe, odpowiednio dla każdej godziny lub dla każdego ORN doby handlowej w PPE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w:t>
      </w:r>
    </w:p>
    <w:p w14:paraId="25F62162" w14:textId="4D66EDD0" w:rsidR="009C789B" w:rsidRPr="00EB2E7B" w:rsidRDefault="009C789B"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skorygowanych danych pomiarowych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w celu ich przesłania do OSP w trybach korekt obowiązujących dla </w:t>
      </w:r>
      <w:r w:rsidR="00CC6847" w:rsidRPr="00EB2E7B">
        <w:rPr>
          <w:rFonts w:asciiTheme="minorHAnsi" w:hAnsiTheme="minorHAnsi" w:cstheme="minorHAnsi"/>
          <w:sz w:val="20"/>
          <w:szCs w:val="20"/>
        </w:rPr>
        <w:t>usługi IRP i usługi IZP</w:t>
      </w:r>
      <w:r w:rsidRPr="00EB2E7B">
        <w:rPr>
          <w:rFonts w:asciiTheme="minorHAnsi" w:hAnsiTheme="minorHAnsi" w:cstheme="minorHAnsi"/>
          <w:sz w:val="20"/>
          <w:szCs w:val="20"/>
        </w:rPr>
        <w:t xml:space="preserve">, zgodnie z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w:t>
      </w:r>
    </w:p>
    <w:p w14:paraId="6E6B7BB9" w14:textId="77777777" w:rsidR="009C789B" w:rsidRPr="00EB2E7B" w:rsidRDefault="009C789B"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przekazywania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skorygowanych danych pomiarowych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w celu ich przesłania do OSP w trybach korekt obowiązujących dla usług bilansujących, zgodnie z WDB,</w:t>
      </w:r>
    </w:p>
    <w:p w14:paraId="48CABF38" w14:textId="2C766138" w:rsidR="001007E0" w:rsidRPr="00EB2E7B" w:rsidRDefault="009C789B" w:rsidP="00AD2C57">
      <w:pPr>
        <w:pStyle w:val="aprzed"/>
        <w:numPr>
          <w:ilvl w:val="0"/>
          <w:numId w:val="27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niezwłocznego informowania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okolicznościach mających wpływ na prawidłowość przekazywanych danych pomiarowych.</w:t>
      </w:r>
    </w:p>
    <w:p w14:paraId="5D7AC352" w14:textId="7F6C6516" w:rsidR="00473957" w:rsidRPr="00EB2E7B" w:rsidRDefault="001007E0"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celu umożliwienia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przekazywania danych pomiarowych do OSP na potrzeby rynku mocy,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_Ref99044945 \r \h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I.1.9</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ACPRO</w:t>
      </w:r>
      <w:r w:rsidR="00861959" w:rsidRPr="00EB2E7B">
        <w:rPr>
          <w:rFonts w:asciiTheme="minorHAnsi" w:hAnsiTheme="minorHAnsi" w:cstheme="minorHAnsi"/>
          <w:sz w:val="20"/>
          <w:szCs w:val="20"/>
        </w:rPr>
        <w:t>, OSDn</w:t>
      </w:r>
      <w:r w:rsidRPr="00EB2E7B">
        <w:rPr>
          <w:rFonts w:asciiTheme="minorHAnsi" w:hAnsiTheme="minorHAnsi" w:cstheme="minorHAnsi"/>
          <w:sz w:val="20"/>
          <w:szCs w:val="20"/>
        </w:rPr>
        <w:t xml:space="preserve"> jest zobowiązany w</w:t>
      </w:r>
      <w:r w:rsidR="00D632D0" w:rsidRPr="00EB2E7B">
        <w:rPr>
          <w:rFonts w:asciiTheme="minorHAnsi" w:hAnsiTheme="minorHAnsi" w:cstheme="minorHAnsi"/>
          <w:sz w:val="20"/>
          <w:szCs w:val="20"/>
        </w:rPr>
        <w:t> </w:t>
      </w:r>
      <w:r w:rsidRPr="00EB2E7B">
        <w:rPr>
          <w:rFonts w:asciiTheme="minorHAnsi" w:hAnsiTheme="minorHAnsi" w:cstheme="minorHAnsi"/>
          <w:sz w:val="20"/>
          <w:szCs w:val="20"/>
        </w:rPr>
        <w:t>szczególności do:</w:t>
      </w:r>
      <w:r w:rsidR="0077111A" w:rsidRPr="00EB2E7B">
        <w:rPr>
          <w:rFonts w:asciiTheme="minorHAnsi" w:hAnsiTheme="minorHAnsi" w:cstheme="minorHAnsi"/>
          <w:sz w:val="20"/>
          <w:szCs w:val="20"/>
        </w:rPr>
        <w:t xml:space="preserve"> </w:t>
      </w:r>
    </w:p>
    <w:p w14:paraId="2C74F1F6" w14:textId="1046AAF5" w:rsidR="00D632D0" w:rsidRPr="00EB2E7B" w:rsidRDefault="00D632D0" w:rsidP="00834667">
      <w:pPr>
        <w:pStyle w:val="aprzed"/>
        <w:numPr>
          <w:ilvl w:val="0"/>
          <w:numId w:val="145"/>
        </w:numPr>
        <w:ind w:left="1701" w:hanging="567"/>
        <w:rPr>
          <w:rFonts w:asciiTheme="minorHAnsi" w:hAnsiTheme="minorHAnsi" w:cstheme="minorHAnsi"/>
          <w:sz w:val="20"/>
          <w:szCs w:val="20"/>
        </w:rPr>
      </w:pPr>
      <w:bookmarkStart w:id="466" w:name="_Ref99045032"/>
      <w:r w:rsidRPr="00EB2E7B">
        <w:rPr>
          <w:rFonts w:asciiTheme="minorHAnsi" w:hAnsiTheme="minorHAnsi" w:cstheme="minorHAnsi"/>
          <w:sz w:val="20"/>
          <w:szCs w:val="20"/>
        </w:rPr>
        <w:t xml:space="preserve">pozyskiwania danych pomiarowych z układów pomiarowo-rozliczeniowych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zgodnie z niniejszą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466"/>
    </w:p>
    <w:p w14:paraId="021929F0" w14:textId="45E37C4B" w:rsidR="00D632D0" w:rsidRPr="00EB2E7B" w:rsidRDefault="00D632D0" w:rsidP="00834667">
      <w:pPr>
        <w:pStyle w:val="aprzed"/>
        <w:numPr>
          <w:ilvl w:val="0"/>
          <w:numId w:val="14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przekazywania do </w:t>
      </w:r>
      <w:proofErr w:type="spellStart"/>
      <w:r w:rsidRPr="00EB2E7B">
        <w:rPr>
          <w:rFonts w:asciiTheme="minorHAnsi" w:hAnsiTheme="minorHAnsi" w:cstheme="minorHAnsi"/>
          <w:sz w:val="20"/>
          <w:szCs w:val="20"/>
        </w:rPr>
        <w:t>OSD</w:t>
      </w:r>
      <w:r w:rsidR="008A1035"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danych pomiarowych, o których mowa w 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_Ref99045032 \r \h </w:instrText>
      </w:r>
      <w:r w:rsidR="00E071D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dotyczących rzeczywistej ilości energii elektrycznej pobranej z sieci OSD</w:t>
      </w:r>
      <w:r w:rsidR="006B4D99" w:rsidRPr="00EB2E7B">
        <w:rPr>
          <w:rFonts w:asciiTheme="minorHAnsi" w:hAnsiTheme="minorHAnsi" w:cstheme="minorHAnsi"/>
          <w:sz w:val="20"/>
          <w:szCs w:val="20"/>
        </w:rPr>
        <w:t>n</w:t>
      </w:r>
      <w:r w:rsidRPr="00EB2E7B">
        <w:rPr>
          <w:rFonts w:asciiTheme="minorHAnsi" w:hAnsiTheme="minorHAnsi" w:cstheme="minorHAnsi"/>
          <w:sz w:val="20"/>
          <w:szCs w:val="20"/>
        </w:rPr>
        <w:t xml:space="preserve"> lub oddanej do sieci OSD</w:t>
      </w:r>
      <w:r w:rsidR="006B4D99" w:rsidRPr="00EB2E7B">
        <w:rPr>
          <w:rFonts w:asciiTheme="minorHAnsi" w:hAnsiTheme="minorHAnsi" w:cstheme="minorHAnsi"/>
          <w:sz w:val="20"/>
          <w:szCs w:val="20"/>
        </w:rPr>
        <w:t>n</w:t>
      </w:r>
      <w:r w:rsidRPr="00EB2E7B">
        <w:rPr>
          <w:rFonts w:asciiTheme="minorHAnsi" w:hAnsiTheme="minorHAnsi" w:cstheme="minorHAnsi"/>
          <w:sz w:val="20"/>
          <w:szCs w:val="20"/>
        </w:rPr>
        <w:t xml:space="preserve">, zmierzonej przez układy pomiarowo-rozliczeniowe, na każdą godzinę doby handlowej w PPE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w:t>
      </w:r>
    </w:p>
    <w:p w14:paraId="0BD27065" w14:textId="04F595A5" w:rsidR="00D632D0" w:rsidRPr="00EB2E7B" w:rsidRDefault="00D632D0" w:rsidP="00834667">
      <w:pPr>
        <w:pStyle w:val="aprzed"/>
        <w:numPr>
          <w:ilvl w:val="0"/>
          <w:numId w:val="14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przekazywania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skorygowanych danych pomiarowych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w celu ich przesłania do OSP w trybach korekty zgodnie z Regulaminem Rynku Mocy (RRM) opracowanym przez OSP i zatwierdzonym przez Prezesa URE,</w:t>
      </w:r>
    </w:p>
    <w:p w14:paraId="5C7A8161" w14:textId="62C2470B" w:rsidR="00D632D0" w:rsidRPr="00EB2E7B" w:rsidRDefault="00D632D0" w:rsidP="00834667">
      <w:pPr>
        <w:pStyle w:val="aprzed"/>
        <w:numPr>
          <w:ilvl w:val="0"/>
          <w:numId w:val="14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niezwłocznego informowania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okolicznościach mających wpływ na prawidłowość przekazywanych danych pomiarowych.</w:t>
      </w:r>
    </w:p>
    <w:p w14:paraId="7612A1E9" w14:textId="726D115C" w:rsidR="00712E1A" w:rsidRPr="00EB2E7B" w:rsidRDefault="00712E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Przekazywanie danych 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OSP dla potrzeb rozliczeń na RB obejmuje przekazywanie zagregowanych danych pomiarowych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przyłączonych do sieci OSD</w:t>
      </w:r>
      <w:r w:rsidR="00785ED1" w:rsidRPr="00EB2E7B">
        <w:rPr>
          <w:rFonts w:asciiTheme="minorHAnsi" w:hAnsiTheme="minorHAnsi" w:cstheme="minorHAnsi"/>
          <w:sz w:val="20"/>
          <w:szCs w:val="20"/>
        </w:rPr>
        <w:t xml:space="preserve">n (w tym ACPRO) </w:t>
      </w:r>
      <w:r w:rsidRPr="00EB2E7B">
        <w:rPr>
          <w:rFonts w:asciiTheme="minorHAnsi" w:hAnsiTheme="minorHAnsi" w:cstheme="minorHAnsi"/>
          <w:sz w:val="20"/>
          <w:szCs w:val="20"/>
        </w:rPr>
        <w:t>nie objętej obszarem RB:</w:t>
      </w:r>
    </w:p>
    <w:p w14:paraId="49A407E4" w14:textId="5D3FF187" w:rsidR="00473957" w:rsidRPr="00EB2E7B" w:rsidRDefault="00712E1A" w:rsidP="00834667">
      <w:pPr>
        <w:pStyle w:val="aprzed"/>
        <w:numPr>
          <w:ilvl w:val="0"/>
          <w:numId w:val="146"/>
        </w:numPr>
        <w:ind w:left="1701" w:hanging="566"/>
        <w:rPr>
          <w:rFonts w:asciiTheme="minorHAnsi" w:hAnsiTheme="minorHAnsi" w:cstheme="minorHAnsi"/>
          <w:sz w:val="20"/>
          <w:szCs w:val="20"/>
        </w:rPr>
      </w:pPr>
      <w:r w:rsidRPr="00EB2E7B">
        <w:rPr>
          <w:rFonts w:asciiTheme="minorHAnsi" w:hAnsiTheme="minorHAnsi" w:cstheme="minorHAnsi"/>
          <w:sz w:val="20"/>
          <w:szCs w:val="20"/>
        </w:rPr>
        <w:t>na MB będące w posiadaniu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wskazanego przez sprzedawcę wybranego przez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typu odbiorca,</w:t>
      </w:r>
    </w:p>
    <w:p w14:paraId="0E032C70" w14:textId="50CD15AA" w:rsidR="00712E1A" w:rsidRPr="00EB2E7B" w:rsidRDefault="00712E1A" w:rsidP="00834667">
      <w:pPr>
        <w:pStyle w:val="aprzed"/>
        <w:numPr>
          <w:ilvl w:val="0"/>
          <w:numId w:val="146"/>
        </w:numPr>
        <w:ind w:left="1701" w:hanging="566"/>
        <w:rPr>
          <w:rFonts w:asciiTheme="minorHAnsi" w:hAnsiTheme="minorHAnsi" w:cstheme="minorHAnsi"/>
          <w:sz w:val="20"/>
          <w:szCs w:val="20"/>
        </w:rPr>
      </w:pPr>
      <w:r w:rsidRPr="00EB2E7B">
        <w:rPr>
          <w:rFonts w:asciiTheme="minorHAnsi" w:hAnsiTheme="minorHAnsi" w:cstheme="minorHAnsi"/>
          <w:sz w:val="20"/>
          <w:szCs w:val="20"/>
        </w:rPr>
        <w:t>na MB będące w posiadaniu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wskazanego bezpośrednio przez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typu wytwórca lub posiadacz magazynu energii elektrycznej.</w:t>
      </w:r>
    </w:p>
    <w:p w14:paraId="60876FC2" w14:textId="3789B9C7" w:rsidR="00712E1A" w:rsidRPr="00EB2E7B" w:rsidRDefault="00712E1A"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OSD</w:t>
      </w:r>
      <w:r w:rsidR="00E7206A" w:rsidRPr="00EB2E7B">
        <w:rPr>
          <w:rFonts w:asciiTheme="minorHAnsi" w:hAnsiTheme="minorHAnsi" w:cstheme="minorHAnsi"/>
          <w:sz w:val="20"/>
          <w:szCs w:val="20"/>
        </w:rPr>
        <w:t>n</w:t>
      </w:r>
      <w:r w:rsidRPr="00EB2E7B">
        <w:rPr>
          <w:rFonts w:asciiTheme="minorHAnsi" w:hAnsiTheme="minorHAnsi" w:cstheme="minorHAnsi"/>
          <w:sz w:val="20"/>
          <w:szCs w:val="20"/>
        </w:rPr>
        <w:t xml:space="preserve"> przekazuje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informacje o wyżej wymienionych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którzy mają zawartą umowę,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_Ref99045179 \r \h </w:instrText>
      </w:r>
      <w:r w:rsidR="00EA454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A.6.3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_Ref99045190 \r \h </w:instrText>
      </w:r>
      <w:r w:rsidR="002B647E"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CFFD738" w14:textId="7921B2AA" w:rsidR="00712E1A" w:rsidRPr="00EB2E7B" w:rsidRDefault="00712E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Wyznaczanie </w:t>
      </w:r>
      <w:r w:rsidR="009C789B" w:rsidRPr="00EB2E7B">
        <w:rPr>
          <w:rFonts w:asciiTheme="minorHAnsi" w:hAnsiTheme="minorHAnsi" w:cstheme="minorHAnsi"/>
          <w:sz w:val="20"/>
          <w:szCs w:val="20"/>
        </w:rPr>
        <w:t xml:space="preserve">przez ACPRO i OSDn danych pomiarowych i ich przekazywanie </w:t>
      </w:r>
      <w:proofErr w:type="spellStart"/>
      <w:r w:rsidR="009C789B" w:rsidRPr="00EB2E7B">
        <w:rPr>
          <w:rFonts w:asciiTheme="minorHAnsi" w:hAnsiTheme="minorHAnsi" w:cstheme="minorHAnsi"/>
          <w:sz w:val="20"/>
          <w:szCs w:val="20"/>
        </w:rPr>
        <w:t>OSDp</w:t>
      </w:r>
      <w:proofErr w:type="spellEnd"/>
      <w:r w:rsidR="009C789B" w:rsidRPr="00EB2E7B">
        <w:rPr>
          <w:rFonts w:asciiTheme="minorHAnsi" w:hAnsiTheme="minorHAnsi" w:cstheme="minorHAnsi"/>
          <w:sz w:val="20"/>
          <w:szCs w:val="20"/>
        </w:rPr>
        <w:t xml:space="preserve"> oraz udostępnianie OSP przez </w:t>
      </w:r>
      <w:proofErr w:type="spellStart"/>
      <w:r w:rsidR="009C789B" w:rsidRPr="00EB2E7B">
        <w:rPr>
          <w:rFonts w:asciiTheme="minorHAnsi" w:hAnsiTheme="minorHAnsi" w:cstheme="minorHAnsi"/>
          <w:sz w:val="20"/>
          <w:szCs w:val="20"/>
        </w:rPr>
        <w:t>OSDp</w:t>
      </w:r>
      <w:proofErr w:type="spellEnd"/>
      <w:r w:rsidR="009C789B" w:rsidRPr="00EB2E7B">
        <w:rPr>
          <w:rFonts w:asciiTheme="minorHAnsi" w:hAnsiTheme="minorHAnsi" w:cstheme="minorHAnsi"/>
          <w:sz w:val="20"/>
          <w:szCs w:val="20"/>
        </w:rPr>
        <w:t xml:space="preserve"> tych danych, odbywa się zgodnie z zasadami opisanymi w </w:t>
      </w:r>
      <w:proofErr w:type="spellStart"/>
      <w:r w:rsidR="009C789B" w:rsidRPr="00EB2E7B">
        <w:rPr>
          <w:rFonts w:asciiTheme="minorHAnsi" w:hAnsiTheme="minorHAnsi" w:cstheme="minorHAnsi"/>
          <w:sz w:val="20"/>
          <w:szCs w:val="20"/>
        </w:rPr>
        <w:t>IRiESD</w:t>
      </w:r>
      <w:proofErr w:type="spellEnd"/>
      <w:r w:rsidR="009C789B" w:rsidRPr="00EB2E7B">
        <w:rPr>
          <w:rFonts w:asciiTheme="minorHAnsi" w:hAnsiTheme="minorHAnsi" w:cstheme="minorHAnsi"/>
          <w:sz w:val="20"/>
          <w:szCs w:val="20"/>
        </w:rPr>
        <w:t xml:space="preserve"> oraz odpowiednio zgodnie zasadami opisanymi w</w:t>
      </w:r>
      <w:r w:rsidR="003808E7" w:rsidRPr="00EB2E7B">
        <w:rPr>
          <w:rFonts w:asciiTheme="minorHAnsi" w:hAnsiTheme="minorHAnsi" w:cstheme="minorHAnsi"/>
          <w:sz w:val="20"/>
          <w:szCs w:val="20"/>
        </w:rPr>
        <w:t> </w:t>
      </w:r>
      <w:r w:rsidR="009C789B" w:rsidRPr="00EB2E7B">
        <w:rPr>
          <w:rFonts w:asciiTheme="minorHAnsi" w:hAnsiTheme="minorHAnsi" w:cstheme="minorHAnsi"/>
          <w:sz w:val="20"/>
          <w:szCs w:val="20"/>
        </w:rPr>
        <w:t xml:space="preserve"> </w:t>
      </w:r>
      <w:proofErr w:type="spellStart"/>
      <w:r w:rsidR="009C789B" w:rsidRPr="00EB2E7B">
        <w:rPr>
          <w:rFonts w:asciiTheme="minorHAnsi" w:hAnsiTheme="minorHAnsi" w:cstheme="minorHAnsi"/>
          <w:sz w:val="20"/>
          <w:szCs w:val="20"/>
        </w:rPr>
        <w:t>IRiESP</w:t>
      </w:r>
      <w:proofErr w:type="spellEnd"/>
      <w:r w:rsidR="009C789B" w:rsidRPr="00EB2E7B">
        <w:rPr>
          <w:rFonts w:asciiTheme="minorHAnsi" w:hAnsiTheme="minorHAnsi" w:cstheme="minorHAnsi"/>
          <w:sz w:val="20"/>
          <w:szCs w:val="20"/>
        </w:rPr>
        <w:t>, WDB lub RRM.</w:t>
      </w:r>
    </w:p>
    <w:p w14:paraId="297C3340" w14:textId="74FB28FA" w:rsidR="00712E1A" w:rsidRPr="00EB2E7B" w:rsidRDefault="00712E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Z</w:t>
      </w:r>
      <w:r w:rsidR="003808E7" w:rsidRPr="00EB2E7B">
        <w:rPr>
          <w:rFonts w:asciiTheme="minorHAnsi" w:hAnsiTheme="minorHAnsi" w:cstheme="minorHAnsi"/>
          <w:sz w:val="20"/>
          <w:szCs w:val="20"/>
        </w:rPr>
        <w:t>a</w:t>
      </w:r>
      <w:r w:rsidRPr="00EB2E7B">
        <w:rPr>
          <w:rFonts w:asciiTheme="minorHAnsi" w:hAnsiTheme="minorHAnsi" w:cstheme="minorHAnsi"/>
          <w:sz w:val="20"/>
          <w:szCs w:val="20"/>
        </w:rPr>
        <w:t>wieszenie lub zaprzestanie, niezależnie od przyczyny, działalności na RB przez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lub zaprzestanie niezależnie od przyczyny bilansowania handlowego sprzedawcy lub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typu wytwórca lub posiadacz magazynu energii elektrycznej w obszarze sieci OSD</w:t>
      </w:r>
      <w:r w:rsidR="0041412D" w:rsidRPr="00EB2E7B">
        <w:rPr>
          <w:rFonts w:asciiTheme="minorHAnsi" w:hAnsiTheme="minorHAnsi" w:cstheme="minorHAnsi"/>
          <w:sz w:val="20"/>
          <w:szCs w:val="20"/>
        </w:rPr>
        <w:t>n</w:t>
      </w:r>
      <w:r w:rsidRPr="00EB2E7B">
        <w:rPr>
          <w:rFonts w:asciiTheme="minorHAnsi" w:hAnsiTheme="minorHAnsi" w:cstheme="minorHAnsi"/>
          <w:sz w:val="20"/>
          <w:szCs w:val="20"/>
        </w:rPr>
        <w:t xml:space="preserve"> </w:t>
      </w:r>
      <w:r w:rsidR="00CA3F6C" w:rsidRPr="00EB2E7B">
        <w:rPr>
          <w:rFonts w:asciiTheme="minorHAnsi" w:hAnsiTheme="minorHAnsi" w:cstheme="minorHAnsi"/>
          <w:sz w:val="20"/>
          <w:szCs w:val="20"/>
        </w:rPr>
        <w:t xml:space="preserve">(w tym ACPRO) </w:t>
      </w:r>
      <w:r w:rsidRPr="00EB2E7B">
        <w:rPr>
          <w:rFonts w:asciiTheme="minorHAnsi" w:hAnsiTheme="minorHAnsi" w:cstheme="minorHAnsi"/>
          <w:sz w:val="20"/>
          <w:szCs w:val="20"/>
        </w:rPr>
        <w:t>lub PEP na której operatorem jest wyznaczony OSD</w:t>
      </w:r>
      <w:r w:rsidR="00AF285E" w:rsidRPr="00EB2E7B">
        <w:rPr>
          <w:rFonts w:asciiTheme="minorHAnsi" w:hAnsiTheme="minorHAnsi" w:cstheme="minorHAnsi"/>
          <w:sz w:val="20"/>
          <w:szCs w:val="20"/>
        </w:rPr>
        <w:t>n</w:t>
      </w:r>
      <w:r w:rsidR="00CA3F6C"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będzie skutkować zaprzestaniem przekazywania 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danych pomiarowych na MB tego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Tym samym dane pomiarowe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będą uwzględniane w zużyciu energii elektrycznej OSD</w:t>
      </w:r>
      <w:r w:rsidR="002815E8" w:rsidRPr="00EB2E7B">
        <w:rPr>
          <w:rFonts w:asciiTheme="minorHAnsi" w:hAnsiTheme="minorHAnsi" w:cstheme="minorHAnsi"/>
          <w:sz w:val="20"/>
          <w:szCs w:val="20"/>
        </w:rPr>
        <w:t>n</w:t>
      </w:r>
      <w:r w:rsidRPr="00EB2E7B">
        <w:rPr>
          <w:rFonts w:asciiTheme="minorHAnsi" w:hAnsiTheme="minorHAnsi" w:cstheme="minorHAnsi"/>
          <w:sz w:val="20"/>
          <w:szCs w:val="20"/>
        </w:rPr>
        <w:t xml:space="preserve"> lub PEP, chyba że zostanie wskazany inny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w:t>
      </w:r>
      <w:r w:rsidR="005C57DF" w:rsidRPr="00EB2E7B">
        <w:rPr>
          <w:rFonts w:asciiTheme="minorHAnsi" w:hAnsiTheme="minorHAnsi" w:cstheme="minorHAnsi"/>
          <w:sz w:val="20"/>
          <w:szCs w:val="20"/>
        </w:rPr>
        <w:t> </w:t>
      </w:r>
      <w:r w:rsidRPr="00EB2E7B">
        <w:rPr>
          <w:rFonts w:asciiTheme="minorHAnsi" w:hAnsiTheme="minorHAnsi" w:cstheme="minorHAnsi"/>
          <w:sz w:val="20"/>
          <w:szCs w:val="20"/>
        </w:rPr>
        <w:t>terminie umożliwiającym zmianę konfiguracji obiektów tego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(zgodnie z</w:t>
      </w:r>
      <w:r w:rsidR="005C57DF" w:rsidRPr="00EB2E7B">
        <w:rPr>
          <w:rFonts w:asciiTheme="minorHAnsi" w:hAnsiTheme="minorHAnsi" w:cstheme="minorHAnsi"/>
          <w:sz w:val="20"/>
          <w:szCs w:val="20"/>
        </w:rPr>
        <w:t> </w:t>
      </w:r>
      <w:r w:rsidRPr="00EB2E7B">
        <w:rPr>
          <w:rFonts w:asciiTheme="minorHAnsi" w:hAnsiTheme="minorHAnsi" w:cstheme="minorHAnsi"/>
          <w:sz w:val="20"/>
          <w:szCs w:val="20"/>
        </w:rPr>
        <w:t xml:space="preserve">zasadami opisanymi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p>
    <w:p w14:paraId="21FA971F" w14:textId="799F13FB" w:rsidR="00712E1A" w:rsidRPr="00EB2E7B" w:rsidRDefault="00712E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Zaprzestanie przez sprzedawcę sprzedaży energii elektrycznej do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o ile nie ma sprzedawcy rezerwowego, będzie skutkować zaprzestaniem przekazywania przez ACPRO danych pomiarowych na MB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wybranego przez tego sprzedawcę, a tym samym dane pomiarowe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będą powiększać zużycie energii elektrycznej OSD</w:t>
      </w:r>
      <w:r w:rsidR="00BA1510" w:rsidRPr="00EB2E7B">
        <w:rPr>
          <w:rFonts w:asciiTheme="minorHAnsi" w:hAnsiTheme="minorHAnsi" w:cstheme="minorHAnsi"/>
          <w:sz w:val="20"/>
          <w:szCs w:val="20"/>
        </w:rPr>
        <w:t>n</w:t>
      </w:r>
      <w:r w:rsidR="00CA3F6C"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lub PEP.</w:t>
      </w:r>
    </w:p>
    <w:p w14:paraId="7C8CBF79" w14:textId="7E006AC8" w:rsidR="00712E1A" w:rsidRPr="00EB2E7B" w:rsidRDefault="00712E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lastRenderedPageBreak/>
        <w:t>Przekazywanie przez OSD</w:t>
      </w:r>
      <w:r w:rsidR="00BA1510" w:rsidRPr="00EB2E7B">
        <w:rPr>
          <w:rFonts w:asciiTheme="minorHAnsi" w:hAnsiTheme="minorHAnsi" w:cstheme="minorHAnsi"/>
          <w:sz w:val="20"/>
          <w:szCs w:val="20"/>
        </w:rPr>
        <w:t>n</w:t>
      </w:r>
      <w:r w:rsidR="009634EA"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danych pomiarowych na potrzeby rynku mocy, odbywa się w trybie dobowym, na następujących zasadach:</w:t>
      </w:r>
    </w:p>
    <w:p w14:paraId="1A5EEB7B" w14:textId="33ECCC9D" w:rsidR="00712E1A" w:rsidRPr="00EB2E7B" w:rsidRDefault="00712E1A" w:rsidP="00834667">
      <w:pPr>
        <w:pStyle w:val="aprzed"/>
        <w:numPr>
          <w:ilvl w:val="0"/>
          <w:numId w:val="147"/>
        </w:numPr>
        <w:ind w:left="1701" w:hanging="566"/>
        <w:rPr>
          <w:rFonts w:asciiTheme="minorHAnsi" w:hAnsiTheme="minorHAnsi" w:cstheme="minorHAnsi"/>
          <w:sz w:val="20"/>
          <w:szCs w:val="20"/>
        </w:rPr>
      </w:pPr>
      <w:r w:rsidRPr="00EB2E7B">
        <w:rPr>
          <w:rFonts w:asciiTheme="minorHAnsi" w:hAnsiTheme="minorHAnsi" w:cstheme="minorHAnsi"/>
          <w:sz w:val="20"/>
          <w:szCs w:val="20"/>
        </w:rPr>
        <w:t>w trybie wstępnym dla doby n do godziny 9:00 doby n+1,</w:t>
      </w:r>
    </w:p>
    <w:p w14:paraId="1E727DC7" w14:textId="72D959BF" w:rsidR="00712E1A" w:rsidRPr="00EB2E7B" w:rsidRDefault="00712E1A" w:rsidP="00834667">
      <w:pPr>
        <w:pStyle w:val="aprzed"/>
        <w:numPr>
          <w:ilvl w:val="0"/>
          <w:numId w:val="147"/>
        </w:numPr>
        <w:ind w:left="1701" w:hanging="566"/>
        <w:rPr>
          <w:rFonts w:asciiTheme="minorHAnsi" w:hAnsiTheme="minorHAnsi" w:cstheme="minorHAnsi"/>
          <w:sz w:val="20"/>
          <w:szCs w:val="20"/>
        </w:rPr>
      </w:pPr>
      <w:r w:rsidRPr="00EB2E7B">
        <w:rPr>
          <w:rFonts w:asciiTheme="minorHAnsi" w:hAnsiTheme="minorHAnsi" w:cstheme="minorHAnsi"/>
          <w:sz w:val="20"/>
          <w:szCs w:val="20"/>
        </w:rPr>
        <w:t>w trybie podstawowym za miesiąc m do 3 dnia kalendarzowego miesiąca m+1,</w:t>
      </w:r>
    </w:p>
    <w:p w14:paraId="1754DF9D" w14:textId="30A6288B" w:rsidR="00712E1A" w:rsidRPr="00EB2E7B" w:rsidRDefault="00712E1A" w:rsidP="00834667">
      <w:pPr>
        <w:pStyle w:val="aprzed"/>
        <w:numPr>
          <w:ilvl w:val="0"/>
          <w:numId w:val="147"/>
        </w:numPr>
        <w:ind w:left="1701" w:hanging="566"/>
        <w:rPr>
          <w:rFonts w:asciiTheme="minorHAnsi" w:hAnsiTheme="minorHAnsi" w:cstheme="minorHAnsi"/>
          <w:sz w:val="20"/>
          <w:szCs w:val="20"/>
        </w:rPr>
      </w:pPr>
      <w:r w:rsidRPr="00EB2E7B">
        <w:rPr>
          <w:rFonts w:asciiTheme="minorHAnsi" w:hAnsiTheme="minorHAnsi" w:cstheme="minorHAnsi"/>
          <w:sz w:val="20"/>
          <w:szCs w:val="20"/>
        </w:rPr>
        <w:t>w trybie dodatkowym za miesiąc m do 2 dnia kalendarzowego miesiąca m+2.</w:t>
      </w:r>
    </w:p>
    <w:p w14:paraId="716E1C8F" w14:textId="2E44C5B0" w:rsidR="00712E1A" w:rsidRPr="00EB2E7B" w:rsidRDefault="00712E1A" w:rsidP="00621D4E">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zastrzeżeń dostawcy mocy w rozumieniu ustawy o rynku mocy do danych pomiarowych, OSD</w:t>
      </w:r>
      <w:r w:rsidR="00BA1510" w:rsidRPr="00EB2E7B">
        <w:rPr>
          <w:rFonts w:asciiTheme="minorHAnsi" w:hAnsiTheme="minorHAnsi" w:cstheme="minorHAnsi"/>
          <w:sz w:val="20"/>
          <w:szCs w:val="20"/>
        </w:rPr>
        <w:t>n</w:t>
      </w:r>
      <w:r w:rsidRPr="00EB2E7B">
        <w:rPr>
          <w:rFonts w:asciiTheme="minorHAnsi" w:hAnsiTheme="minorHAnsi" w:cstheme="minorHAnsi"/>
          <w:sz w:val="20"/>
          <w:szCs w:val="20"/>
        </w:rPr>
        <w:t xml:space="preserve"> rozpatruje zastrzeżenia poprzez ponowną weryfikację danych pomiarowych przekazanych w trybie podstawowym i w razie potrzeby przekazuje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skorygowane dane pomiarowe do 2 dnia kalendarzowego miesiąca m+3.</w:t>
      </w:r>
    </w:p>
    <w:p w14:paraId="3758F740" w14:textId="1D05BBB8" w:rsidR="00712E1A" w:rsidRPr="00EB2E7B" w:rsidRDefault="00712E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Przekazywanie </w:t>
      </w:r>
      <w:r w:rsidR="009C789B" w:rsidRPr="00EB2E7B">
        <w:rPr>
          <w:rFonts w:asciiTheme="minorHAnsi" w:hAnsiTheme="minorHAnsi" w:cstheme="minorHAnsi"/>
          <w:sz w:val="20"/>
          <w:szCs w:val="20"/>
        </w:rPr>
        <w:t xml:space="preserve">przez ACPRO i OSDn danych pomiarowych </w:t>
      </w:r>
      <w:proofErr w:type="spellStart"/>
      <w:r w:rsidR="009C789B" w:rsidRPr="00EB2E7B">
        <w:rPr>
          <w:rFonts w:asciiTheme="minorHAnsi" w:hAnsiTheme="minorHAnsi" w:cstheme="minorHAnsi"/>
          <w:sz w:val="20"/>
          <w:szCs w:val="20"/>
        </w:rPr>
        <w:t>OSDp</w:t>
      </w:r>
      <w:proofErr w:type="spellEnd"/>
      <w:r w:rsidR="009C789B" w:rsidRPr="00EB2E7B">
        <w:rPr>
          <w:rFonts w:asciiTheme="minorHAnsi" w:hAnsiTheme="minorHAnsi" w:cstheme="minorHAnsi"/>
          <w:sz w:val="20"/>
          <w:szCs w:val="20"/>
        </w:rPr>
        <w:t xml:space="preserve"> na potrzeby rozliczeń </w:t>
      </w:r>
      <w:r w:rsidR="00CC6847" w:rsidRPr="00EB2E7B">
        <w:rPr>
          <w:rFonts w:asciiTheme="minorHAnsi" w:hAnsiTheme="minorHAnsi" w:cstheme="minorHAnsi"/>
          <w:sz w:val="20"/>
          <w:szCs w:val="20"/>
        </w:rPr>
        <w:t>usługi IRP i usługi IZP</w:t>
      </w:r>
      <w:r w:rsidR="009C789B" w:rsidRPr="00EB2E7B">
        <w:rPr>
          <w:rFonts w:asciiTheme="minorHAnsi" w:hAnsiTheme="minorHAnsi" w:cstheme="minorHAnsi"/>
          <w:sz w:val="20"/>
          <w:szCs w:val="20"/>
        </w:rPr>
        <w:t xml:space="preserve"> odbywa się na zasadach określonych w</w:t>
      </w:r>
      <w:r w:rsidR="00CC6847" w:rsidRPr="00EB2E7B">
        <w:rPr>
          <w:rFonts w:asciiTheme="minorHAnsi" w:hAnsiTheme="minorHAnsi" w:cstheme="minorHAnsi"/>
          <w:sz w:val="20"/>
          <w:szCs w:val="20"/>
        </w:rPr>
        <w:t> </w:t>
      </w:r>
      <w:r w:rsidR="009C789B" w:rsidRPr="00EB2E7B">
        <w:rPr>
          <w:rFonts w:asciiTheme="minorHAnsi" w:hAnsiTheme="minorHAnsi" w:cstheme="minorHAnsi"/>
          <w:sz w:val="20"/>
          <w:szCs w:val="20"/>
        </w:rPr>
        <w:t>pkt</w:t>
      </w:r>
      <w:r w:rsidR="00CC6847" w:rsidRPr="00EB2E7B">
        <w:rPr>
          <w:rFonts w:asciiTheme="minorHAnsi" w:hAnsiTheme="minorHAnsi" w:cstheme="minorHAnsi"/>
          <w:sz w:val="20"/>
          <w:szCs w:val="20"/>
        </w:rPr>
        <w:t> </w:t>
      </w:r>
      <w:r w:rsidR="00A17C2B" w:rsidRPr="00EB2E7B">
        <w:rPr>
          <w:rFonts w:asciiTheme="minorHAnsi" w:hAnsiTheme="minorHAnsi" w:cstheme="minorHAnsi"/>
          <w:sz w:val="20"/>
          <w:szCs w:val="20"/>
        </w:rPr>
        <w:fldChar w:fldCharType="begin"/>
      </w:r>
      <w:r w:rsidR="00A17C2B" w:rsidRPr="00EB2E7B">
        <w:rPr>
          <w:rFonts w:asciiTheme="minorHAnsi" w:hAnsiTheme="minorHAnsi" w:cstheme="minorHAnsi"/>
          <w:sz w:val="20"/>
          <w:szCs w:val="20"/>
        </w:rPr>
        <w:instrText xml:space="preserve"> REF _Ref173227171 \w \h  \* MERGEFORMAT </w:instrText>
      </w:r>
      <w:r w:rsidR="00A17C2B" w:rsidRPr="00EB2E7B">
        <w:rPr>
          <w:rFonts w:asciiTheme="minorHAnsi" w:hAnsiTheme="minorHAnsi" w:cstheme="minorHAnsi"/>
          <w:sz w:val="20"/>
          <w:szCs w:val="20"/>
        </w:rPr>
      </w:r>
      <w:r w:rsidR="00A17C2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A.9.3.5</w:t>
      </w:r>
      <w:r w:rsidR="00A17C2B" w:rsidRPr="00EB2E7B">
        <w:rPr>
          <w:rFonts w:asciiTheme="minorHAnsi" w:hAnsiTheme="minorHAnsi" w:cstheme="minorHAnsi"/>
          <w:sz w:val="20"/>
          <w:szCs w:val="20"/>
        </w:rPr>
        <w:fldChar w:fldCharType="end"/>
      </w:r>
      <w:r w:rsidR="009C789B" w:rsidRPr="00EB2E7B">
        <w:rPr>
          <w:rFonts w:asciiTheme="minorHAnsi" w:hAnsiTheme="minorHAnsi" w:cstheme="minorHAnsi"/>
          <w:sz w:val="20"/>
          <w:szCs w:val="20"/>
        </w:rPr>
        <w:t>.</w:t>
      </w:r>
    </w:p>
    <w:p w14:paraId="025B5BBE" w14:textId="7DB010D1" w:rsidR="009C789B" w:rsidRPr="00EB2E7B" w:rsidRDefault="009C789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Przekazywanie przez ACPRO i OSDn danych pomiarowych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na potrzeby rozliczeń usług bilansujących odbywa się na zasadach określonych w pkt </w:t>
      </w:r>
      <w:r w:rsidR="005C6259" w:rsidRPr="00EB2E7B">
        <w:rPr>
          <w:rFonts w:asciiTheme="minorHAnsi" w:hAnsiTheme="minorHAnsi" w:cstheme="minorHAnsi"/>
          <w:sz w:val="20"/>
          <w:szCs w:val="20"/>
        </w:rPr>
        <w:fldChar w:fldCharType="begin"/>
      </w:r>
      <w:r w:rsidR="005C6259" w:rsidRPr="00EB2E7B">
        <w:rPr>
          <w:rFonts w:asciiTheme="minorHAnsi" w:hAnsiTheme="minorHAnsi" w:cstheme="minorHAnsi"/>
          <w:sz w:val="20"/>
          <w:szCs w:val="20"/>
        </w:rPr>
        <w:instrText xml:space="preserve"> REF _Ref173227222 \w \h  \* MERGEFORMAT </w:instrText>
      </w:r>
      <w:r w:rsidR="005C6259" w:rsidRPr="00EB2E7B">
        <w:rPr>
          <w:rFonts w:asciiTheme="minorHAnsi" w:hAnsiTheme="minorHAnsi" w:cstheme="minorHAnsi"/>
          <w:sz w:val="20"/>
          <w:szCs w:val="20"/>
        </w:rPr>
      </w:r>
      <w:r w:rsidR="005C625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A.10.3</w:t>
      </w:r>
      <w:r w:rsidR="005C6259"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1CB95107" w14:textId="77777777" w:rsidR="009B3C6D" w:rsidRDefault="001F7378">
      <w:pPr>
        <w:pStyle w:val="ANagwek2"/>
        <w:rPr>
          <w:rFonts w:asciiTheme="minorHAnsi" w:hAnsiTheme="minorHAnsi" w:cstheme="minorHAnsi"/>
          <w:sz w:val="20"/>
          <w:szCs w:val="20"/>
        </w:rPr>
      </w:pPr>
      <w:bookmarkStart w:id="467" w:name="_Ref190119102"/>
      <w:bookmarkStart w:id="468" w:name="_Toc239333374"/>
      <w:r>
        <w:rPr>
          <w:rFonts w:asciiTheme="minorHAnsi" w:hAnsiTheme="minorHAnsi" w:cstheme="minorHAnsi"/>
          <w:sz w:val="20"/>
          <w:szCs w:val="20"/>
        </w:rPr>
        <w:t>ZASADY SPRZEDAŻY REZERWOWEJ</w:t>
      </w:r>
      <w:bookmarkEnd w:id="467"/>
      <w:bookmarkEnd w:id="468"/>
    </w:p>
    <w:p w14:paraId="0C662FB8"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Jeżeli ACPRO powziął informację, że dla danego PPE nie jest realizowana umowa sprzedaży albo umowa kompleksowa, w szczególności z powodu:</w:t>
      </w:r>
    </w:p>
    <w:p w14:paraId="474165D5"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niezgłoszenia do realizacji umowy sprzedaży albo umowy kompleksowej,</w:t>
      </w:r>
    </w:p>
    <w:p w14:paraId="32EC7ADD"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zaprzestania sprzedaży energii elektrycznej, na podstawie dotychczasowej umowy sprzedaży albo umowy kompleksowej,</w:t>
      </w:r>
    </w:p>
    <w:p w14:paraId="35324C00"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3) wygaśnięcia albo rozwiązania umowy sprzedaży albo umowy kompleksowej z dotychczasowym sprzedawcą</w:t>
      </w:r>
    </w:p>
    <w:p w14:paraId="659A5C10"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 ACPRO informuje niezwłocznie sprzedawcę rezerwowego o zawarciu z mocy prawa odpowiednio umowy sprzedaży rezerwowej albo rezerwowej umowy kompleksowej oraz o dacie zawarcia tej umowy.</w:t>
      </w:r>
    </w:p>
    <w:p w14:paraId="6DCAB743"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Umowa sprzedaży rezerwowej albo rezerwowa umowa kompleksowa zawierana jest z mocy prawa z dniem zaprzestania realizacji umowy sprzedaży albo umowy kompleksowej. Umowa ta jest zawierana na czas nieokreślony.</w:t>
      </w:r>
    </w:p>
    <w:p w14:paraId="14E5834C"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Umowa sprzedaży rezerwowej albo rezerwowa umowa kompleksowa nie jest zawierana w przypadku, gdy:</w:t>
      </w:r>
    </w:p>
    <w:p w14:paraId="43EABB1F"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URD pobiera energię elektryczną z wykorzystaniem przedpłatowej formy rozliczeń, o której mowa w art. 11t ust. 12 Ustawy,</w:t>
      </w:r>
    </w:p>
    <w:p w14:paraId="1F197D2A"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nastąpiło wstrzymanie dostarczania energii elektrycznej do URD z przyczyn, o których mowa w art. 6a ust. 3 lub art. 6b ust. 1 i 2 Ustawy,</w:t>
      </w:r>
    </w:p>
    <w:p w14:paraId="2FE37320"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3) nastąpiło wygaśnięcie lub rozwiązanie umowy dystrybucji zawartej z URD, a ten URD nie zawarł nowej umowy dystrybucji,</w:t>
      </w:r>
    </w:p>
    <w:p w14:paraId="43C45550"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4) nastąpiło wygaśnięcie lub rozwiązanie umowy sprzedaży rezerwowej albo rezerwowej umowy kompleksowej z URD, a ten URD nie zawarł nowej umowy sprzedaży albo umowy kompleksowej po ich wygaśnięciu, chyba że zmiana sprzedawcy rezerwowego nastąpiła w </w:t>
      </w:r>
      <w:r>
        <w:rPr>
          <w:rFonts w:asciiTheme="minorHAnsi" w:hAnsiTheme="minorHAnsi" w:cstheme="minorHAnsi"/>
          <w:sz w:val="20"/>
          <w:szCs w:val="20"/>
        </w:rPr>
        <w:lastRenderedPageBreak/>
        <w:t>wyniku zmiany sprzedawcy zobowiązanego wyznaczonego zgodnie z art. 40 ust. 3 pkt 1 Ustawy OZE w trakcie obowiązywania umowy sprzedaży rezerwowej albo rezerwowej umowy kompleksowej,</w:t>
      </w:r>
    </w:p>
    <w:p w14:paraId="5E09AADD"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5) na dzień poprzedzający zawarcie umowy sprzedaży rezerwowej albo rezerwowej umowy kompleksowej, URD objęty już był sprzedażą rezerwową,</w:t>
      </w:r>
    </w:p>
    <w:p w14:paraId="33ECC118"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6) dla danego PPE – w dniu poprzedzającym powzięcie informacji, o której mowa w pkt A.7.1. – nie była realizowana umowa sprzedaży albo umowa kompleksowa.</w:t>
      </w:r>
    </w:p>
    <w:p w14:paraId="1CB88346"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ACPRO w terminie 5 dni kalendarzowych od dnia uruchomienia sprzedaży rezerwowej informuje URD o:</w:t>
      </w:r>
    </w:p>
    <w:p w14:paraId="6D90C7D4"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zawarciu umowy sprzedaży rezerwowej albo rezerwowej umowy kompleksowej,</w:t>
      </w:r>
    </w:p>
    <w:p w14:paraId="664F0115"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dacie uruchomienia sprzedaży rezerwowej,</w:t>
      </w:r>
    </w:p>
    <w:p w14:paraId="7FE96036"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3) podstawie prawnej jej uruchomienia, jak również przyczynach jej uruchomienia,</w:t>
      </w:r>
    </w:p>
    <w:p w14:paraId="371CF2CD"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4) danych teleadresowych sprzedawcy rezerwowego,</w:t>
      </w:r>
    </w:p>
    <w:p w14:paraId="6C9B6DA0"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5) miejscu opublikowania przez sprzedawcę rezerwowego warunków umowy sprzedaży rezerwowej albo rezerwowej umowy kompleksowej.</w:t>
      </w:r>
    </w:p>
    <w:p w14:paraId="21C97416"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W przypadku uruchomienia sprzedaży rezerwowej, sprzedawca rezerwowy przekazuje URD jeden egzemplarz umowy sprzedaży rezerwowej albo rezerwowej umowy kompleksowej, w terminie 30 dni kalendarzowych od dnia otrzymania przez sprzedawcę rezerwowego od ACPRO informacji, o której mowa w pkt A.7.1., oraz informuje tego URD o jego prawie do wypowiedzenia umowy sprzedaży rezerwowej albo rezerwowej umowy kompleksowej.</w:t>
      </w:r>
    </w:p>
    <w:p w14:paraId="48772544"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ACPRO nie ponosi odpowiedzialności za konsekwencje uruchomienia lub nieuruchomienia sprzedaży rezerwowej wynikające z działań lub zaniechań użytkowników systemu.</w:t>
      </w:r>
    </w:p>
    <w:p w14:paraId="1DDD812A"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Sprzedawca rezerwowy zobowiązuje się powiadomić ACPRO o dacie wygaśnięcia lub rozwiązania umowy sprzedaży rezerwowej albo rezerwowej umowy kompleksowej, zgodnie z pkt D.1.8. Obowiązek powiadomienia, o którym mowa w zdaniu poprzednim, nie ma zastosowania, gdy umowa sprzedaży rezerwowej albo rezerwowa umowa kompleksowa wygasa z mocy prawa zgodnie z przepisami art. 5ae ust. 2 Ustawy.</w:t>
      </w:r>
    </w:p>
    <w:p w14:paraId="55B0EB78"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ACPRO udostępnia sprzedawcy rezerwowemu dane pomiarowe dotyczące ilości energii elektrycznej zużytej przez URD, zgodnie z zasadami wskazanymi w pkt C.1.</w:t>
      </w:r>
    </w:p>
    <w:p w14:paraId="7F4631CF"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W przypadku, gdy w sytuacjach, o których mowa w pkt A.7.1. – wystąpią okoliczności, o których mowa w pkt A.7.3. – ACPRO zaprzestaje dostarczania energii elektrycznej URD.</w:t>
      </w:r>
    </w:p>
    <w:p w14:paraId="42F1BC86"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ACPRO zaprzestaje realizacji:</w:t>
      </w:r>
    </w:p>
    <w:p w14:paraId="4EDA30ED"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1) umowy sprzedaży rezerwowej albo rezerwowej umowy kompleksowej z dniem rozpoczęcia,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sprzedaży energii elektrycznej albo świadczenia usługi kompleksowej na podstawie nowej umowy sprzedaży albo nowej umowy kompleksowej zawartej z wybranym przez URD sprzedawcą,</w:t>
      </w:r>
    </w:p>
    <w:p w14:paraId="2393E28B"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umowy sprzedaży rezerwowej z dniem wygaśnięcia lub rozwiązania umowy dystrybucji.</w:t>
      </w:r>
    </w:p>
    <w:p w14:paraId="7B66BE4B"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W przypadkach, o których mowa w pkt 1) i 2) umowa sprzedaży rezerwowej albo rezerwowa umowa kompleksowa wygasa z mocy prawa.</w:t>
      </w:r>
    </w:p>
    <w:p w14:paraId="2F9F2E3F"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lastRenderedPageBreak/>
        <w:t>Z chwilą uruchomienia umowy sprzedaży rezerwowej albo rezerwowej umowy kompleksowej, z przyczyn leżących po stronie dotychczasowego sprzedawcy, dotychczas obowiązująca umowa sprzedaży albo umowa kompleksowa ulega rozwiązaniu z mocy prawa, bez konieczności ponoszenia przez URD dodatkowych kosztów lub opłat.</w:t>
      </w:r>
    </w:p>
    <w:p w14:paraId="08BDE90D"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W przypadku uruchomienia sprzedaży rezerwowej dla URD w ramach:</w:t>
      </w:r>
    </w:p>
    <w:p w14:paraId="78A25A1B"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umowy sprzedaży rezerwowej,</w:t>
      </w:r>
    </w:p>
    <w:p w14:paraId="0767BB78"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rezerwowej umowy kompleksowej</w:t>
      </w:r>
    </w:p>
    <w:p w14:paraId="318F8F3C"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okres rozliczeniowy usług dystrybucyjnych staje się miesięczny, o ile w umowie dystrybucji był dłuższy okres rozliczeniowy usług dystrybucyjnych.</w:t>
      </w:r>
    </w:p>
    <w:p w14:paraId="7749913C" w14:textId="77777777" w:rsidR="00E954A0" w:rsidRDefault="00047FD1">
      <w:pPr>
        <w:ind w:left="1134" w:firstLine="0"/>
        <w:rPr>
          <w:rFonts w:asciiTheme="minorHAnsi" w:hAnsiTheme="minorHAnsi" w:cstheme="minorHAnsi"/>
          <w:b/>
          <w:bCs/>
          <w:sz w:val="20"/>
          <w:szCs w:val="20"/>
        </w:rPr>
      </w:pPr>
      <w:r>
        <w:rPr>
          <w:rFonts w:asciiTheme="minorHAnsi" w:hAnsiTheme="minorHAnsi" w:cstheme="minorHAnsi"/>
          <w:b/>
          <w:bCs/>
          <w:sz w:val="20"/>
          <w:szCs w:val="20"/>
        </w:rPr>
        <w:t>ZASADY SPRZEDAŻY REZERWOWEJ — brzmienie obowiązujące od dnia przystąpienia ACPRO do CSIRE</w:t>
      </w:r>
    </w:p>
    <w:p w14:paraId="5C55A048"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1. W przypadku gdy do CSIRE nie została przekazana przez sprzedawcę informacja o zawarciu umowy sprzedaży albo umowy kompleksowej dla danego PPE URD przyłączonego do sieci dystrybucyjnej ACPRO, OIRE niezwłocznie informuje o tym sprzedawcę rezerwowego.</w:t>
      </w:r>
    </w:p>
    <w:p w14:paraId="5BF2E32A"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2. Sprzedaż rezerwowa dla URD jest uruchamiana z chwilą poinformowania przez OIRE poprzez CSIRE sprzedawcy rezerwowego o potrzebie uruchomienia sprzedaży rezerwowej oraz przypisania tego sprzedawcy do PPE w CSIRE w ramach umowy sprzedaży rezerwowej albo umowy kompleksowej rezerwowej.</w:t>
      </w:r>
    </w:p>
    <w:p w14:paraId="1001A983"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3. ACPRO będzie realizował na rzecz URD sprzedaż rezerwową, o której mowa w pkt 2, po otrzymaniu od OIRE poprzez CSIRE powiadomienia o nowej umowie oraz powiadomienia o potencjalnej potrzebie przekazania danych pomiarowych.</w:t>
      </w:r>
    </w:p>
    <w:p w14:paraId="2AD0C59B"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4. Sprzedaż rezerwowa, o której mowa w pkt 2, nie jest uruchamiana w sytuacji, gdy:</w:t>
      </w:r>
    </w:p>
    <w:p w14:paraId="26399BEF"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URD pobiera energię elektryczną z wykorzystaniem przedpłatowej formy rozliczeń, o której mowa w art. 11t ust. 12 Ustawy,</w:t>
      </w:r>
    </w:p>
    <w:p w14:paraId="0B1FE463"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nastąpiło wstrzymanie dostarczania energii elektrycznej do URD z przyczyn, o których mowa w art. 6a ust. 3 oraz art. 6b ust. 1 i 2 Ustawy,</w:t>
      </w:r>
    </w:p>
    <w:p w14:paraId="61896528"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nastąpiło wygaśnięcie lub rozwiązanie umowy dystrybucji, a URD nie zawarł nowej umowy dystrybucji,</w:t>
      </w:r>
    </w:p>
    <w:p w14:paraId="6EFA9C66"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4) nastąpiło wygaśnięcie lub rozwiązanie umowy sprzedaży rezerwowej albo umowy kompleksowej zawierającej postanowienia umowy sprzedaży rezerwowej, a ten URD nie zawarł nowej umowy sprzedaży albo umowy kompleksowej po ich wygaśnięciu, chyba że zmiana sprzedawcy rezerwowego nastąpiła w wyniku zmiany sprzedawcy zobowiązanego wyznaczonego zgodnie z art. 40 ust. 3 pkt 1 Ustawy OZE w trakcie obowiązywania umowy sprzedaży rezerwowej albo umowy kompleksowej zawierającej postanowienia umowy sprzedaży rezerwowej,</w:t>
      </w:r>
    </w:p>
    <w:p w14:paraId="1F4EF256"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5) na dzień poprzedzający zawarcie umowy sprzedaży rezerwowej albo umowy kompleksowej zawierającej postanowienia umowy sprzedaży rezerwowej URD objęty już był sprzedażą rezerwową,</w:t>
      </w:r>
    </w:p>
    <w:p w14:paraId="32B39BB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6) dla danego PPE, na dzień poprzedzający weryfikację informacji, o których mowa w pkt 1, nie była realizowana umowa sprzedaży albo umowa kompleksowa.</w:t>
      </w:r>
    </w:p>
    <w:p w14:paraId="2F68B5F6"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lastRenderedPageBreak/>
        <w:t>5. Sprzedawca rezerwowy zobowiązuje się powiadomić OIRE o zakończeniu umowy sprzedaży rezerwowej albo umowy kompleksowej rezerwowej, zgodnie z pkt D.1.8.</w:t>
      </w:r>
    </w:p>
    <w:p w14:paraId="5F195DFB"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 xml:space="preserve">6. ACPRO przekazuje do CSIRE dane dotyczące ilości energii elektrycznej zużytej przez URD zgodnie z Ustawą i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w:t>
      </w:r>
    </w:p>
    <w:p w14:paraId="6B374830"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7. W przypadku zakończenia obowiązywania umowy sprzedaży albo umowy kompleksowej i nieotrzymania przez ACPRO z CSIRE powiadomienia o nowej umowie sprzedaży albo umowie kompleksowej, w przypadku URD, o których mowa w art. 6a ust. 3 i art. 6b Ustawy, ACPRO zaprzestaje dostarczania energii elektrycznej URD.</w:t>
      </w:r>
    </w:p>
    <w:p w14:paraId="42D949C1"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8. W przypadku, gdy umowa sprzedaży rezerwowej albo umowa kompleksowa rezerwowa przestała obowiązywać lub uległa rozwiązaniu, a ACPRO nie otrzymał z CSIRE powiadomienia o nowej umowie sprzedaży albo umowie kompleksowej, ACPRO zaprzestaje dostarczania energii elektrycznej URD.</w:t>
      </w:r>
    </w:p>
    <w:p w14:paraId="24EF55BE"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9. ACPRO zaprzestaje realizacji umowy sprzedaży rezerwowej albo umowy kompleksowej rezerwowej z dniem wskazanym przez CSIRE w otrzymanym przez ACPRO powiadomieniu o nowej umowie sprzedaży albo umowie kompleksowej zawartej z wybranym przez URD sprzedawcą.</w:t>
      </w:r>
    </w:p>
    <w:p w14:paraId="0CB931B1"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10. W przypadku uruchomienia sprzedaży rezerwowej dla URD i zmiany przez OIRE okresu rozliczeniowego dla PPE URD na okres 1-miesięczny w ramach umowy sprzedaży rezerwowej albo umowy kompleksowej rezerwowej, okres rozliczeniowy usług dystrybucyjnych w umowie dystrybucji zmienia się również na okres 1-miesięczny, o ile w umowie dystrybucji był dłuższy okres rozliczeniowy usług dystrybucyjnych.</w:t>
      </w:r>
    </w:p>
    <w:p w14:paraId="09EB578C" w14:textId="796EDF3E" w:rsidR="00D23EAD" w:rsidRPr="00EB2E7B" w:rsidRDefault="009A7468" w:rsidP="0024189C">
      <w:pPr>
        <w:pStyle w:val="ANagwek2"/>
        <w:rPr>
          <w:rFonts w:asciiTheme="minorHAnsi" w:hAnsiTheme="minorHAnsi" w:cstheme="minorHAnsi"/>
          <w:sz w:val="20"/>
          <w:szCs w:val="20"/>
        </w:rPr>
      </w:pPr>
      <w:bookmarkStart w:id="469" w:name="_Toc239333375"/>
      <w:r w:rsidRPr="00EB2E7B">
        <w:rPr>
          <w:rFonts w:asciiTheme="minorHAnsi" w:hAnsiTheme="minorHAnsi" w:cstheme="minorHAnsi"/>
          <w:sz w:val="20"/>
          <w:szCs w:val="20"/>
        </w:rPr>
        <w:t>ZASADY WYMIANY INFORMACJI</w:t>
      </w:r>
      <w:bookmarkEnd w:id="469"/>
    </w:p>
    <w:p w14:paraId="34FADF30" w14:textId="4021C77E" w:rsidR="00650939" w:rsidRPr="00EB2E7B" w:rsidRDefault="0077111A" w:rsidP="004854C6">
      <w:pPr>
        <w:pStyle w:val="ANagwek3"/>
        <w:rPr>
          <w:rFonts w:asciiTheme="minorHAnsi" w:hAnsiTheme="minorHAnsi" w:cstheme="minorHAnsi"/>
          <w:sz w:val="20"/>
          <w:szCs w:val="20"/>
        </w:rPr>
      </w:pPr>
      <w:bookmarkStart w:id="470" w:name="_Ref180152216"/>
      <w:r w:rsidRPr="00EB2E7B">
        <w:rPr>
          <w:rFonts w:asciiTheme="minorHAnsi" w:hAnsiTheme="minorHAnsi" w:cstheme="minorHAnsi"/>
          <w:sz w:val="20"/>
          <w:szCs w:val="20"/>
        </w:rPr>
        <w:t xml:space="preserve">Wymiana informacji między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i sprzedawcami odbywa się </w:t>
      </w:r>
      <w:r w:rsidR="00F76E0A" w:rsidRPr="00EB2E7B">
        <w:rPr>
          <w:rFonts w:asciiTheme="minorHAnsi" w:hAnsiTheme="minorHAnsi" w:cstheme="minorHAnsi"/>
          <w:sz w:val="20"/>
          <w:szCs w:val="20"/>
        </w:rPr>
        <w:t>na zasadach określonych w GUD do czasu stworzenia systemu wymiany informacji</w:t>
      </w:r>
      <w:r w:rsidR="000F6945" w:rsidRPr="00EB2E7B">
        <w:rPr>
          <w:rFonts w:asciiTheme="minorHAnsi" w:hAnsiTheme="minorHAnsi" w:cstheme="minorHAnsi"/>
          <w:sz w:val="20"/>
          <w:szCs w:val="20"/>
        </w:rPr>
        <w:t>.</w:t>
      </w:r>
    </w:p>
    <w:p w14:paraId="2FF993DF" w14:textId="19E941C6" w:rsidR="00A11B3D" w:rsidRPr="00EB2E7B" w:rsidRDefault="00AB035E" w:rsidP="004854C6">
      <w:pPr>
        <w:pStyle w:val="ANagwek3"/>
        <w:rPr>
          <w:rFonts w:asciiTheme="minorHAnsi" w:hAnsiTheme="minorHAnsi" w:cstheme="minorHAnsi"/>
          <w:sz w:val="20"/>
          <w:szCs w:val="20"/>
        </w:rPr>
      </w:pPr>
      <w:bookmarkStart w:id="471" w:name="_Ref190167262"/>
      <w:bookmarkEnd w:id="470"/>
      <w:r w:rsidRPr="00EB2E7B">
        <w:rPr>
          <w:rFonts w:asciiTheme="minorHAnsi" w:hAnsiTheme="minorHAnsi" w:cstheme="minorHAnsi"/>
          <w:sz w:val="20"/>
          <w:szCs w:val="20"/>
        </w:rPr>
        <w:t>Od dnia przystąpienia ACPRO do CSIRE w</w:t>
      </w:r>
      <w:r w:rsidR="00EC1167" w:rsidRPr="00EB2E7B">
        <w:rPr>
          <w:rFonts w:asciiTheme="minorHAnsi" w:hAnsiTheme="minorHAnsi" w:cstheme="minorHAnsi"/>
          <w:sz w:val="20"/>
          <w:szCs w:val="20"/>
        </w:rPr>
        <w:t>ymiana informacji rynku energii, w tym ich korekta, która dotyczy okresu poprzedzającego przystąpienie ACPRO do CSIRE:</w:t>
      </w:r>
      <w:bookmarkEnd w:id="471"/>
      <w:r w:rsidR="00EC1167" w:rsidRPr="00EB2E7B">
        <w:rPr>
          <w:rFonts w:asciiTheme="minorHAnsi" w:hAnsiTheme="minorHAnsi" w:cstheme="minorHAnsi"/>
          <w:sz w:val="20"/>
          <w:szCs w:val="20"/>
        </w:rPr>
        <w:t xml:space="preserve"> </w:t>
      </w:r>
    </w:p>
    <w:p w14:paraId="23C10EA6" w14:textId="7CA7561D" w:rsidR="00A11B3D" w:rsidRPr="00EB2E7B" w:rsidRDefault="00EC1167" w:rsidP="007A4CB2">
      <w:pPr>
        <w:pStyle w:val="Akapitzlist"/>
        <w:numPr>
          <w:ilvl w:val="1"/>
          <w:numId w:val="513"/>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objętych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-OIRE, może odbywać się poprzez CSIRE zgodnie z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-OIRE, </w:t>
      </w:r>
    </w:p>
    <w:p w14:paraId="375FBA3E" w14:textId="1324B0B7" w:rsidR="00EC1167" w:rsidRPr="00EB2E7B" w:rsidRDefault="00EC1167" w:rsidP="007A4CB2">
      <w:pPr>
        <w:pStyle w:val="Akapitzlist"/>
        <w:numPr>
          <w:ilvl w:val="1"/>
          <w:numId w:val="513"/>
        </w:numPr>
        <w:ind w:left="1701" w:hanging="567"/>
        <w:rPr>
          <w:rFonts w:asciiTheme="minorHAnsi" w:hAnsiTheme="minorHAnsi" w:cstheme="minorHAnsi"/>
          <w:sz w:val="20"/>
          <w:szCs w:val="20"/>
        </w:rPr>
      </w:pPr>
      <w:bookmarkStart w:id="472" w:name="_Ref190106161"/>
      <w:r w:rsidRPr="00EB2E7B">
        <w:rPr>
          <w:rFonts w:asciiTheme="minorHAnsi" w:hAnsiTheme="minorHAnsi" w:cstheme="minorHAnsi"/>
          <w:sz w:val="20"/>
          <w:szCs w:val="20"/>
        </w:rPr>
        <w:t xml:space="preserve">nie objętych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-OIRE, odbywa się z pominięciem CSIRE, na zasadach określonych przez </w:t>
      </w:r>
      <w:r w:rsidR="007A4CB2" w:rsidRPr="00EB2E7B">
        <w:rPr>
          <w:rFonts w:asciiTheme="minorHAnsi" w:hAnsiTheme="minorHAnsi" w:cstheme="minorHAnsi"/>
          <w:sz w:val="20"/>
          <w:szCs w:val="20"/>
        </w:rPr>
        <w:t>ACPRO.</w:t>
      </w:r>
      <w:bookmarkEnd w:id="472"/>
    </w:p>
    <w:p w14:paraId="4CF4A886" w14:textId="33C2EA6C" w:rsidR="00EC1167" w:rsidRPr="00EB2E7B" w:rsidRDefault="00EC1167" w:rsidP="004854C6">
      <w:pPr>
        <w:pStyle w:val="ANagwek3"/>
        <w:rPr>
          <w:rFonts w:asciiTheme="minorHAnsi" w:hAnsiTheme="minorHAnsi" w:cstheme="minorHAnsi"/>
          <w:sz w:val="20"/>
          <w:szCs w:val="20"/>
        </w:rPr>
      </w:pPr>
      <w:r>
        <w:rPr>
          <w:rFonts w:asciiTheme="minorHAnsi" w:hAnsiTheme="minorHAnsi" w:cstheme="minorHAnsi"/>
          <w:sz w:val="20"/>
          <w:szCs w:val="20"/>
        </w:rPr>
        <w:t xml:space="preserve">Wymiana informacji rynku energii między ACPRO i sprzedawcami, o których mowa w pkt A.8.2.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2) odbywa się poprzez dedykowany system informatyczny ACPRO, zgodnie z dokumentem „Standardy wymiany informacji” (SWI ACPRO), opublikowanym na stronie internetowej ACPRO.</w:t>
      </w:r>
    </w:p>
    <w:p w14:paraId="6B8CC224" w14:textId="5E084468" w:rsidR="007569CE" w:rsidRPr="00EB2E7B" w:rsidRDefault="00A11B3D" w:rsidP="004854C6">
      <w:pPr>
        <w:pStyle w:val="ANagwek3"/>
        <w:rPr>
          <w:rFonts w:asciiTheme="minorHAnsi" w:hAnsiTheme="minorHAnsi" w:cstheme="minorHAnsi"/>
          <w:sz w:val="20"/>
          <w:szCs w:val="20"/>
        </w:rPr>
      </w:pPr>
      <w:r>
        <w:rPr>
          <w:rFonts w:asciiTheme="minorHAnsi" w:hAnsiTheme="minorHAnsi" w:cstheme="minorHAnsi"/>
          <w:sz w:val="20"/>
          <w:szCs w:val="20"/>
        </w:rPr>
        <w:t xml:space="preserve">W przypadku wymiany informacji, które nie są objęte pkt A.8.2.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2) oraz SWI ACPRO, ACPRO określa sposób ich wymiany w umowach GUD oraz GUD-K, o których mowa w pkt A.4.3.6.</w:t>
      </w:r>
    </w:p>
    <w:p w14:paraId="48468D3A" w14:textId="2B3B8887" w:rsidR="00473957" w:rsidRPr="00EB2E7B" w:rsidRDefault="00A76295"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przypadku, gdy wymiana informacji pomiędzy </w:t>
      </w:r>
      <w:r w:rsidR="003D4D71"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a sprzedawcami lub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wymaga przekazania dodatkowych informacji, których wymiana nie jest możliwa za pośrednictwem CSIRE, wówczas wymiana informacji następuje zgodnie z SWI </w:t>
      </w:r>
      <w:r w:rsidR="003D4D71"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lub w trybie określonym w umowach, o których mowa w pkt </w:t>
      </w:r>
      <w:r w:rsidR="00A70F09" w:rsidRPr="00EB2E7B">
        <w:rPr>
          <w:rFonts w:asciiTheme="minorHAnsi" w:hAnsiTheme="minorHAnsi" w:cstheme="minorHAnsi"/>
          <w:sz w:val="20"/>
          <w:szCs w:val="20"/>
        </w:rPr>
        <w:fldChar w:fldCharType="begin"/>
      </w:r>
      <w:r w:rsidR="00A70F09" w:rsidRPr="00EB2E7B">
        <w:rPr>
          <w:rFonts w:asciiTheme="minorHAnsi" w:hAnsiTheme="minorHAnsi" w:cstheme="minorHAnsi"/>
          <w:sz w:val="20"/>
          <w:szCs w:val="20"/>
        </w:rPr>
        <w:instrText xml:space="preserve"> REF _Ref189420169 \w \h  \* MERGEFORMAT </w:instrText>
      </w:r>
      <w:r w:rsidR="00A70F09" w:rsidRPr="00EB2E7B">
        <w:rPr>
          <w:rFonts w:asciiTheme="minorHAnsi" w:hAnsiTheme="minorHAnsi" w:cstheme="minorHAnsi"/>
          <w:sz w:val="20"/>
          <w:szCs w:val="20"/>
        </w:rPr>
      </w:r>
      <w:r w:rsidR="00A70F0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A.4.3.5</w:t>
      </w:r>
      <w:r w:rsidR="00A70F09"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00A658F3" w:rsidRPr="00EB2E7B">
        <w:rPr>
          <w:rFonts w:asciiTheme="minorHAnsi" w:hAnsiTheme="minorHAnsi" w:cstheme="minorHAnsi"/>
          <w:sz w:val="20"/>
          <w:szCs w:val="20"/>
        </w:rPr>
        <w:t xml:space="preserve"> i</w:t>
      </w:r>
      <w:r w:rsidRPr="00EB2E7B">
        <w:rPr>
          <w:rFonts w:asciiTheme="minorHAnsi" w:hAnsiTheme="minorHAnsi" w:cstheme="minorHAnsi"/>
          <w:sz w:val="20"/>
          <w:szCs w:val="20"/>
        </w:rPr>
        <w:t xml:space="preserve"> </w:t>
      </w:r>
      <w:r w:rsidR="00A70F09" w:rsidRPr="00EB2E7B">
        <w:rPr>
          <w:rFonts w:asciiTheme="minorHAnsi" w:hAnsiTheme="minorHAnsi" w:cstheme="minorHAnsi"/>
          <w:sz w:val="20"/>
          <w:szCs w:val="20"/>
        </w:rPr>
        <w:t>GUD</w:t>
      </w:r>
      <w:r w:rsidRPr="00EB2E7B">
        <w:rPr>
          <w:rFonts w:asciiTheme="minorHAnsi" w:hAnsiTheme="minorHAnsi" w:cstheme="minorHAnsi"/>
          <w:sz w:val="20"/>
          <w:szCs w:val="20"/>
        </w:rPr>
        <w:t>.</w:t>
      </w:r>
    </w:p>
    <w:p w14:paraId="58B8B266" w14:textId="3CD7C8DE" w:rsidR="009A7468" w:rsidRPr="00EB2E7B" w:rsidRDefault="009A7468" w:rsidP="0024189C">
      <w:pPr>
        <w:pStyle w:val="ANagwek2"/>
        <w:rPr>
          <w:rFonts w:asciiTheme="minorHAnsi" w:hAnsiTheme="minorHAnsi" w:cstheme="minorHAnsi"/>
          <w:sz w:val="20"/>
          <w:szCs w:val="20"/>
        </w:rPr>
      </w:pPr>
      <w:bookmarkStart w:id="473" w:name="_Toc239333376"/>
      <w:r w:rsidRPr="00EB2E7B">
        <w:rPr>
          <w:rFonts w:asciiTheme="minorHAnsi" w:hAnsiTheme="minorHAnsi" w:cstheme="minorHAnsi"/>
          <w:sz w:val="20"/>
          <w:szCs w:val="20"/>
        </w:rPr>
        <w:t>ZASADY WSPÓŁPRACY DOTYCZĄCE USŁUGI IRP I USŁUGI IZP</w:t>
      </w:r>
      <w:bookmarkEnd w:id="473"/>
    </w:p>
    <w:p w14:paraId="2B2DC824" w14:textId="61D589A3" w:rsidR="00DB6476" w:rsidRPr="00EB2E7B" w:rsidRDefault="00CB68D9" w:rsidP="004854C6">
      <w:pPr>
        <w:pStyle w:val="ANagwek3Grubyy"/>
        <w:rPr>
          <w:rFonts w:asciiTheme="minorHAnsi" w:hAnsiTheme="minorHAnsi" w:cstheme="minorHAnsi"/>
          <w:sz w:val="20"/>
          <w:szCs w:val="20"/>
        </w:rPr>
      </w:pPr>
      <w:r w:rsidRPr="00EB2E7B">
        <w:rPr>
          <w:rFonts w:asciiTheme="minorHAnsi" w:hAnsiTheme="minorHAnsi" w:cstheme="minorHAnsi"/>
          <w:sz w:val="20"/>
          <w:szCs w:val="20"/>
        </w:rPr>
        <w:t>Postanowienia ogólne</w:t>
      </w:r>
    </w:p>
    <w:p w14:paraId="1D382912" w14:textId="05B1D1E3" w:rsidR="00CD7B36" w:rsidRPr="00EB2E7B" w:rsidRDefault="00CC6847"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Usługa IRP lub usługa IZP jest świadczona na rzecz OSP przez podmioty dysponujące sterowanymi odbiorami energii, zapewniające OSP dostęp do szybkiej interwencyjnej dostawy </w:t>
      </w:r>
      <w:r w:rsidRPr="00EB2E7B">
        <w:rPr>
          <w:rFonts w:asciiTheme="minorHAnsi" w:hAnsiTheme="minorHAnsi" w:cstheme="minorHAnsi"/>
          <w:sz w:val="20"/>
          <w:szCs w:val="20"/>
        </w:rPr>
        <w:lastRenderedPageBreak/>
        <w:t>mocy czynnej w zakresie redukcji lub zwiększenia przez odbiorców wielkości pobieranej mocy z sieci dystrybucyjnej ACPRO</w:t>
      </w:r>
      <w:r w:rsidR="00CD7B36" w:rsidRPr="00EB2E7B">
        <w:rPr>
          <w:rFonts w:asciiTheme="minorHAnsi" w:hAnsiTheme="minorHAnsi" w:cstheme="minorHAnsi"/>
          <w:sz w:val="20"/>
          <w:szCs w:val="20"/>
        </w:rPr>
        <w:t>.</w:t>
      </w:r>
    </w:p>
    <w:p w14:paraId="2ACEF04B" w14:textId="77777777" w:rsidR="005E7BEA" w:rsidRPr="00EB2E7B" w:rsidRDefault="00CC6847"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Usługa IRP polega na redukcji przez sterowany odbiór energii elektrycznej, na polecenie OSP, wielkości pobieranej z sieci mocy. </w:t>
      </w:r>
    </w:p>
    <w:p w14:paraId="0E8C538F" w14:textId="14D78325" w:rsidR="00CD7B36" w:rsidRPr="00EB2E7B" w:rsidRDefault="00CC6847" w:rsidP="005E7BEA">
      <w:pPr>
        <w:ind w:left="1134"/>
        <w:rPr>
          <w:rFonts w:asciiTheme="minorHAnsi" w:hAnsiTheme="minorHAnsi" w:cstheme="minorHAnsi"/>
          <w:sz w:val="20"/>
          <w:szCs w:val="20"/>
        </w:rPr>
      </w:pPr>
      <w:r w:rsidRPr="00EB2E7B">
        <w:rPr>
          <w:rFonts w:asciiTheme="minorHAnsi" w:hAnsiTheme="minorHAnsi" w:cstheme="minorHAnsi"/>
          <w:sz w:val="20"/>
          <w:szCs w:val="20"/>
        </w:rPr>
        <w:t>Usługa IZP polega na zwiększeniu przez sterowany odbiór energii elektrycznej, na polecenie OSP, wielkości pobieranej z sieci mocy</w:t>
      </w:r>
      <w:r w:rsidR="00CD7B36" w:rsidRPr="00EB2E7B">
        <w:rPr>
          <w:rFonts w:asciiTheme="minorHAnsi" w:hAnsiTheme="minorHAnsi" w:cstheme="minorHAnsi"/>
          <w:sz w:val="20"/>
          <w:szCs w:val="20"/>
        </w:rPr>
        <w:t>.</w:t>
      </w:r>
    </w:p>
    <w:p w14:paraId="7A2F9ED1" w14:textId="77777777" w:rsidR="00CC6847" w:rsidRPr="00EB2E7B" w:rsidRDefault="00CC6847" w:rsidP="00A83492">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generacją wewnętrzną:</w:t>
      </w:r>
    </w:p>
    <w:p w14:paraId="0FECA865" w14:textId="449CF463" w:rsidR="00CC6847" w:rsidRPr="00EB2E7B" w:rsidRDefault="00CC6847" w:rsidP="00875C28">
      <w:pPr>
        <w:pStyle w:val="1przed"/>
        <w:numPr>
          <w:ilvl w:val="0"/>
          <w:numId w:val="286"/>
        </w:numPr>
        <w:ind w:left="1701" w:hanging="567"/>
        <w:rPr>
          <w:rFonts w:asciiTheme="minorHAnsi" w:hAnsiTheme="minorHAnsi" w:cstheme="minorHAnsi"/>
          <w:sz w:val="20"/>
          <w:szCs w:val="20"/>
        </w:rPr>
      </w:pPr>
      <w:r w:rsidRPr="00EB2E7B">
        <w:rPr>
          <w:rFonts w:asciiTheme="minorHAnsi" w:hAnsiTheme="minorHAnsi" w:cstheme="minorHAnsi"/>
          <w:sz w:val="20"/>
          <w:szCs w:val="20"/>
        </w:rPr>
        <w:t>usługa IRP może również obejmować wprowadzanie mocy do sieci,</w:t>
      </w:r>
    </w:p>
    <w:p w14:paraId="7CD6D40A" w14:textId="6F269253" w:rsidR="00CC6847" w:rsidRPr="00EB2E7B" w:rsidRDefault="00CC6847" w:rsidP="00875C2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usługa IZP może również obejmować redukcję wprowadzania mocy do sieci.</w:t>
      </w:r>
    </w:p>
    <w:p w14:paraId="386E5B62" w14:textId="39BE7964" w:rsidR="00CD7B36" w:rsidRPr="00EB2E7B" w:rsidRDefault="00CC6847"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Usługa IRP i usługa IZP może być świadczona za pomocą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posiadających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oraz status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aktywny”, uzyskane na zasadach określonych w pkt </w:t>
      </w:r>
      <w:r w:rsidR="007D1146" w:rsidRPr="00EB2E7B">
        <w:rPr>
          <w:rFonts w:asciiTheme="minorHAnsi" w:hAnsiTheme="minorHAnsi" w:cstheme="minorHAnsi"/>
          <w:sz w:val="20"/>
          <w:szCs w:val="20"/>
        </w:rPr>
        <w:fldChar w:fldCharType="begin"/>
      </w:r>
      <w:r w:rsidR="007D1146" w:rsidRPr="00EB2E7B">
        <w:rPr>
          <w:rFonts w:asciiTheme="minorHAnsi" w:hAnsiTheme="minorHAnsi" w:cstheme="minorHAnsi"/>
          <w:sz w:val="20"/>
          <w:szCs w:val="20"/>
        </w:rPr>
        <w:instrText xml:space="preserve"> REF _Ref173227258 \r \h </w:instrText>
      </w:r>
      <w:r w:rsidR="001F04D9" w:rsidRPr="00EB2E7B">
        <w:rPr>
          <w:rFonts w:asciiTheme="minorHAnsi" w:hAnsiTheme="minorHAnsi" w:cstheme="minorHAnsi"/>
          <w:sz w:val="20"/>
          <w:szCs w:val="20"/>
        </w:rPr>
        <w:instrText xml:space="preserve"> \* MERGEFORMAT </w:instrText>
      </w:r>
      <w:r w:rsidR="007D1146" w:rsidRPr="00EB2E7B">
        <w:rPr>
          <w:rFonts w:asciiTheme="minorHAnsi" w:hAnsiTheme="minorHAnsi" w:cstheme="minorHAnsi"/>
          <w:sz w:val="20"/>
          <w:szCs w:val="20"/>
        </w:rPr>
      </w:r>
      <w:r w:rsidR="007D114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w:t>
      </w:r>
      <w:r w:rsidR="007D11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7CB48E8C" w14:textId="7008D039" w:rsidR="00CD7B36" w:rsidRPr="00EB2E7B" w:rsidRDefault="00CC6847"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Zasady certyfikowania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przyłączonych do sieci przesyłowej albo jednocześnie do sieci przesyłowej i dystrybucyjnej określa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w:t>
      </w:r>
    </w:p>
    <w:p w14:paraId="35CD89CB" w14:textId="2FE58518" w:rsidR="00CD7B36" w:rsidRPr="00EB2E7B" w:rsidRDefault="00CC6847" w:rsidP="009A432E">
      <w:pPr>
        <w:pStyle w:val="ANagwek4"/>
        <w:rPr>
          <w:rFonts w:asciiTheme="minorHAnsi" w:hAnsiTheme="minorHAnsi" w:cstheme="minorHAnsi"/>
          <w:sz w:val="20"/>
          <w:szCs w:val="20"/>
        </w:rPr>
      </w:pPr>
      <w:r w:rsidRPr="00EB2E7B">
        <w:rPr>
          <w:rFonts w:asciiTheme="minorHAnsi" w:hAnsiTheme="minorHAnsi" w:cstheme="minorHAnsi"/>
          <w:sz w:val="20"/>
          <w:szCs w:val="20"/>
        </w:rPr>
        <w:t>OSP nie korzysta z usługi IRP lub usługi IZP w okresie obowiązywania ograniczeń w dostarczaniu i poborze energii elektrycznej powyżej 11 stopnia zasilania, poczynając od godziny, od której obowiązują te stopnie zasilania, z wyjątkiem przypadku gdy polecenie redukcji zostało wydane przed ogłoszeniem komunikatu OSP o obowiązujących w danym okresie stopniach zasilania.</w:t>
      </w:r>
    </w:p>
    <w:p w14:paraId="292C112E" w14:textId="77777777" w:rsidR="00CD7B36" w:rsidRPr="00EB2E7B" w:rsidRDefault="00CD7B36" w:rsidP="004854C6">
      <w:pPr>
        <w:pStyle w:val="ANagwek3Grubyy"/>
        <w:rPr>
          <w:rFonts w:asciiTheme="minorHAnsi" w:hAnsiTheme="minorHAnsi" w:cstheme="minorHAnsi"/>
          <w:sz w:val="20"/>
          <w:szCs w:val="20"/>
        </w:rPr>
      </w:pPr>
      <w:bookmarkStart w:id="474" w:name="_Ref173227258"/>
      <w:r w:rsidRPr="00EB2E7B">
        <w:rPr>
          <w:rFonts w:asciiTheme="minorHAnsi" w:hAnsiTheme="minorHAnsi" w:cstheme="minorHAnsi"/>
          <w:sz w:val="20"/>
          <w:szCs w:val="20"/>
        </w:rPr>
        <w:t xml:space="preserve">Certyfikacja </w:t>
      </w:r>
      <w:proofErr w:type="spellStart"/>
      <w:r w:rsidRPr="00EB2E7B">
        <w:rPr>
          <w:rFonts w:asciiTheme="minorHAnsi" w:hAnsiTheme="minorHAnsi" w:cstheme="minorHAnsi"/>
          <w:sz w:val="20"/>
          <w:szCs w:val="20"/>
        </w:rPr>
        <w:t>ORed</w:t>
      </w:r>
      <w:bookmarkEnd w:id="474"/>
      <w:proofErr w:type="spellEnd"/>
    </w:p>
    <w:p w14:paraId="1A9BE2C9" w14:textId="77777777"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Postanowienia ogólne</w:t>
      </w:r>
    </w:p>
    <w:p w14:paraId="702C325F" w14:textId="1D17D973" w:rsidR="00CD7B36" w:rsidRPr="00EB2E7B" w:rsidRDefault="00CD7B36" w:rsidP="00095EC7">
      <w:pPr>
        <w:pStyle w:val="ANagwek5"/>
        <w:ind w:left="1134" w:hanging="1134"/>
        <w:rPr>
          <w:rFonts w:asciiTheme="minorHAnsi" w:hAnsiTheme="minorHAnsi" w:cstheme="minorHAnsi"/>
          <w:sz w:val="20"/>
          <w:szCs w:val="20"/>
        </w:rPr>
      </w:pPr>
      <w:bookmarkStart w:id="475" w:name="_Ref173227304"/>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to obiekt przyłączony do sieci dystrybucyjnej, będący w posiadaniu jednego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który składa się z jednego lub więcej PPE spełniających następujące kryteria:</w:t>
      </w:r>
      <w:bookmarkEnd w:id="475"/>
    </w:p>
    <w:p w14:paraId="6A9555A1" w14:textId="77777777" w:rsidR="00CD7B36" w:rsidRPr="00EB2E7B" w:rsidRDefault="00CD7B36" w:rsidP="00875C28">
      <w:pPr>
        <w:pStyle w:val="1przed"/>
        <w:numPr>
          <w:ilvl w:val="0"/>
          <w:numId w:val="239"/>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stanowią kompletny układ zasilania danego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pod jednym adresem (w jednej lokalizacji), obejmujący wszystkie miejsca przyłączenia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do sieci,</w:t>
      </w:r>
    </w:p>
    <w:p w14:paraId="7E02E9B6" w14:textId="77777777" w:rsidR="00CD7B36" w:rsidRPr="00EB2E7B" w:rsidRDefault="00CD7B36" w:rsidP="00875C28">
      <w:pPr>
        <w:pStyle w:val="1przed"/>
        <w:ind w:left="1701" w:hanging="567"/>
        <w:rPr>
          <w:rFonts w:asciiTheme="minorHAnsi" w:hAnsiTheme="minorHAnsi" w:cstheme="minorHAnsi"/>
          <w:sz w:val="20"/>
          <w:szCs w:val="20"/>
        </w:rPr>
      </w:pPr>
      <w:bookmarkStart w:id="476" w:name="_Ref173227433"/>
      <w:r w:rsidRPr="00EB2E7B">
        <w:rPr>
          <w:rFonts w:asciiTheme="minorHAnsi" w:hAnsiTheme="minorHAnsi" w:cstheme="minorHAnsi"/>
          <w:sz w:val="20"/>
          <w:szCs w:val="20"/>
        </w:rPr>
        <w:t>posiadają zainstalowane układy pomiarowo-rozliczeniowe:</w:t>
      </w:r>
      <w:bookmarkEnd w:id="476"/>
    </w:p>
    <w:p w14:paraId="50CCDE5B" w14:textId="77777777" w:rsidR="00CD7B36" w:rsidRPr="00EB2E7B" w:rsidRDefault="00CD7B36" w:rsidP="008A7B93">
      <w:pPr>
        <w:pStyle w:val="apo"/>
        <w:numPr>
          <w:ilvl w:val="0"/>
          <w:numId w:val="240"/>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spełniające wymagania techniczne określone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odpowiednio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ACPRO lub OSDn, jak dla układów pomiarowo-rozliczeniowych instalowanych u URD będących odbiorcami, którzy korzystają z prawa wyboru sprzedawcy,</w:t>
      </w:r>
    </w:p>
    <w:p w14:paraId="5E7B30FC" w14:textId="7DEFC618" w:rsidR="00CD7B36" w:rsidRPr="00EB2E7B" w:rsidRDefault="00CD7B36" w:rsidP="008A7B93">
      <w:pPr>
        <w:pStyle w:val="apo"/>
        <w:numPr>
          <w:ilvl w:val="0"/>
          <w:numId w:val="240"/>
        </w:numPr>
        <w:ind w:left="2268" w:hanging="567"/>
        <w:rPr>
          <w:rFonts w:asciiTheme="minorHAnsi" w:hAnsiTheme="minorHAnsi" w:cstheme="minorHAnsi"/>
          <w:sz w:val="20"/>
          <w:szCs w:val="20"/>
        </w:rPr>
      </w:pPr>
      <w:r>
        <w:rPr>
          <w:rFonts w:asciiTheme="minorHAnsi" w:hAnsiTheme="minorHAnsi" w:cstheme="minorHAnsi"/>
          <w:sz w:val="20"/>
          <w:szCs w:val="20"/>
        </w:rPr>
        <w:t xml:space="preserve">które posiadają funkcję automatycznej rejestracji danych pomiarowych i umożliwiają ich pozyskanie poprzez system zdalnego odczytu danych pomiarowych do LSPR </w:t>
      </w:r>
      <w:proofErr w:type="spellStart"/>
      <w:r>
        <w:rPr>
          <w:rFonts w:asciiTheme="minorHAnsi" w:hAnsiTheme="minorHAnsi" w:cstheme="minorHAnsi"/>
          <w:sz w:val="20"/>
          <w:szCs w:val="20"/>
        </w:rPr>
        <w:t>OSDp</w:t>
      </w:r>
      <w:proofErr w:type="spellEnd"/>
      <w:r>
        <w:rPr>
          <w:rFonts w:asciiTheme="minorHAnsi" w:hAnsiTheme="minorHAnsi" w:cstheme="minorHAnsi"/>
          <w:sz w:val="20"/>
          <w:szCs w:val="20"/>
        </w:rPr>
        <w:t xml:space="preserve">, a od dnia przystąpienia ACPRO do CSIRE — do systemu pomiarowego </w:t>
      </w:r>
      <w:proofErr w:type="spellStart"/>
      <w:r>
        <w:rPr>
          <w:rFonts w:asciiTheme="minorHAnsi" w:hAnsiTheme="minorHAnsi" w:cstheme="minorHAnsi"/>
          <w:sz w:val="20"/>
          <w:szCs w:val="20"/>
        </w:rPr>
        <w:t>OSDp</w:t>
      </w:r>
      <w:proofErr w:type="spellEnd"/>
      <w:r>
        <w:rPr>
          <w:rFonts w:asciiTheme="minorHAnsi" w:hAnsiTheme="minorHAnsi" w:cstheme="minorHAnsi"/>
          <w:sz w:val="20"/>
          <w:szCs w:val="20"/>
        </w:rPr>
        <w:t xml:space="preserve">, oraz umożliwiają ich przekazywanie do OSP w trybie dobowym poprzez system WIRE – dotyczy </w:t>
      </w:r>
      <w:proofErr w:type="spellStart"/>
      <w:r>
        <w:rPr>
          <w:rFonts w:asciiTheme="minorHAnsi" w:hAnsiTheme="minorHAnsi" w:cstheme="minorHAnsi"/>
          <w:sz w:val="20"/>
          <w:szCs w:val="20"/>
        </w:rPr>
        <w:t>ORed</w:t>
      </w:r>
      <w:proofErr w:type="spellEnd"/>
      <w:r>
        <w:rPr>
          <w:rFonts w:asciiTheme="minorHAnsi" w:hAnsiTheme="minorHAnsi" w:cstheme="minorHAnsi"/>
          <w:sz w:val="20"/>
          <w:szCs w:val="20"/>
        </w:rPr>
        <w:t xml:space="preserve"> przyłączonych do sieci </w:t>
      </w:r>
      <w:proofErr w:type="spellStart"/>
      <w:r>
        <w:rPr>
          <w:rFonts w:asciiTheme="minorHAnsi" w:hAnsiTheme="minorHAnsi" w:cstheme="minorHAnsi"/>
          <w:sz w:val="20"/>
          <w:szCs w:val="20"/>
        </w:rPr>
        <w:t>OSDp</w:t>
      </w:r>
      <w:proofErr w:type="spellEnd"/>
      <w:r>
        <w:rPr>
          <w:rFonts w:asciiTheme="minorHAnsi" w:hAnsiTheme="minorHAnsi" w:cstheme="minorHAnsi"/>
          <w:sz w:val="20"/>
          <w:szCs w:val="20"/>
        </w:rPr>
        <w:t>,</w:t>
      </w:r>
    </w:p>
    <w:p w14:paraId="37130AEA" w14:textId="77777777" w:rsidR="00CD7B36" w:rsidRPr="00EB2E7B" w:rsidRDefault="00CD7B36" w:rsidP="008A7B93">
      <w:pPr>
        <w:pStyle w:val="apo"/>
        <w:numPr>
          <w:ilvl w:val="0"/>
          <w:numId w:val="240"/>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które posiadają funkcję automatycznej rejestracji danych pomiarowych i umożliwiają ich przekazywanie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trybie dobowym poprzez system wskazany 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oraz umożliwiają ich przekazywanie do OSP w trybie dobowym poprzez system WIRE – dotyczy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przyłączonych do sieci ACPRO i OSDn.</w:t>
      </w:r>
    </w:p>
    <w:p w14:paraId="709684E7" w14:textId="70D993EC" w:rsidR="00CD7B36" w:rsidRPr="00EB2E7B" w:rsidRDefault="00CC6847" w:rsidP="0089571F">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gdy układ zasilania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składa się z wielu PPE, wówczas ilość dostaw energii elektrycznej do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wyznaczana jako suma dostaw energii elektrycznej dla tych PPE</w:t>
      </w:r>
      <w:r w:rsidR="00CD7B36" w:rsidRPr="00EB2E7B">
        <w:rPr>
          <w:rFonts w:asciiTheme="minorHAnsi" w:hAnsiTheme="minorHAnsi" w:cstheme="minorHAnsi"/>
          <w:sz w:val="20"/>
          <w:szCs w:val="20"/>
        </w:rPr>
        <w:t>.</w:t>
      </w:r>
    </w:p>
    <w:p w14:paraId="59758036" w14:textId="6F51F0DE" w:rsidR="00CD7B36" w:rsidRPr="00EB2E7B" w:rsidRDefault="00CC6847"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Powyższe nie dotyczy przypadku, gdy do sieci ACPRO i OSDn będącego odbiorcą świadczącym usługę IRP lub usługę IZP są przyłączone inne podmioty posiadające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takim przypadku ilość dostaw energii elektrycznej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odbiorcy będącego ACPRO i OSDn jest pomniejszana o sumę ilości dostaw energii elektrycznej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innych podmiotów przyłączonych do sieci tego ACPRO i</w:t>
      </w:r>
      <w:r w:rsidR="00EF16A3" w:rsidRPr="00EB2E7B">
        <w:rPr>
          <w:rFonts w:asciiTheme="minorHAnsi" w:hAnsiTheme="minorHAnsi" w:cstheme="minorHAnsi"/>
          <w:sz w:val="20"/>
          <w:szCs w:val="20"/>
        </w:rPr>
        <w:t> </w:t>
      </w:r>
      <w:r w:rsidRPr="00EB2E7B">
        <w:rPr>
          <w:rFonts w:asciiTheme="minorHAnsi" w:hAnsiTheme="minorHAnsi" w:cstheme="minorHAnsi"/>
          <w:sz w:val="20"/>
          <w:szCs w:val="20"/>
        </w:rPr>
        <w:t>OSDn</w:t>
      </w:r>
      <w:r w:rsidR="00CD7B36" w:rsidRPr="00EB2E7B">
        <w:rPr>
          <w:rFonts w:asciiTheme="minorHAnsi" w:hAnsiTheme="minorHAnsi" w:cstheme="minorHAnsi"/>
          <w:sz w:val="20"/>
          <w:szCs w:val="20"/>
        </w:rPr>
        <w:t>.</w:t>
      </w:r>
    </w:p>
    <w:p w14:paraId="0BC47FD9" w14:textId="77777777" w:rsidR="00CD7B36" w:rsidRPr="00EB2E7B" w:rsidRDefault="00CD7B36" w:rsidP="00E40C9C">
      <w:pPr>
        <w:pStyle w:val="ANagwek5"/>
        <w:ind w:left="1134" w:hanging="1134"/>
        <w:rPr>
          <w:rFonts w:asciiTheme="minorHAnsi" w:hAnsiTheme="minorHAnsi" w:cstheme="minorHAnsi"/>
          <w:sz w:val="20"/>
          <w:szCs w:val="20"/>
        </w:rPr>
      </w:pPr>
      <w:bookmarkStart w:id="477" w:name="_Ref173227566"/>
      <w:r w:rsidRPr="00EB2E7B">
        <w:rPr>
          <w:rFonts w:asciiTheme="minorHAnsi" w:hAnsiTheme="minorHAnsi" w:cstheme="minorHAnsi"/>
          <w:sz w:val="20"/>
          <w:szCs w:val="20"/>
        </w:rPr>
        <w:t xml:space="preserve">Proces certyfikacji przeprowadza i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wydaje:</w:t>
      </w:r>
      <w:bookmarkEnd w:id="477"/>
    </w:p>
    <w:p w14:paraId="0C694E59" w14:textId="28DF043C" w:rsidR="00CD7B36" w:rsidRPr="00EB2E7B" w:rsidRDefault="00CD7B36" w:rsidP="00EE7359">
      <w:pPr>
        <w:pStyle w:val="1przed"/>
        <w:numPr>
          <w:ilvl w:val="0"/>
          <w:numId w:val="241"/>
        </w:numPr>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00706A24"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 jeśli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przyłączony wyłącznie do sieci dystrybucyjnej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3EEF6DBF" w14:textId="77777777" w:rsidR="00CD7B36" w:rsidRPr="00EB2E7B" w:rsidRDefault="00CD7B36" w:rsidP="00CE1D38">
      <w:pPr>
        <w:ind w:left="1134" w:firstLine="0"/>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wydaje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oparciu o dane i informacje będące w jego posiadaniu.</w:t>
      </w:r>
    </w:p>
    <w:p w14:paraId="025201D2" w14:textId="425D4952" w:rsidR="00CD7B36" w:rsidRPr="00EB2E7B" w:rsidRDefault="00CD7B36" w:rsidP="00EE7359">
      <w:pPr>
        <w:pStyle w:val="1przed"/>
        <w:ind w:left="1701" w:hanging="567"/>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we współpracy z OSD</w:t>
      </w:r>
      <w:r w:rsidR="00691101" w:rsidRPr="00EB2E7B">
        <w:rPr>
          <w:rFonts w:asciiTheme="minorHAnsi" w:hAnsiTheme="minorHAnsi" w:cstheme="minorHAnsi"/>
          <w:sz w:val="20"/>
          <w:szCs w:val="20"/>
        </w:rPr>
        <w:t>n</w:t>
      </w:r>
      <w:r w:rsidR="006C0732"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 jeśli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przyłączony do sieci dystrybucyjnej </w:t>
      </w:r>
      <w:proofErr w:type="spellStart"/>
      <w:r w:rsidRPr="00EB2E7B">
        <w:rPr>
          <w:rFonts w:asciiTheme="minorHAnsi" w:hAnsiTheme="minorHAnsi" w:cstheme="minorHAnsi"/>
          <w:sz w:val="20"/>
          <w:szCs w:val="20"/>
        </w:rPr>
        <w:t>OSD</w:t>
      </w:r>
      <w:r w:rsidR="007641A9" w:rsidRPr="00EB2E7B">
        <w:rPr>
          <w:rFonts w:asciiTheme="minorHAnsi" w:hAnsiTheme="minorHAnsi" w:cstheme="minorHAnsi"/>
          <w:sz w:val="20"/>
          <w:szCs w:val="20"/>
        </w:rPr>
        <w:t>p</w:t>
      </w:r>
      <w:proofErr w:type="spellEnd"/>
      <w:r w:rsidR="007641A9" w:rsidRPr="00EB2E7B">
        <w:rPr>
          <w:rFonts w:asciiTheme="minorHAnsi" w:hAnsiTheme="minorHAnsi" w:cstheme="minorHAnsi"/>
          <w:sz w:val="20"/>
          <w:szCs w:val="20"/>
        </w:rPr>
        <w:t xml:space="preserve"> i OSDn</w:t>
      </w:r>
      <w:r w:rsidRPr="00EB2E7B">
        <w:rPr>
          <w:rFonts w:asciiTheme="minorHAnsi" w:hAnsiTheme="minorHAnsi" w:cstheme="minorHAnsi"/>
          <w:sz w:val="20"/>
          <w:szCs w:val="20"/>
        </w:rPr>
        <w:t xml:space="preserve">, którego sieć dystrybucyjna jest połączona z siecią dystrybucyjną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1F1C8911" w14:textId="0B4A6A21" w:rsidR="00CD7B36" w:rsidRPr="00EB2E7B" w:rsidRDefault="00CD7B36" w:rsidP="00CE1D38">
      <w:pPr>
        <w:ind w:left="1134" w:firstLine="0"/>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wydaje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oparciu o dane i informacje będące w</w:t>
      </w:r>
      <w:r w:rsidR="00286217" w:rsidRPr="00EB2E7B">
        <w:rPr>
          <w:rFonts w:asciiTheme="minorHAnsi" w:hAnsiTheme="minorHAnsi" w:cstheme="minorHAnsi"/>
          <w:sz w:val="20"/>
          <w:szCs w:val="20"/>
        </w:rPr>
        <w:t> </w:t>
      </w:r>
      <w:r w:rsidRPr="00EB2E7B">
        <w:rPr>
          <w:rFonts w:asciiTheme="minorHAnsi" w:hAnsiTheme="minorHAnsi" w:cstheme="minorHAnsi"/>
          <w:sz w:val="20"/>
          <w:szCs w:val="20"/>
        </w:rPr>
        <w:t xml:space="preserve">jego posiadaniu. W przypadku, gdy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otrzyma od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informację w zakresie przyłączenia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również do sieci dystrybucyjnej innego operatora systemu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lub OSDn), wówczas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wydaje jeden z tych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we współpracy z pozostałymi operatorami systemu.</w:t>
      </w:r>
    </w:p>
    <w:p w14:paraId="24C3185D" w14:textId="24234610" w:rsidR="00CD7B36" w:rsidRPr="00EB2E7B" w:rsidRDefault="00CD7B36" w:rsidP="00EE7359">
      <w:pPr>
        <w:pStyle w:val="1przed"/>
        <w:ind w:left="1701" w:hanging="567"/>
        <w:rPr>
          <w:rFonts w:asciiTheme="minorHAnsi" w:hAnsiTheme="minorHAnsi" w:cstheme="minorHAnsi"/>
          <w:sz w:val="20"/>
          <w:szCs w:val="20"/>
        </w:rPr>
      </w:pPr>
      <w:bookmarkStart w:id="478" w:name="_Ref173227572"/>
      <w:r w:rsidRPr="00EB2E7B">
        <w:rPr>
          <w:rFonts w:asciiTheme="minorHAnsi" w:hAnsiTheme="minorHAnsi" w:cstheme="minorHAnsi"/>
          <w:sz w:val="20"/>
          <w:szCs w:val="20"/>
        </w:rPr>
        <w:t xml:space="preserve">OSDn </w:t>
      </w:r>
      <w:r w:rsidR="006C0732" w:rsidRPr="00EB2E7B">
        <w:rPr>
          <w:rFonts w:asciiTheme="minorHAnsi" w:hAnsiTheme="minorHAnsi" w:cstheme="minorHAnsi"/>
          <w:sz w:val="20"/>
          <w:szCs w:val="20"/>
        </w:rPr>
        <w:t xml:space="preserve">(w tym ACPRO) </w:t>
      </w:r>
      <w:r w:rsidRPr="00EB2E7B">
        <w:rPr>
          <w:rFonts w:asciiTheme="minorHAnsi" w:hAnsiTheme="minorHAnsi" w:cstheme="minorHAnsi"/>
          <w:sz w:val="20"/>
          <w:szCs w:val="20"/>
        </w:rPr>
        <w:t xml:space="preserve">we współpracy 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 jeśli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przyłączony wyłącznie do sieci dystrybucyjnej OSDn, którego sieć dystrybucyjna jest połączona z</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 xml:space="preserve">siecią dystrybucyjną </w:t>
      </w:r>
      <w:proofErr w:type="spellStart"/>
      <w:r w:rsidRPr="00EB2E7B">
        <w:rPr>
          <w:rFonts w:asciiTheme="minorHAnsi" w:hAnsiTheme="minorHAnsi" w:cstheme="minorHAnsi"/>
          <w:sz w:val="20"/>
          <w:szCs w:val="20"/>
        </w:rPr>
        <w:t>OSD</w:t>
      </w:r>
      <w:r w:rsidR="00535B64" w:rsidRPr="00EB2E7B">
        <w:rPr>
          <w:rFonts w:asciiTheme="minorHAnsi" w:hAnsiTheme="minorHAnsi" w:cstheme="minorHAnsi"/>
          <w:sz w:val="20"/>
          <w:szCs w:val="20"/>
        </w:rPr>
        <w:t>p</w:t>
      </w:r>
      <w:proofErr w:type="spellEnd"/>
      <w:r w:rsidR="000B13AD" w:rsidRPr="00EB2E7B">
        <w:rPr>
          <w:rFonts w:asciiTheme="minorHAnsi" w:hAnsiTheme="minorHAnsi" w:cstheme="minorHAnsi"/>
          <w:sz w:val="20"/>
          <w:szCs w:val="20"/>
        </w:rPr>
        <w:t>, lub jest przyłączony wyłącznie do sieci OSDn</w:t>
      </w:r>
      <w:r w:rsidR="0042543A" w:rsidRPr="00EB2E7B">
        <w:rPr>
          <w:rFonts w:asciiTheme="minorHAnsi" w:hAnsiTheme="minorHAnsi" w:cstheme="minorHAnsi"/>
          <w:sz w:val="20"/>
          <w:szCs w:val="20"/>
        </w:rPr>
        <w:t>, któ</w:t>
      </w:r>
      <w:r w:rsidR="00652776" w:rsidRPr="00EB2E7B">
        <w:rPr>
          <w:rFonts w:asciiTheme="minorHAnsi" w:hAnsiTheme="minorHAnsi" w:cstheme="minorHAnsi"/>
          <w:sz w:val="20"/>
          <w:szCs w:val="20"/>
        </w:rPr>
        <w:t xml:space="preserve">rego sieć jest pośrednio połączona z siecią dystrybucyjną </w:t>
      </w:r>
      <w:proofErr w:type="spellStart"/>
      <w:r w:rsidR="00652776" w:rsidRPr="00EB2E7B">
        <w:rPr>
          <w:rFonts w:asciiTheme="minorHAnsi" w:hAnsiTheme="minorHAnsi" w:cstheme="minorHAnsi"/>
          <w:sz w:val="20"/>
          <w:szCs w:val="20"/>
        </w:rPr>
        <w:t>OSD</w:t>
      </w:r>
      <w:r w:rsidR="00CB32DC"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w:t>
      </w:r>
      <w:bookmarkEnd w:id="478"/>
    </w:p>
    <w:p w14:paraId="6B8A6154" w14:textId="50777D94"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wzorowany na wzorze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zgodnie z</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 xml:space="preserve">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_Ref173227290 \r \h </w:instrText>
      </w:r>
      <w:r w:rsidR="001E52F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wystawia OSDn</w:t>
      </w:r>
      <w:r w:rsidR="00F114C1"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i przekazuje do upoważnionego przez OSDn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celem rejestracji w systemie informatycznym OSP, dedykowanym </w:t>
      </w:r>
      <w:r w:rsidR="007657EC" w:rsidRPr="00EB2E7B">
        <w:rPr>
          <w:rFonts w:asciiTheme="minorHAnsi" w:hAnsiTheme="minorHAnsi" w:cstheme="minorHAnsi"/>
          <w:sz w:val="20"/>
          <w:szCs w:val="20"/>
        </w:rPr>
        <w:t>usłudze IRP i usłudze IZP</w:t>
      </w:r>
      <w:r w:rsidRPr="00EB2E7B">
        <w:rPr>
          <w:rFonts w:asciiTheme="minorHAnsi" w:hAnsiTheme="minorHAnsi" w:cstheme="minorHAnsi"/>
          <w:sz w:val="20"/>
          <w:szCs w:val="20"/>
        </w:rPr>
        <w:t xml:space="preserve"> („system IP DSR”) oraz nadania numeru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 identyfikatora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tym przypadku OSDn przekazuje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również oświadczenia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złożone w procesie certyfikacji i zarządzania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oraz pełnomocnictwo zawierające umocowanie dla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rejestracji lub wygaszenia w systemie IP DSR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wystawionego przez OSDn i zmiany statusu tego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systemie IP DSR.</w:t>
      </w:r>
    </w:p>
    <w:p w14:paraId="36C4C08A" w14:textId="55C4B0A8"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OSDn </w:t>
      </w:r>
      <w:r w:rsidR="00D913A4" w:rsidRPr="00EB2E7B">
        <w:rPr>
          <w:rFonts w:asciiTheme="minorHAnsi" w:hAnsiTheme="minorHAnsi" w:cstheme="minorHAnsi"/>
          <w:sz w:val="20"/>
          <w:szCs w:val="20"/>
        </w:rPr>
        <w:t xml:space="preserve">(w tym ACPRO) </w:t>
      </w:r>
      <w:r w:rsidRPr="00EB2E7B">
        <w:rPr>
          <w:rFonts w:asciiTheme="minorHAnsi" w:hAnsiTheme="minorHAnsi" w:cstheme="minorHAnsi"/>
          <w:sz w:val="20"/>
          <w:szCs w:val="20"/>
        </w:rPr>
        <w:t xml:space="preserve">odpowiada za dokonaną weryfikację i potwierdzenie spełniania przez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kryteriów określonych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_Ref173227304 \r \h </w:instrText>
      </w:r>
      <w:r w:rsidR="00C246EC"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51B2CB3" w14:textId="6B23752E"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OSDn</w:t>
      </w:r>
      <w:r w:rsidR="00D913A4"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wydaje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oparciu o dane i informacje będące w</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 xml:space="preserve">jego posiadaniu. W przypadku, gdy OSDn otrzyma od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informację w zakresie przyłączenia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również do sieci innego operatora systemu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lub OSDn), wówczas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wystawia jeden z</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tych OSDn, we współpracy z pozostałymi operatorami systemu.</w:t>
      </w:r>
    </w:p>
    <w:p w14:paraId="6E8E9C33" w14:textId="746207FF"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Jeśli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zlokalizowany na obszarze sieci OSDn</w:t>
      </w:r>
      <w:r w:rsidR="003306BE"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połączonego przynajmniej z dwoma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rejestruje, we współpracy z pozostałymi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ten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którego OSDn przekaże wystawiony przez siebie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700B542C" w14:textId="77777777" w:rsidR="00CD7B36" w:rsidRPr="00EB2E7B" w:rsidRDefault="00CD7B36" w:rsidP="00B126C2">
      <w:pPr>
        <w:pStyle w:val="ANagwek5"/>
        <w:ind w:left="1134" w:hanging="1134"/>
        <w:rPr>
          <w:rFonts w:asciiTheme="minorHAnsi" w:hAnsiTheme="minorHAnsi" w:cstheme="minorHAnsi"/>
          <w:sz w:val="20"/>
          <w:szCs w:val="20"/>
        </w:rPr>
      </w:pPr>
      <w:bookmarkStart w:id="479" w:name="_Ref173227315"/>
      <w:r w:rsidRPr="00EB2E7B">
        <w:rPr>
          <w:rFonts w:asciiTheme="minorHAnsi" w:hAnsiTheme="minorHAnsi" w:cstheme="minorHAnsi"/>
          <w:sz w:val="20"/>
          <w:szCs w:val="20"/>
        </w:rPr>
        <w:t>Procesem certyfikacji przeprowadzanym przez właściwego operatora systemu:</w:t>
      </w:r>
      <w:bookmarkEnd w:id="479"/>
    </w:p>
    <w:p w14:paraId="7DA921BA" w14:textId="25430278" w:rsidR="00CD7B36" w:rsidRPr="00EB2E7B" w:rsidRDefault="00CD7B36" w:rsidP="67E0C8B9">
      <w:pPr>
        <w:pStyle w:val="1przed"/>
        <w:ind w:left="1701" w:hanging="567"/>
        <w:rPr>
          <w:rFonts w:asciiTheme="minorHAnsi" w:hAnsiTheme="minorHAnsi" w:cstheme="minorHAnsi"/>
          <w:sz w:val="20"/>
          <w:szCs w:val="20"/>
        </w:rPr>
      </w:pPr>
      <w:bookmarkStart w:id="480" w:name="_Ref173227320"/>
      <w:r w:rsidRPr="00EB2E7B">
        <w:rPr>
          <w:rFonts w:asciiTheme="minorHAnsi" w:hAnsiTheme="minorHAnsi" w:cstheme="minorHAnsi"/>
          <w:sz w:val="20"/>
          <w:szCs w:val="20"/>
        </w:rPr>
        <w:t xml:space="preserve">objęte są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odbiorców podlegających ograniczeniom w dostarczaniu i poborze energii elektrycznej, zgodnie z rozporządzeniem Rady Ministrów określającym szczegółowe zasady i tryb wprowadzania ograniczeń w sprzedaży paliw stałych oraz w dostarczaniu i poborze energii elektrycznej lub ciepła, wydanym na podstawie art. 11 ust. 6 Ustawy,</w:t>
      </w:r>
      <w:bookmarkEnd w:id="480"/>
    </w:p>
    <w:p w14:paraId="5C7FE59D" w14:textId="7A437A8D" w:rsidR="00CD7B36" w:rsidRPr="00EB2E7B" w:rsidRDefault="00CD7B36" w:rsidP="00902E96">
      <w:pPr>
        <w:pStyle w:val="1przed"/>
        <w:ind w:left="1701" w:hanging="567"/>
        <w:rPr>
          <w:rFonts w:asciiTheme="minorHAnsi" w:hAnsiTheme="minorHAnsi" w:cstheme="minorHAnsi"/>
          <w:sz w:val="20"/>
          <w:szCs w:val="20"/>
        </w:rPr>
      </w:pPr>
      <w:bookmarkStart w:id="481" w:name="_Ref173227335"/>
      <w:r w:rsidRPr="00EB2E7B">
        <w:rPr>
          <w:rFonts w:asciiTheme="minorHAnsi" w:hAnsiTheme="minorHAnsi" w:cstheme="minorHAnsi"/>
          <w:sz w:val="20"/>
          <w:szCs w:val="20"/>
        </w:rPr>
        <w:lastRenderedPageBreak/>
        <w:t xml:space="preserve">mogą być objęte również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odbiorców niepodlegających ograniczeniom w dostarczaniu i poborze energii elektrycznej, zgodnie z rozporządzeniem, o</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 xml:space="preserve">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_Ref173227320 \w \h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4)</w:t>
      </w:r>
      <w:r w:rsidRPr="00EB2E7B">
        <w:rPr>
          <w:rFonts w:asciiTheme="minorHAnsi" w:hAnsiTheme="minorHAnsi" w:cstheme="minorHAnsi"/>
          <w:sz w:val="20"/>
          <w:szCs w:val="20"/>
        </w:rPr>
        <w:fldChar w:fldCharType="end"/>
      </w:r>
      <w:bookmarkEnd w:id="481"/>
    </w:p>
    <w:p w14:paraId="31989A6B" w14:textId="105C4275" w:rsidR="00CD7B36" w:rsidRPr="00EB2E7B" w:rsidRDefault="00CD7B36" w:rsidP="00B126C2">
      <w:pPr>
        <w:pStyle w:val="ANagwek5"/>
        <w:ind w:left="1134" w:hanging="1134"/>
        <w:rPr>
          <w:rFonts w:asciiTheme="minorHAnsi" w:hAnsiTheme="minorHAnsi" w:cstheme="minorHAnsi"/>
          <w:sz w:val="20"/>
          <w:szCs w:val="20"/>
        </w:rPr>
      </w:pPr>
      <w:bookmarkStart w:id="482" w:name="_Ref173227347"/>
      <w:r w:rsidRPr="00EB2E7B">
        <w:rPr>
          <w:rFonts w:asciiTheme="minorHAnsi" w:hAnsiTheme="minorHAnsi" w:cstheme="minorHAnsi"/>
          <w:sz w:val="20"/>
          <w:szCs w:val="20"/>
        </w:rPr>
        <w:t xml:space="preserve">W przypadku,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_Ref173227315 \r \h </w:instrText>
      </w:r>
      <w:r w:rsidR="0007137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_Ref173227320 \r \h </w:instrText>
      </w:r>
      <w:r w:rsidR="005F5CA1"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proces certyfikacji przeprowadzany jest:</w:t>
      </w:r>
      <w:bookmarkEnd w:id="482"/>
    </w:p>
    <w:p w14:paraId="4668C14E" w14:textId="77777777" w:rsidR="00CD7B36" w:rsidRPr="00EB2E7B" w:rsidRDefault="00CD7B36" w:rsidP="00902E96">
      <w:pPr>
        <w:pStyle w:val="1przed"/>
        <w:numPr>
          <w:ilvl w:val="0"/>
          <w:numId w:val="243"/>
        </w:numPr>
        <w:ind w:left="1701" w:hanging="567"/>
        <w:rPr>
          <w:rFonts w:asciiTheme="minorHAnsi" w:hAnsiTheme="minorHAnsi" w:cstheme="minorHAnsi"/>
          <w:sz w:val="20"/>
          <w:szCs w:val="20"/>
        </w:rPr>
      </w:pPr>
      <w:bookmarkStart w:id="483" w:name="_Ref173227352"/>
      <w:r w:rsidRPr="00EB2E7B">
        <w:rPr>
          <w:rFonts w:asciiTheme="minorHAnsi" w:hAnsiTheme="minorHAnsi" w:cstheme="minorHAnsi"/>
          <w:sz w:val="20"/>
          <w:szCs w:val="20"/>
        </w:rPr>
        <w:t>w trybie podstawowym, w oparciu o będące w posiadaniu tego operatora zasoby danych i informacje dotyczące odbiorców przyłączonych do jego sieci, lub</w:t>
      </w:r>
      <w:bookmarkEnd w:id="483"/>
    </w:p>
    <w:p w14:paraId="3BCC9D49" w14:textId="77777777" w:rsidR="00CD7B36" w:rsidRPr="00EB2E7B" w:rsidRDefault="00CD7B36" w:rsidP="00902E96">
      <w:pPr>
        <w:pStyle w:val="1przed"/>
        <w:ind w:left="1701" w:hanging="567"/>
        <w:rPr>
          <w:rFonts w:asciiTheme="minorHAnsi" w:hAnsiTheme="minorHAnsi" w:cstheme="minorHAnsi"/>
          <w:sz w:val="20"/>
          <w:szCs w:val="20"/>
        </w:rPr>
      </w:pPr>
      <w:bookmarkStart w:id="484" w:name="_Ref173227461"/>
      <w:r w:rsidRPr="00EB2E7B">
        <w:rPr>
          <w:rFonts w:asciiTheme="minorHAnsi" w:hAnsiTheme="minorHAnsi" w:cstheme="minorHAnsi"/>
          <w:sz w:val="20"/>
          <w:szCs w:val="20"/>
        </w:rPr>
        <w:t xml:space="preserve">w trybie dodatkowym, na wniosek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lub podmiotu przez niego upoważnionego.</w:t>
      </w:r>
      <w:bookmarkEnd w:id="484"/>
    </w:p>
    <w:p w14:paraId="33BACC17" w14:textId="6855811D" w:rsidR="00CD7B36" w:rsidRPr="00EB2E7B" w:rsidRDefault="00CD7B36" w:rsidP="00606E9E">
      <w:pPr>
        <w:pStyle w:val="ANagwek5"/>
        <w:ind w:left="1134" w:hanging="1134"/>
        <w:rPr>
          <w:rFonts w:asciiTheme="minorHAnsi" w:hAnsiTheme="minorHAnsi" w:cstheme="minorHAnsi"/>
          <w:sz w:val="20"/>
          <w:szCs w:val="20"/>
        </w:rPr>
      </w:pPr>
      <w:bookmarkStart w:id="485" w:name="_Ref173227469"/>
      <w:r w:rsidRPr="00EB2E7B">
        <w:rPr>
          <w:rFonts w:asciiTheme="minorHAnsi" w:hAnsiTheme="minorHAnsi" w:cstheme="minorHAnsi"/>
          <w:sz w:val="20"/>
          <w:szCs w:val="20"/>
        </w:rPr>
        <w:t xml:space="preserve">W przypadku,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_Ref173227315 \r \h </w:instrText>
      </w:r>
      <w:r w:rsidR="0007137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_Ref173227335 \r \h </w:instrText>
      </w:r>
      <w:r w:rsidR="002E264E"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proces certyfikacji przeprowadzany jest wyłącznie w trybie dodatkowym (na wniosek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lub podmiotu przez niego upoważnionego).</w:t>
      </w:r>
      <w:bookmarkEnd w:id="485"/>
    </w:p>
    <w:p w14:paraId="20346EA4" w14:textId="77777777"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Certyfikacja w trybie podstawowym</w:t>
      </w:r>
    </w:p>
    <w:p w14:paraId="16854CB7" w14:textId="3FDA1313" w:rsidR="00CD7B36" w:rsidRPr="00EB2E7B" w:rsidRDefault="00CD7B36" w:rsidP="00606E9E">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Certyfikacja w trybie podstawowym,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_Ref173227347 \r \h </w:instrText>
      </w:r>
      <w:r w:rsidR="0007137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_Ref173227352 \r \h </w:instrText>
      </w:r>
      <w:r w:rsidR="00620C0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dokonywana jest na poniższych zasadach.</w:t>
      </w:r>
    </w:p>
    <w:p w14:paraId="12DCD8BB" w14:textId="2A9F60A1" w:rsidR="00CD7B36" w:rsidRPr="00EB2E7B" w:rsidRDefault="00CD7B36" w:rsidP="00606E9E">
      <w:pPr>
        <w:pStyle w:val="ANagwek5"/>
        <w:ind w:left="1134" w:hanging="1134"/>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ACPRO oraz OSDn jako podmioty zobowiązane do przeprowadzenia procesu certyfikacji wszystkich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odbiorców podlegających ograniczeniom w</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dostarczaniu i poborze energii elektrycznej, realizują ten proces w terminie 30 dni kalendarzowych od dnia, od którego:</w:t>
      </w:r>
    </w:p>
    <w:p w14:paraId="3D734604" w14:textId="4935470F" w:rsidR="00CD7B36" w:rsidRPr="00EB2E7B" w:rsidRDefault="00CD7B36" w:rsidP="004B0DC0">
      <w:pPr>
        <w:pStyle w:val="1przed"/>
        <w:numPr>
          <w:ilvl w:val="0"/>
          <w:numId w:val="244"/>
        </w:numPr>
        <w:ind w:left="1701" w:hanging="567"/>
        <w:rPr>
          <w:rFonts w:asciiTheme="minorHAnsi" w:hAnsiTheme="minorHAnsi" w:cstheme="minorHAnsi"/>
          <w:sz w:val="20"/>
          <w:szCs w:val="20"/>
        </w:rPr>
      </w:pPr>
      <w:bookmarkStart w:id="486" w:name="_Ref190106792"/>
      <w:r w:rsidRPr="00EB2E7B">
        <w:rPr>
          <w:rFonts w:asciiTheme="minorHAnsi" w:hAnsiTheme="minorHAnsi" w:cstheme="minorHAnsi"/>
          <w:sz w:val="20"/>
          <w:szCs w:val="20"/>
        </w:rPr>
        <w:t xml:space="preserve">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został przyłączony do sieci i podlega ograniczeniom w dostarczaniu i poborze energii elektrycznej, zgodnie z przepisami rozporządzenia,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_Ref173227315 \r \h </w:instrText>
      </w:r>
      <w:r w:rsidR="0007137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_Ref173227320 \r \h </w:instrText>
      </w:r>
      <w:r w:rsidR="00577C68"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lub</w:t>
      </w:r>
      <w:bookmarkEnd w:id="486"/>
    </w:p>
    <w:p w14:paraId="0A51D741" w14:textId="04CF3912"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zaczyna podlegać ograniczeniom w dostarczaniu i poborze energii elektrycznej, zgodnie z przepisami rozporządzenia, o którym mowa w</w:t>
      </w:r>
      <w:r w:rsidR="004771ED" w:rsidRPr="00EB2E7B">
        <w:rPr>
          <w:rFonts w:asciiTheme="minorHAnsi" w:hAnsiTheme="minorHAnsi" w:cstheme="minorHAnsi"/>
          <w:sz w:val="20"/>
          <w:szCs w:val="20"/>
        </w:rPr>
        <w:t> </w:t>
      </w:r>
      <w:r w:rsidRPr="00EB2E7B">
        <w:rPr>
          <w:rFonts w:asciiTheme="minorHAnsi" w:hAnsiTheme="minorHAnsi" w:cstheme="minorHAnsi"/>
          <w:sz w:val="20"/>
          <w:szCs w:val="20"/>
        </w:rPr>
        <w:t xml:space="preserve">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_Ref173227315 \r \h </w:instrText>
      </w:r>
      <w:r w:rsidR="0007137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_Ref173227320 \r \h </w:instrText>
      </w:r>
      <w:r w:rsidR="00071377"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lub</w:t>
      </w:r>
    </w:p>
    <w:p w14:paraId="00BB9D40" w14:textId="77777777" w:rsidR="00CD7B36" w:rsidRPr="00EB2E7B" w:rsidRDefault="00CD7B36" w:rsidP="004B0DC0">
      <w:pPr>
        <w:pStyle w:val="1przed"/>
        <w:ind w:left="1701" w:hanging="567"/>
        <w:rPr>
          <w:rFonts w:asciiTheme="minorHAnsi" w:hAnsiTheme="minorHAnsi" w:cstheme="minorHAnsi"/>
          <w:sz w:val="20"/>
          <w:szCs w:val="20"/>
        </w:rPr>
      </w:pPr>
      <w:bookmarkStart w:id="487" w:name="_Ref190106794"/>
      <w:r w:rsidRPr="00EB2E7B">
        <w:rPr>
          <w:rFonts w:asciiTheme="minorHAnsi" w:hAnsiTheme="minorHAnsi" w:cstheme="minorHAnsi"/>
          <w:sz w:val="20"/>
          <w:szCs w:val="20"/>
        </w:rPr>
        <w:t xml:space="preserve">odpowiednio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ACPRO albo OSDn pozyska informację wskazującą, że przyczyna niewydania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została usunięta (w takim przypadku właściwy operator systemu ponawia proces certyfikacji w trybie podstawowym).</w:t>
      </w:r>
      <w:bookmarkEnd w:id="487"/>
    </w:p>
    <w:p w14:paraId="388C626A" w14:textId="105D0A5F"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Postanowienia pkt </w:t>
      </w:r>
      <w:r w:rsidR="00071377" w:rsidRPr="00EB2E7B">
        <w:rPr>
          <w:rFonts w:asciiTheme="minorHAnsi" w:hAnsiTheme="minorHAnsi" w:cstheme="minorHAnsi"/>
          <w:sz w:val="20"/>
          <w:szCs w:val="20"/>
        </w:rPr>
        <w:fldChar w:fldCharType="begin"/>
      </w:r>
      <w:r w:rsidR="00071377" w:rsidRPr="00EB2E7B">
        <w:rPr>
          <w:rFonts w:asciiTheme="minorHAnsi" w:hAnsiTheme="minorHAnsi" w:cstheme="minorHAnsi"/>
          <w:sz w:val="20"/>
          <w:szCs w:val="20"/>
        </w:rPr>
        <w:instrText xml:space="preserve"> REF _Ref190106792 \w \h  \* MERGEFORMAT </w:instrText>
      </w:r>
      <w:r w:rsidR="00071377" w:rsidRPr="00EB2E7B">
        <w:rPr>
          <w:rFonts w:asciiTheme="minorHAnsi" w:hAnsiTheme="minorHAnsi" w:cstheme="minorHAnsi"/>
          <w:sz w:val="20"/>
          <w:szCs w:val="20"/>
        </w:rPr>
      </w:r>
      <w:r w:rsidR="0007137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07137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t>
      </w:r>
      <w:r w:rsidR="00071377" w:rsidRPr="00EB2E7B">
        <w:rPr>
          <w:rFonts w:asciiTheme="minorHAnsi" w:hAnsiTheme="minorHAnsi" w:cstheme="minorHAnsi"/>
          <w:sz w:val="20"/>
          <w:szCs w:val="20"/>
        </w:rPr>
        <w:fldChar w:fldCharType="begin"/>
      </w:r>
      <w:r w:rsidR="00071377" w:rsidRPr="00EB2E7B">
        <w:rPr>
          <w:rFonts w:asciiTheme="minorHAnsi" w:hAnsiTheme="minorHAnsi" w:cstheme="minorHAnsi"/>
          <w:sz w:val="20"/>
          <w:szCs w:val="20"/>
        </w:rPr>
        <w:instrText xml:space="preserve"> REF _Ref190106794 \w \h  \* MERGEFORMAT </w:instrText>
      </w:r>
      <w:r w:rsidR="00071377" w:rsidRPr="00EB2E7B">
        <w:rPr>
          <w:rFonts w:asciiTheme="minorHAnsi" w:hAnsiTheme="minorHAnsi" w:cstheme="minorHAnsi"/>
          <w:sz w:val="20"/>
          <w:szCs w:val="20"/>
        </w:rPr>
      </w:r>
      <w:r w:rsidR="0007137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0007137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określają przypadki certyfikacji pojedynczych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dla których nie został wydany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7CA83EE4" w14:textId="72DEA8D6" w:rsidR="00CD7B36" w:rsidRPr="00EB2E7B" w:rsidRDefault="00CD7B36" w:rsidP="00E21676">
      <w:pPr>
        <w:pStyle w:val="ANagwek5"/>
        <w:ind w:left="1134" w:hanging="1134"/>
        <w:rPr>
          <w:rFonts w:asciiTheme="minorHAnsi" w:hAnsiTheme="minorHAnsi" w:cstheme="minorHAnsi"/>
          <w:sz w:val="20"/>
          <w:szCs w:val="20"/>
        </w:rPr>
      </w:pPr>
      <w:bookmarkStart w:id="488" w:name="_Ref173227416"/>
      <w:r w:rsidRPr="00EB2E7B">
        <w:rPr>
          <w:rFonts w:asciiTheme="minorHAnsi" w:hAnsiTheme="minorHAnsi" w:cstheme="minorHAnsi"/>
          <w:sz w:val="20"/>
          <w:szCs w:val="20"/>
        </w:rPr>
        <w:t xml:space="preserve">Certyfikacja obejmuje weryfikację kryteriów określonych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_Ref173227304 \r \h </w:instrText>
      </w:r>
      <w:r w:rsidR="001F4D1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488"/>
    </w:p>
    <w:p w14:paraId="5D81B9F2" w14:textId="171B1D37" w:rsidR="00CD7B36" w:rsidRPr="00EB2E7B" w:rsidRDefault="00CD7B36" w:rsidP="00E21676">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Jeżeli wynik weryfikacji,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_Ref173227416 \r \h </w:instrText>
      </w:r>
      <w:r w:rsidR="004928D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A.9.2.2.3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jest pozytywny, to odpowiednio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ACPRO albo OSDn wydaje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przeciwnym wypadku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nie jest wydawany i odpowiednio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ACPRO albo OSDn informuje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 przyczynie niewydania tego certyfikatu.</w:t>
      </w:r>
    </w:p>
    <w:p w14:paraId="54C76256" w14:textId="1C29B7AF" w:rsidR="00CD7B36" w:rsidRPr="00EB2E7B" w:rsidRDefault="00CD7B36" w:rsidP="00E21676">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Jeżeli przyczyną niewydania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negatywny wynik weryfikacji kryteriów określonych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_Ref173227304 \r \h </w:instrText>
      </w:r>
      <w:r w:rsidR="00307F3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_Ref173227433 \r \h </w:instrText>
      </w:r>
      <w:r w:rsidR="00307F3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nie powoduje to obowiązku dostosowania odpowiednio przez </w:t>
      </w:r>
      <w:proofErr w:type="spellStart"/>
      <w:r w:rsidRPr="00EB2E7B">
        <w:rPr>
          <w:rFonts w:asciiTheme="minorHAnsi" w:hAnsiTheme="minorHAnsi" w:cstheme="minorHAnsi"/>
          <w:sz w:val="20"/>
          <w:szCs w:val="20"/>
        </w:rPr>
        <w:t>OSD</w:t>
      </w:r>
      <w:r w:rsidR="00E02AB1" w:rsidRPr="00EB2E7B">
        <w:rPr>
          <w:rFonts w:asciiTheme="minorHAnsi" w:hAnsiTheme="minorHAnsi" w:cstheme="minorHAnsi"/>
          <w:sz w:val="20"/>
          <w:szCs w:val="20"/>
        </w:rPr>
        <w:t>p</w:t>
      </w:r>
      <w:proofErr w:type="spellEnd"/>
      <w:r w:rsidR="00E02AB1" w:rsidRPr="00EB2E7B">
        <w:rPr>
          <w:rFonts w:asciiTheme="minorHAnsi" w:hAnsiTheme="minorHAnsi" w:cstheme="minorHAnsi"/>
          <w:sz w:val="20"/>
          <w:szCs w:val="20"/>
        </w:rPr>
        <w:t>, ACPRO</w:t>
      </w:r>
      <w:r w:rsidRPr="00EB2E7B">
        <w:rPr>
          <w:rFonts w:asciiTheme="minorHAnsi" w:hAnsiTheme="minorHAnsi" w:cstheme="minorHAnsi"/>
          <w:sz w:val="20"/>
          <w:szCs w:val="20"/>
        </w:rPr>
        <w:t xml:space="preserve"> albo OSDn układów pomiarowo-rozliczeniowych do wymagań określonych w tym punkcie.</w:t>
      </w:r>
    </w:p>
    <w:p w14:paraId="00146CE4" w14:textId="3320A715" w:rsidR="00CD7B36" w:rsidRPr="00EB2E7B" w:rsidRDefault="00CD7B36" w:rsidP="00E21676">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Nie skutkuje wygaszeniem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sytuacja, w której odbiorca, któremu wydano taki certyfikat przestaje, niezależnie od przyczyny, podlegać ograniczeniom w dostarczaniu i poborze energii elektrycznej, zgodnie z przepisami rozporządzenia,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_Ref173227315 \r \h </w:instrText>
      </w:r>
      <w:r w:rsidR="00086E1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_Ref173227320 \r \h </w:instrText>
      </w:r>
      <w:r w:rsidR="00086E1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AA20CAB" w14:textId="77777777"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lastRenderedPageBreak/>
        <w:t>Certyfikacja w trybie dodatkowym</w:t>
      </w:r>
    </w:p>
    <w:p w14:paraId="25CCCB8C" w14:textId="30892F68" w:rsidR="00CD7B36" w:rsidRPr="00EB2E7B" w:rsidRDefault="00CD7B36" w:rsidP="00E21676">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Certyfikacja w trybie dodatkowym,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_Ref173227347 \r \h </w:instrText>
      </w:r>
      <w:r w:rsidR="004E3EFE"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_Ref173227461 \r \h </w:instrText>
      </w:r>
      <w:r w:rsidR="004E3EFE"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_Ref173227469 \r \h </w:instrText>
      </w:r>
      <w:r w:rsidR="008227A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A.9.2.1.6</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dokonywana jest na poniższych zasadach.</w:t>
      </w:r>
    </w:p>
    <w:p w14:paraId="3CA98FA7" w14:textId="77777777" w:rsidR="00CD7B36" w:rsidRPr="00EB2E7B" w:rsidRDefault="00CD7B36" w:rsidP="00E21676">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lub upoważniony przez niego podmiot składa wniosek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do:</w:t>
      </w:r>
    </w:p>
    <w:p w14:paraId="4FF8D2AF" w14:textId="77777777" w:rsidR="00CD7B36" w:rsidRPr="00EB2E7B" w:rsidRDefault="00CD7B36" w:rsidP="004B0DC0">
      <w:pPr>
        <w:pStyle w:val="1przed"/>
        <w:numPr>
          <w:ilvl w:val="0"/>
          <w:numId w:val="24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ACPRO – jeśli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posiada przynajmniej jedno PPE w sieci dystrybucyjnej ACPRO,</w:t>
      </w:r>
    </w:p>
    <w:p w14:paraId="17B75553" w14:textId="606EED8E"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OSDn – jeśli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posiada wyłącznie PPE w sieci dystrybucyjnej OSDn</w:t>
      </w:r>
      <w:r w:rsidR="00BD5DD4" w:rsidRPr="00EB2E7B">
        <w:rPr>
          <w:rFonts w:asciiTheme="minorHAnsi" w:hAnsiTheme="minorHAnsi" w:cstheme="minorHAnsi"/>
          <w:sz w:val="20"/>
          <w:szCs w:val="20"/>
        </w:rPr>
        <w:t xml:space="preserve"> przyłączonej do sieci ACPRO</w:t>
      </w:r>
      <w:r w:rsidRPr="00EB2E7B">
        <w:rPr>
          <w:rFonts w:asciiTheme="minorHAnsi" w:hAnsiTheme="minorHAnsi" w:cstheme="minorHAnsi"/>
          <w:sz w:val="20"/>
          <w:szCs w:val="20"/>
        </w:rPr>
        <w:t>.</w:t>
      </w:r>
    </w:p>
    <w:p w14:paraId="6F510B25" w14:textId="5EE2AC5A"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Jeśli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przyłączony do sieci dystrybucyjnej kilku OSD</w:t>
      </w:r>
      <w:r w:rsidR="0086154D" w:rsidRPr="00EB2E7B">
        <w:rPr>
          <w:rFonts w:asciiTheme="minorHAnsi" w:hAnsiTheme="minorHAnsi" w:cstheme="minorHAnsi"/>
          <w:sz w:val="20"/>
          <w:szCs w:val="20"/>
        </w:rPr>
        <w:t>n</w:t>
      </w:r>
      <w:r w:rsidR="00927381"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lub kilku </w:t>
      </w:r>
      <w:r w:rsidR="00927381" w:rsidRPr="00EB2E7B">
        <w:rPr>
          <w:rFonts w:asciiTheme="minorHAnsi" w:hAnsiTheme="minorHAnsi" w:cstheme="minorHAnsi"/>
          <w:sz w:val="20"/>
          <w:szCs w:val="20"/>
        </w:rPr>
        <w:t>„</w:t>
      </w:r>
      <w:r w:rsidR="0086154D" w:rsidRPr="00EB2E7B">
        <w:rPr>
          <w:rFonts w:asciiTheme="minorHAnsi" w:hAnsiTheme="minorHAnsi" w:cstheme="minorHAnsi"/>
          <w:sz w:val="20"/>
          <w:szCs w:val="20"/>
        </w:rPr>
        <w:t xml:space="preserve">sąsiednich </w:t>
      </w:r>
      <w:r w:rsidRPr="00EB2E7B">
        <w:rPr>
          <w:rFonts w:asciiTheme="minorHAnsi" w:hAnsiTheme="minorHAnsi" w:cstheme="minorHAnsi"/>
          <w:sz w:val="20"/>
          <w:szCs w:val="20"/>
        </w:rPr>
        <w:t>OSDn</w:t>
      </w:r>
      <w:r w:rsidR="00927381" w:rsidRPr="00EB2E7B">
        <w:rPr>
          <w:rFonts w:asciiTheme="minorHAnsi" w:hAnsiTheme="minorHAnsi" w:cstheme="minorHAnsi"/>
          <w:sz w:val="20"/>
          <w:szCs w:val="20"/>
        </w:rPr>
        <w:t>”</w:t>
      </w:r>
      <w:r w:rsidR="00786241" w:rsidRPr="00EB2E7B">
        <w:rPr>
          <w:rFonts w:asciiTheme="minorHAnsi" w:hAnsiTheme="minorHAnsi" w:cstheme="minorHAnsi"/>
          <w:sz w:val="20"/>
          <w:szCs w:val="20"/>
        </w:rPr>
        <w:t xml:space="preserve">, o których mowa w pkt </w:t>
      </w:r>
      <w:r w:rsidR="00971DDA" w:rsidRPr="00EB2E7B">
        <w:rPr>
          <w:rFonts w:asciiTheme="minorHAnsi" w:hAnsiTheme="minorHAnsi" w:cstheme="minorHAnsi"/>
          <w:sz w:val="20"/>
          <w:szCs w:val="20"/>
        </w:rPr>
        <w:fldChar w:fldCharType="begin"/>
      </w:r>
      <w:r w:rsidR="00971DDA" w:rsidRPr="00EB2E7B">
        <w:rPr>
          <w:rFonts w:asciiTheme="minorHAnsi" w:hAnsiTheme="minorHAnsi" w:cstheme="minorHAnsi"/>
          <w:sz w:val="20"/>
          <w:szCs w:val="20"/>
        </w:rPr>
        <w:instrText xml:space="preserve"> REF _Ref190168409 \w \h </w:instrText>
      </w:r>
      <w:r w:rsidR="005329B5" w:rsidRPr="00EB2E7B">
        <w:rPr>
          <w:rFonts w:asciiTheme="minorHAnsi" w:hAnsiTheme="minorHAnsi" w:cstheme="minorHAnsi"/>
          <w:sz w:val="20"/>
          <w:szCs w:val="20"/>
        </w:rPr>
        <w:instrText xml:space="preserve"> \* MERGEFORMAT </w:instrText>
      </w:r>
      <w:r w:rsidR="00971DDA" w:rsidRPr="00EB2E7B">
        <w:rPr>
          <w:rFonts w:asciiTheme="minorHAnsi" w:hAnsiTheme="minorHAnsi" w:cstheme="minorHAnsi"/>
          <w:sz w:val="20"/>
          <w:szCs w:val="20"/>
        </w:rPr>
      </w:r>
      <w:r w:rsidR="00971DD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A.2.3</w:t>
      </w:r>
      <w:r w:rsidR="00971DDA" w:rsidRPr="00EB2E7B">
        <w:rPr>
          <w:rFonts w:asciiTheme="minorHAnsi" w:hAnsiTheme="minorHAnsi" w:cstheme="minorHAnsi"/>
          <w:sz w:val="20"/>
          <w:szCs w:val="20"/>
        </w:rPr>
        <w:fldChar w:fldCharType="end"/>
      </w:r>
      <w:r w:rsidR="00786241" w:rsidRPr="00EB2E7B">
        <w:rPr>
          <w:rFonts w:asciiTheme="minorHAnsi" w:hAnsiTheme="minorHAnsi" w:cstheme="minorHAnsi"/>
          <w:sz w:val="20"/>
          <w:szCs w:val="20"/>
        </w:rPr>
        <w:t xml:space="preserve"> lit.</w:t>
      </w:r>
      <w:r w:rsidR="00AE3643" w:rsidRPr="00EB2E7B">
        <w:rPr>
          <w:rFonts w:asciiTheme="minorHAnsi" w:hAnsiTheme="minorHAnsi" w:cstheme="minorHAnsi"/>
          <w:sz w:val="20"/>
          <w:szCs w:val="20"/>
        </w:rPr>
        <w:t xml:space="preserve"> </w:t>
      </w:r>
      <w:r w:rsidR="00AE3643" w:rsidRPr="00EB2E7B">
        <w:rPr>
          <w:rFonts w:asciiTheme="minorHAnsi" w:hAnsiTheme="minorHAnsi" w:cstheme="minorHAnsi"/>
          <w:sz w:val="20"/>
          <w:szCs w:val="20"/>
        </w:rPr>
        <w:fldChar w:fldCharType="begin"/>
      </w:r>
      <w:r w:rsidR="00AE3643" w:rsidRPr="00EB2E7B">
        <w:rPr>
          <w:rFonts w:asciiTheme="minorHAnsi" w:hAnsiTheme="minorHAnsi" w:cstheme="minorHAnsi"/>
          <w:sz w:val="20"/>
          <w:szCs w:val="20"/>
        </w:rPr>
        <w:instrText xml:space="preserve"> REF _Ref190096578 \r \h </w:instrText>
      </w:r>
      <w:r w:rsidR="005E3FEE" w:rsidRPr="00EB2E7B">
        <w:rPr>
          <w:rFonts w:asciiTheme="minorHAnsi" w:hAnsiTheme="minorHAnsi" w:cstheme="minorHAnsi"/>
          <w:sz w:val="20"/>
          <w:szCs w:val="20"/>
        </w:rPr>
        <w:instrText xml:space="preserve"> \* MERGEFORMAT </w:instrText>
      </w:r>
      <w:r w:rsidR="00AE3643" w:rsidRPr="00EB2E7B">
        <w:rPr>
          <w:rFonts w:asciiTheme="minorHAnsi" w:hAnsiTheme="minorHAnsi" w:cstheme="minorHAnsi"/>
          <w:sz w:val="20"/>
          <w:szCs w:val="20"/>
        </w:rPr>
      </w:r>
      <w:r w:rsidR="00AE364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w:t>
      </w:r>
      <w:r w:rsidR="00AE3643" w:rsidRPr="00EB2E7B">
        <w:rPr>
          <w:rFonts w:asciiTheme="minorHAnsi" w:hAnsiTheme="minorHAnsi" w:cstheme="minorHAnsi"/>
          <w:sz w:val="20"/>
          <w:szCs w:val="20"/>
        </w:rPr>
        <w:fldChar w:fldCharType="end"/>
      </w:r>
      <w:r w:rsidR="00AE3643" w:rsidRPr="00EB2E7B">
        <w:rPr>
          <w:rFonts w:asciiTheme="minorHAnsi" w:hAnsiTheme="minorHAnsi" w:cstheme="minorHAnsi"/>
          <w:sz w:val="20"/>
          <w:szCs w:val="20"/>
        </w:rPr>
        <w:t>,</w:t>
      </w:r>
      <w:r w:rsidRPr="00EB2E7B">
        <w:rPr>
          <w:rFonts w:asciiTheme="minorHAnsi" w:hAnsiTheme="minorHAnsi" w:cstheme="minorHAnsi"/>
          <w:sz w:val="20"/>
          <w:szCs w:val="20"/>
        </w:rPr>
        <w:t xml:space="preserve">, wniosek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składany jest odpowiednio dla miejsca przyłączenia, do wybranego przez siebie jednego OSD</w:t>
      </w:r>
      <w:r w:rsidR="000F78EA" w:rsidRPr="00EB2E7B">
        <w:rPr>
          <w:rFonts w:asciiTheme="minorHAnsi" w:hAnsiTheme="minorHAnsi" w:cstheme="minorHAnsi"/>
          <w:sz w:val="20"/>
          <w:szCs w:val="20"/>
        </w:rPr>
        <w:t>n</w:t>
      </w:r>
      <w:r w:rsidRPr="00EB2E7B">
        <w:rPr>
          <w:rFonts w:asciiTheme="minorHAnsi" w:hAnsiTheme="minorHAnsi" w:cstheme="minorHAnsi"/>
          <w:sz w:val="20"/>
          <w:szCs w:val="20"/>
        </w:rPr>
        <w:t xml:space="preserve"> lub </w:t>
      </w:r>
      <w:r w:rsidR="000F78EA" w:rsidRPr="00EB2E7B">
        <w:rPr>
          <w:rFonts w:asciiTheme="minorHAnsi" w:hAnsiTheme="minorHAnsi" w:cstheme="minorHAnsi"/>
          <w:sz w:val="20"/>
          <w:szCs w:val="20"/>
        </w:rPr>
        <w:t xml:space="preserve">sąsiedniego </w:t>
      </w:r>
      <w:r w:rsidRPr="00EB2E7B">
        <w:rPr>
          <w:rFonts w:asciiTheme="minorHAnsi" w:hAnsiTheme="minorHAnsi" w:cstheme="minorHAnsi"/>
          <w:sz w:val="20"/>
          <w:szCs w:val="20"/>
        </w:rPr>
        <w:t>OSDn.</w:t>
      </w:r>
    </w:p>
    <w:p w14:paraId="13257AE9" w14:textId="77777777" w:rsidR="00CD7B36" w:rsidRPr="00EB2E7B" w:rsidRDefault="00CD7B36" w:rsidP="00B34F91">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Wniosek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zawiera w szczególności:</w:t>
      </w:r>
    </w:p>
    <w:p w14:paraId="1FE908D9" w14:textId="77777777" w:rsidR="00CD7B36" w:rsidRPr="00EB2E7B" w:rsidRDefault="00CD7B36" w:rsidP="004B0DC0">
      <w:pPr>
        <w:pStyle w:val="1przed"/>
        <w:numPr>
          <w:ilvl w:val="0"/>
          <w:numId w:val="24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dane identyfikacyjne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(firma pod jaką działa 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NIP lub PESEL) oraz jego dane kontaktowe (w tym adres poczty elektronicznej na potrzeby zarządzania Certyfikatem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4A053C41" w14:textId="77777777"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dane identyfikacyjne wnioskodawcy (firma pod jaką działa wnioskodawca, NIP lub PESEL) oraz jego dane kontaktowe (w tym adres poczty elektronicznej na potrzeby komunikacji w sprawie wniosku) – w przypadku wniosków składanych przez podmiot upoważniany przez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45E57822" w14:textId="77777777"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dane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(nazwa, adres lokalizacji),</w:t>
      </w:r>
    </w:p>
    <w:p w14:paraId="0F3E871F" w14:textId="0E22ED21"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wykaz unikalnych w skali kraju kodów PPE z przypisaniem do ACPRO, zgodnie z kodyfikacją danego OSD, składających się na kompletny układ zasilania danego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sieci dystrybucyjnej, zgodnie z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_Ref173227304 \r \h </w:instrText>
      </w:r>
      <w:r w:rsidR="00522D7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6CD270C6" w14:textId="039B2D6C"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atrybut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 – obiekt odbiorczy,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OG – obiekt odbiorczy z generacją wewnętrzną), wskazujący 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obiektem wyłącznie odbiorczym czy obiektem posiadającym generację wewnętrzną z możliwością wprowadzania energii elektrycznej do sieci dystrybucyjnej, zgodnie z</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postanowieniami umowy, na podstawie której świadczone są odbiorcy w</w:t>
      </w:r>
      <w:r w:rsidR="00771ACA" w:rsidRPr="00EB2E7B">
        <w:rPr>
          <w:rFonts w:asciiTheme="minorHAnsi" w:hAnsiTheme="minorHAnsi" w:cstheme="minorHAnsi"/>
          <w:sz w:val="20"/>
          <w:szCs w:val="20"/>
        </w:rPr>
        <w:t>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usługi dystrybucji,</w:t>
      </w:r>
    </w:p>
    <w:p w14:paraId="603D44D4" w14:textId="77777777"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oświadczenia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lub odpowiednio podmiotu przez niego upoważnionego:</w:t>
      </w:r>
    </w:p>
    <w:p w14:paraId="29865E3F" w14:textId="339572AF"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t>o zgodzie na przekazywanie danych pomiarowych przez OSD</w:t>
      </w:r>
      <w:r w:rsidR="00630591" w:rsidRPr="00EB2E7B">
        <w:rPr>
          <w:rFonts w:asciiTheme="minorHAnsi" w:hAnsiTheme="minorHAnsi" w:cstheme="minorHAnsi"/>
          <w:sz w:val="20"/>
          <w:szCs w:val="20"/>
        </w:rPr>
        <w:t>n (w tym ACPRO)</w:t>
      </w:r>
      <w:r w:rsidRPr="00EB2E7B">
        <w:rPr>
          <w:rFonts w:asciiTheme="minorHAnsi" w:hAnsiTheme="minorHAnsi" w:cstheme="minorHAnsi"/>
          <w:sz w:val="20"/>
          <w:szCs w:val="20"/>
        </w:rPr>
        <w:t xml:space="preserve"> </w:t>
      </w:r>
      <w:r w:rsidR="001D0A06" w:rsidRPr="00EB2E7B">
        <w:rPr>
          <w:rFonts w:asciiTheme="minorHAnsi" w:hAnsiTheme="minorHAnsi" w:cstheme="minorHAnsi"/>
          <w:sz w:val="20"/>
          <w:szCs w:val="20"/>
        </w:rPr>
        <w:t>za pośrednictwem</w:t>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OSP (dotyczy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przyłączonych wyłącznie do sieci dystrybucyjnej ACPRO),</w:t>
      </w:r>
    </w:p>
    <w:p w14:paraId="22DA5993" w14:textId="3A3B6FE7"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t>o zgodzie na przekazywanie danych pomiarowych przez ACPRO i</w:t>
      </w:r>
      <w:r w:rsidR="005B5276" w:rsidRPr="00EB2E7B">
        <w:rPr>
          <w:rFonts w:asciiTheme="minorHAnsi" w:hAnsiTheme="minorHAnsi" w:cstheme="minorHAnsi"/>
          <w:sz w:val="20"/>
          <w:szCs w:val="20"/>
        </w:rPr>
        <w:t>/ lub</w:t>
      </w:r>
      <w:r w:rsidRPr="00EB2E7B">
        <w:rPr>
          <w:rFonts w:asciiTheme="minorHAnsi" w:hAnsiTheme="minorHAnsi" w:cstheme="minorHAnsi"/>
          <w:sz w:val="20"/>
          <w:szCs w:val="20"/>
        </w:rPr>
        <w:t xml:space="preserve"> OSDn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OSP (dotyczy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przyłączonych do sieci ACPRO i</w:t>
      </w:r>
      <w:r w:rsidR="005B5276" w:rsidRPr="00EB2E7B">
        <w:rPr>
          <w:rFonts w:asciiTheme="minorHAnsi" w:hAnsiTheme="minorHAnsi" w:cstheme="minorHAnsi"/>
          <w:sz w:val="20"/>
          <w:szCs w:val="20"/>
        </w:rPr>
        <w:t>/lub</w:t>
      </w:r>
      <w:r w:rsidRPr="00EB2E7B">
        <w:rPr>
          <w:rFonts w:asciiTheme="minorHAnsi" w:hAnsiTheme="minorHAnsi" w:cstheme="minorHAnsi"/>
          <w:sz w:val="20"/>
          <w:szCs w:val="20"/>
        </w:rPr>
        <w:t> OSDn),</w:t>
      </w:r>
    </w:p>
    <w:p w14:paraId="2DAB2935" w14:textId="075D855C"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zgodzie na przekazywanie danych pomiarowych przez OSP do innego podmiotu (dotyczy przypadku, gdy 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dopuszcza udostępnianie swoich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upoważnianemu przez niego podmiotowi, który świadczy usług</w:t>
      </w:r>
      <w:r w:rsidR="00A13C15" w:rsidRPr="00EB2E7B">
        <w:rPr>
          <w:rFonts w:asciiTheme="minorHAnsi" w:hAnsiTheme="minorHAnsi" w:cstheme="minorHAnsi"/>
          <w:sz w:val="20"/>
          <w:szCs w:val="20"/>
        </w:rPr>
        <w:t>i</w:t>
      </w:r>
      <w:r w:rsidRPr="00EB2E7B">
        <w:rPr>
          <w:rFonts w:asciiTheme="minorHAnsi" w:hAnsiTheme="minorHAnsi" w:cstheme="minorHAnsi"/>
          <w:sz w:val="20"/>
          <w:szCs w:val="20"/>
        </w:rPr>
        <w:t xml:space="preserve"> IRP</w:t>
      </w:r>
      <w:r w:rsidR="005B461F" w:rsidRPr="00EB2E7B">
        <w:rPr>
          <w:rFonts w:asciiTheme="minorHAnsi" w:hAnsiTheme="minorHAnsi" w:cstheme="minorHAnsi"/>
          <w:sz w:val="20"/>
          <w:szCs w:val="20"/>
        </w:rPr>
        <w:t xml:space="preserve"> lub IZP</w:t>
      </w:r>
      <w:r w:rsidRPr="00EB2E7B">
        <w:rPr>
          <w:rFonts w:asciiTheme="minorHAnsi" w:hAnsiTheme="minorHAnsi" w:cstheme="minorHAnsi"/>
          <w:sz w:val="20"/>
          <w:szCs w:val="20"/>
        </w:rPr>
        <w:t>),</w:t>
      </w:r>
    </w:p>
    <w:p w14:paraId="1A5890B3" w14:textId="77777777"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zgodzie na wprowadzenie do systemu IP DSR danych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(nazwa, adres lokalizacji),</w:t>
      </w:r>
    </w:p>
    <w:p w14:paraId="52B3F094" w14:textId="77777777"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o spełnieniu warunku dodatniej wartości salda energii elektrycznej pobranej przez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sieci i wprowadzonej do sieci za okres kolejnych 12 miesięcy kalendarzowych poprzedzających miesiąc, w którym został złożony wniosek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tj. potwierdzeniu, iż wielkość energii elektrycznej pobranej z sieci przewyższa wielkość wprowadzoną do sieci (dotyczy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generacją wewnętrzną),</w:t>
      </w:r>
    </w:p>
    <w:p w14:paraId="5C213787" w14:textId="77777777"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kompletności układu zasilania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oparciu o wskazane PPE,</w:t>
      </w:r>
    </w:p>
    <w:p w14:paraId="015C271D" w14:textId="77777777"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poprawności danych zawartych we wniosku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47553AAF" w14:textId="77777777"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zgodzie na publikację na stronie internetowej OSP informacji o uzyskaniu przez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(zgoda nieobowiązkowa),</w:t>
      </w:r>
    </w:p>
    <w:p w14:paraId="2BB9196D" w14:textId="0F660310" w:rsidR="00CD7B36" w:rsidRPr="00EB2E7B" w:rsidRDefault="00CD7B36" w:rsidP="00B34F91">
      <w:pPr>
        <w:pStyle w:val="apo"/>
        <w:numPr>
          <w:ilvl w:val="0"/>
          <w:numId w:val="24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zobowiązaniu do bieżącego informowania odpowiednio OSP,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ACPRO albo OSDn, w przypadku zmiany danych zawartych w</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 xml:space="preserve">Certyfikacie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oraz zmian odnośnie złożonych oświadczeń, niezwłocznie po dacie zaistnienia zmiany,</w:t>
      </w:r>
    </w:p>
    <w:p w14:paraId="77114555" w14:textId="77777777"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pełnomocnictwo do złożenia wniosku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udzielone przez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przypadku wniosków składanych przez podmiot upoważniany przez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6C9DCCCE" w14:textId="71111F82"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 do sieci ACPRO lub upoważniony przez niego podmiot, składa do ACPRO wniosek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wyłącznie w formie elektronicznej opatrzonej kwalifikowanym podpisem elektronicznym albo w formie dokumentowej w postaci skanu wniosku podpisanego zgodnie z zasadami reprezentacji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wraz z plikiem edytowalnym tego wniosku. Wniosek składany jest na wskazany przez ACPRO adres poczty elektronicznej, opublikowany na stronie internetowej ACPRO.</w:t>
      </w:r>
    </w:p>
    <w:p w14:paraId="7CC6EFA5"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Na każde żądanie ACPRO, 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dostarczy ACPRO w terminie 7 dni kalendarzowych od otrzymania żądania, oryginał wniosku o wydanie certyfikatu albo kopię wniosku poświadczoną przez upoważnionego przedstawiciela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76E49409" w14:textId="77777777" w:rsidR="00CD7B36" w:rsidRPr="00EB2E7B" w:rsidRDefault="00CD7B36" w:rsidP="00377D42">
      <w:pPr>
        <w:pStyle w:val="ANagwek5"/>
        <w:ind w:left="1134" w:hanging="1134"/>
        <w:rPr>
          <w:rFonts w:asciiTheme="minorHAnsi" w:hAnsiTheme="minorHAnsi" w:cstheme="minorHAnsi"/>
          <w:sz w:val="20"/>
          <w:szCs w:val="20"/>
        </w:rPr>
      </w:pPr>
      <w:bookmarkStart w:id="489" w:name="_Ref173227506"/>
      <w:r w:rsidRPr="00EB2E7B">
        <w:rPr>
          <w:rFonts w:asciiTheme="minorHAnsi" w:hAnsiTheme="minorHAnsi" w:cstheme="minorHAnsi"/>
          <w:sz w:val="20"/>
          <w:szCs w:val="20"/>
        </w:rPr>
        <w:t>Certyfikacja obejmuje weryfikację:</w:t>
      </w:r>
      <w:bookmarkEnd w:id="489"/>
    </w:p>
    <w:p w14:paraId="3A100A4A" w14:textId="77777777" w:rsidR="00CD7B36" w:rsidRPr="00EB2E7B" w:rsidRDefault="00CD7B36" w:rsidP="004B0DC0">
      <w:pPr>
        <w:pStyle w:val="1przed"/>
        <w:numPr>
          <w:ilvl w:val="0"/>
          <w:numId w:val="248"/>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kompletności wniosku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14679DD0" w14:textId="77777777"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poprawności kodów PPE wskazanych we wniosku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661E01BD" w14:textId="77777777"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kompletności układu zasilania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wskazanego we wniosku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w oparciu o podane przez wnioskodawcę PPE,</w:t>
      </w:r>
    </w:p>
    <w:p w14:paraId="28358CF3" w14:textId="43ACF570" w:rsidR="00CD7B36" w:rsidRPr="00EB2E7B" w:rsidRDefault="00CD7B36" w:rsidP="004B0DC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spełniania kryteriów,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_Ref173227304 \r \h </w:instrText>
      </w:r>
      <w:r w:rsidR="00522D7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96CFF39" w14:textId="7A113E8A" w:rsidR="00CD7B36" w:rsidRPr="00EB2E7B" w:rsidRDefault="00CD7B36" w:rsidP="00377D42">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Negatywny wynik weryfikacji,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_Ref173227506 \r \h </w:instrText>
      </w:r>
      <w:r w:rsidR="00522D7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A.9.2.3.4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skutkuje odrzuceniem wniosku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W tym przypadku odpowiednio ACPRO albo OSDn niezwłocznie informuje wnioskodawcę o przyczynach odrzucenia tego wniosku.</w:t>
      </w:r>
    </w:p>
    <w:p w14:paraId="55880958" w14:textId="241D7223" w:rsidR="00CD7B36" w:rsidRPr="00EB2E7B" w:rsidRDefault="00CD7B36" w:rsidP="00377D42">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Negatywny wynik weryfikacji kryteriów określonych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_Ref173227304 \r \h </w:instrText>
      </w:r>
      <w:r w:rsidR="00B92A5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_Ref173227433 \r \h </w:instrText>
      </w:r>
      <w:r w:rsidR="00B92A5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nie powoduje obowiązku dostosowania odpowiednio przez </w:t>
      </w:r>
      <w:proofErr w:type="spellStart"/>
      <w:r w:rsidR="007046C7" w:rsidRPr="00EB2E7B">
        <w:rPr>
          <w:rFonts w:asciiTheme="minorHAnsi" w:hAnsiTheme="minorHAnsi" w:cstheme="minorHAnsi"/>
          <w:sz w:val="20"/>
          <w:szCs w:val="20"/>
        </w:rPr>
        <w:t>OSDp</w:t>
      </w:r>
      <w:proofErr w:type="spellEnd"/>
      <w:r w:rsidR="007046C7" w:rsidRPr="00EB2E7B">
        <w:rPr>
          <w:rFonts w:asciiTheme="minorHAnsi" w:hAnsiTheme="minorHAnsi" w:cstheme="minorHAnsi"/>
          <w:sz w:val="20"/>
          <w:szCs w:val="20"/>
        </w:rPr>
        <w:t xml:space="preserve">, </w:t>
      </w:r>
      <w:r w:rsidRPr="00EB2E7B">
        <w:rPr>
          <w:rFonts w:asciiTheme="minorHAnsi" w:hAnsiTheme="minorHAnsi" w:cstheme="minorHAnsi"/>
          <w:sz w:val="20"/>
          <w:szCs w:val="20"/>
        </w:rPr>
        <w:t>ACPRO albo OSDn układów pomiarowo-rozliczeniowych do wymagań określonych w tym punkcie.</w:t>
      </w:r>
    </w:p>
    <w:p w14:paraId="5EDB546D" w14:textId="46091935" w:rsidR="00CD7B36" w:rsidRPr="00EB2E7B" w:rsidRDefault="00CD7B36" w:rsidP="00377D42">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Jeżeli wynik weryfikacji,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_Ref173227506 \r \h </w:instrText>
      </w:r>
      <w:r w:rsidR="00EF04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A.9.2.3.4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jest pozytywny, to odpowiednio ACPRO albo OSDn wydaje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1F42C32D" w14:textId="60E3A297" w:rsidR="00CD7B36" w:rsidRPr="00EB2E7B" w:rsidRDefault="00CD7B36" w:rsidP="00377D42">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 xml:space="preserve">W przypadku złożenia wniosku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do OSDn, dany OSDn </w:t>
      </w:r>
      <w:r w:rsidR="00826A9A" w:rsidRPr="00EB2E7B">
        <w:rPr>
          <w:rFonts w:asciiTheme="minorHAnsi" w:hAnsiTheme="minorHAnsi" w:cstheme="minorHAnsi"/>
          <w:sz w:val="20"/>
          <w:szCs w:val="20"/>
        </w:rPr>
        <w:t xml:space="preserve">(w tym ACPRO) </w:t>
      </w:r>
      <w:r w:rsidRPr="00EB2E7B">
        <w:rPr>
          <w:rFonts w:asciiTheme="minorHAnsi" w:hAnsiTheme="minorHAnsi" w:cstheme="minorHAnsi"/>
          <w:sz w:val="20"/>
          <w:szCs w:val="20"/>
        </w:rPr>
        <w:t xml:space="preserve">– w terminie 14 dni kalendarzowych od daty otrzymania wniosku – dokonuje weryfikacji,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_Ref173227506 \r \h </w:instrText>
      </w:r>
      <w:r w:rsidR="00EF04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A.9.2.3.4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przekazuje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zgodnie z pkt</w:t>
      </w:r>
      <w:r w:rsidR="008466C7" w:rsidRPr="00EB2E7B">
        <w:rPr>
          <w:rFonts w:asciiTheme="minorHAnsi" w:hAnsiTheme="minorHAnsi" w:cstheme="minorHAnsi"/>
          <w:sz w:val="20"/>
          <w:szCs w:val="20"/>
        </w:rPr>
        <w:t xml:space="preserve"> </w:t>
      </w:r>
      <w:r w:rsidR="008466C7" w:rsidRPr="00EB2E7B">
        <w:rPr>
          <w:rFonts w:asciiTheme="minorHAnsi" w:hAnsiTheme="minorHAnsi" w:cstheme="minorHAnsi"/>
          <w:sz w:val="20"/>
          <w:szCs w:val="20"/>
        </w:rPr>
        <w:fldChar w:fldCharType="begin"/>
      </w:r>
      <w:r w:rsidR="008466C7" w:rsidRPr="00EB2E7B">
        <w:rPr>
          <w:rFonts w:asciiTheme="minorHAnsi" w:hAnsiTheme="minorHAnsi" w:cstheme="minorHAnsi"/>
          <w:sz w:val="20"/>
          <w:szCs w:val="20"/>
        </w:rPr>
        <w:instrText xml:space="preserve"> REF _Ref173227566 \w \h  \* MERGEFORMAT </w:instrText>
      </w:r>
      <w:r w:rsidR="008466C7" w:rsidRPr="00EB2E7B">
        <w:rPr>
          <w:rFonts w:asciiTheme="minorHAnsi" w:hAnsiTheme="minorHAnsi" w:cstheme="minorHAnsi"/>
          <w:sz w:val="20"/>
          <w:szCs w:val="20"/>
        </w:rPr>
      </w:r>
      <w:r w:rsidR="008466C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A.9.2.1.3</w:t>
      </w:r>
      <w:r w:rsidR="008466C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8466C7" w:rsidRPr="00EB2E7B">
        <w:rPr>
          <w:rFonts w:asciiTheme="minorHAnsi" w:hAnsiTheme="minorHAnsi" w:cstheme="minorHAnsi"/>
          <w:sz w:val="20"/>
          <w:szCs w:val="20"/>
        </w:rPr>
        <w:fldChar w:fldCharType="begin"/>
      </w:r>
      <w:r w:rsidR="008466C7" w:rsidRPr="00EB2E7B">
        <w:rPr>
          <w:rFonts w:asciiTheme="minorHAnsi" w:hAnsiTheme="minorHAnsi" w:cstheme="minorHAnsi"/>
          <w:sz w:val="20"/>
          <w:szCs w:val="20"/>
        </w:rPr>
        <w:instrText xml:space="preserve"> REF _Ref173227572 \w \h  \* MERGEFORMAT </w:instrText>
      </w:r>
      <w:r w:rsidR="008466C7" w:rsidRPr="00EB2E7B">
        <w:rPr>
          <w:rFonts w:asciiTheme="minorHAnsi" w:hAnsiTheme="minorHAnsi" w:cstheme="minorHAnsi"/>
          <w:sz w:val="20"/>
          <w:szCs w:val="20"/>
        </w:rPr>
      </w:r>
      <w:r w:rsidR="008466C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008466C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 upoważnionego </w:t>
      </w:r>
      <w:proofErr w:type="spellStart"/>
      <w:r w:rsidRPr="00EB2E7B">
        <w:rPr>
          <w:rFonts w:asciiTheme="minorHAnsi" w:hAnsiTheme="minorHAnsi" w:cstheme="minorHAnsi"/>
          <w:sz w:val="20"/>
          <w:szCs w:val="20"/>
        </w:rPr>
        <w:t>OSD</w:t>
      </w:r>
      <w:r w:rsidR="00826A9A"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w:t>
      </w:r>
    </w:p>
    <w:p w14:paraId="5F464633" w14:textId="4D713F4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OSDn </w:t>
      </w:r>
      <w:r w:rsidR="00196C70" w:rsidRPr="00EB2E7B">
        <w:rPr>
          <w:rFonts w:asciiTheme="minorHAnsi" w:hAnsiTheme="minorHAnsi" w:cstheme="minorHAnsi"/>
          <w:sz w:val="20"/>
          <w:szCs w:val="20"/>
        </w:rPr>
        <w:t xml:space="preserve">(w tym ACPRO) </w:t>
      </w:r>
      <w:r w:rsidRPr="00EB2E7B">
        <w:rPr>
          <w:rFonts w:asciiTheme="minorHAnsi" w:hAnsiTheme="minorHAnsi" w:cstheme="minorHAnsi"/>
          <w:sz w:val="20"/>
          <w:szCs w:val="20"/>
        </w:rPr>
        <w:t xml:space="preserve">przekazuje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OSD</w:t>
      </w:r>
      <w:r w:rsidR="00F457D9"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wyłącznie w formie elektronicznej opatrzonej kwalifikowanym podpisem elektronicznym albo w formie dokumentowej w postaci skanu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podpisanego zgodnie z</w:t>
      </w:r>
      <w:r w:rsidR="00771ACA" w:rsidRPr="00EB2E7B">
        <w:rPr>
          <w:rFonts w:asciiTheme="minorHAnsi" w:hAnsiTheme="minorHAnsi" w:cstheme="minorHAnsi"/>
          <w:sz w:val="20"/>
          <w:szCs w:val="20"/>
        </w:rPr>
        <w:t> </w:t>
      </w:r>
      <w:r w:rsidRPr="00EB2E7B">
        <w:rPr>
          <w:rFonts w:asciiTheme="minorHAnsi" w:hAnsiTheme="minorHAnsi" w:cstheme="minorHAnsi"/>
          <w:sz w:val="20"/>
          <w:szCs w:val="20"/>
        </w:rPr>
        <w:t xml:space="preserve">zasadami reprezentacji OSDn wraz z plikiem edytowalnym tego certyfikatu. Dodatkowo OSDn przekazuje skan pełnomocnictwa,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_Ref173227566 \r \h </w:instrText>
      </w:r>
      <w:r w:rsidR="006235EB"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_Ref173227572 \r \h </w:instrText>
      </w:r>
      <w:r w:rsidR="006235EB"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przekazywany jest na wskazany przez </w:t>
      </w:r>
      <w:proofErr w:type="spellStart"/>
      <w:r w:rsidRPr="00EB2E7B">
        <w:rPr>
          <w:rFonts w:asciiTheme="minorHAnsi" w:hAnsiTheme="minorHAnsi" w:cstheme="minorHAnsi"/>
          <w:sz w:val="20"/>
          <w:szCs w:val="20"/>
        </w:rPr>
        <w:t>OSD</w:t>
      </w:r>
      <w:r w:rsidR="00994717"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adres poczty elektronicznej, opublikowany na stronie internetowej </w:t>
      </w:r>
      <w:proofErr w:type="spellStart"/>
      <w:r w:rsidRPr="00EB2E7B">
        <w:rPr>
          <w:rFonts w:asciiTheme="minorHAnsi" w:hAnsiTheme="minorHAnsi" w:cstheme="minorHAnsi"/>
          <w:sz w:val="20"/>
          <w:szCs w:val="20"/>
        </w:rPr>
        <w:t>OSD</w:t>
      </w:r>
      <w:r w:rsidR="00994717"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w:t>
      </w:r>
    </w:p>
    <w:p w14:paraId="25FFFCDA" w14:textId="1EE84F3F"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Na każde żądanie </w:t>
      </w:r>
      <w:proofErr w:type="spellStart"/>
      <w:r w:rsidRPr="00EB2E7B">
        <w:rPr>
          <w:rFonts w:asciiTheme="minorHAnsi" w:hAnsiTheme="minorHAnsi" w:cstheme="minorHAnsi"/>
          <w:sz w:val="20"/>
          <w:szCs w:val="20"/>
        </w:rPr>
        <w:t>OSD</w:t>
      </w:r>
      <w:r w:rsidR="000A0265"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OSDn </w:t>
      </w:r>
      <w:r w:rsidR="00196C70" w:rsidRPr="00EB2E7B">
        <w:rPr>
          <w:rFonts w:asciiTheme="minorHAnsi" w:hAnsiTheme="minorHAnsi" w:cstheme="minorHAnsi"/>
          <w:sz w:val="20"/>
          <w:szCs w:val="20"/>
        </w:rPr>
        <w:t xml:space="preserve">(w tym ACPRO) </w:t>
      </w:r>
      <w:r w:rsidRPr="00EB2E7B">
        <w:rPr>
          <w:rFonts w:asciiTheme="minorHAnsi" w:hAnsiTheme="minorHAnsi" w:cstheme="minorHAnsi"/>
          <w:sz w:val="20"/>
          <w:szCs w:val="20"/>
        </w:rPr>
        <w:t xml:space="preserve">dostarczy do </w:t>
      </w:r>
      <w:proofErr w:type="spellStart"/>
      <w:r w:rsidRPr="00EB2E7B">
        <w:rPr>
          <w:rFonts w:asciiTheme="minorHAnsi" w:hAnsiTheme="minorHAnsi" w:cstheme="minorHAnsi"/>
          <w:sz w:val="20"/>
          <w:szCs w:val="20"/>
        </w:rPr>
        <w:t>OSD</w:t>
      </w:r>
      <w:r w:rsidR="007D73A3"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 terminie 7 dni kalendarzowych od otrzymania żądania, oryginały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 pełnomocnictwa,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_Ref173227566 \r \h </w:instrText>
      </w:r>
      <w:r w:rsidR="00D2428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_Ref173227572 \r \h </w:instrText>
      </w:r>
      <w:r w:rsidR="00D2428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albo kopie tych dokumentów poświadczone przez upoważnionego przedstawiciela OSDn.</w:t>
      </w:r>
    </w:p>
    <w:p w14:paraId="6894075E" w14:textId="75C07F3A"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OSDn</w:t>
      </w:r>
      <w:r w:rsidR="007D73A3"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odpowiada za dokonaną weryfikację i potwierdzenie spełnienia przez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kryteriów określonych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_Ref173227566 \r \h </w:instrText>
      </w:r>
      <w:r w:rsidR="005E6DDA"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11EB88A1" w14:textId="59E04F03" w:rsidR="00CD7B36" w:rsidRPr="00EB2E7B" w:rsidRDefault="00CD7B36" w:rsidP="00377D42">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następuje w terminie 30 dni kalendarzowych od dnia złożenia kompletnego wniosku do odpowiednio ACPRO albo OSDn.</w:t>
      </w:r>
    </w:p>
    <w:p w14:paraId="13E5360C" w14:textId="11B0047B"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wystawienia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przez OSDn, OSDn przekazuje ten certyfikat do </w:t>
      </w:r>
      <w:proofErr w:type="spellStart"/>
      <w:r w:rsidRPr="00EB2E7B">
        <w:rPr>
          <w:rFonts w:asciiTheme="minorHAnsi" w:hAnsiTheme="minorHAnsi" w:cstheme="minorHAnsi"/>
          <w:sz w:val="20"/>
          <w:szCs w:val="20"/>
        </w:rPr>
        <w:t>OSD</w:t>
      </w:r>
      <w:r w:rsidR="00FF7170"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celem jego rejestracji w systemie IP DSR, najpóźniej w terminie do 7 dnia kalendarzowego przed ww. terminem wydania certyfikatu.</w:t>
      </w:r>
    </w:p>
    <w:p w14:paraId="5B572E9E" w14:textId="77777777" w:rsidR="00CD7B36" w:rsidRPr="00EB2E7B" w:rsidRDefault="00CD7B36" w:rsidP="009A432E">
      <w:pPr>
        <w:pStyle w:val="ANagwek4"/>
        <w:rPr>
          <w:rFonts w:asciiTheme="minorHAnsi" w:hAnsiTheme="minorHAnsi" w:cstheme="minorHAnsi"/>
          <w:sz w:val="20"/>
          <w:szCs w:val="20"/>
        </w:rPr>
      </w:pPr>
      <w:bookmarkStart w:id="490" w:name="_Ref173227290"/>
      <w:r w:rsidRPr="00EB2E7B">
        <w:rPr>
          <w:rFonts w:asciiTheme="minorHAnsi" w:hAnsiTheme="minorHAnsi" w:cstheme="minorHAnsi"/>
          <w:sz w:val="20"/>
          <w:szCs w:val="20"/>
        </w:rPr>
        <w:t xml:space="preserve">Certyfikat dla </w:t>
      </w:r>
      <w:proofErr w:type="spellStart"/>
      <w:r w:rsidRPr="00EB2E7B">
        <w:rPr>
          <w:rFonts w:asciiTheme="minorHAnsi" w:hAnsiTheme="minorHAnsi" w:cstheme="minorHAnsi"/>
          <w:sz w:val="20"/>
          <w:szCs w:val="20"/>
        </w:rPr>
        <w:t>ORed</w:t>
      </w:r>
      <w:bookmarkEnd w:id="490"/>
      <w:proofErr w:type="spellEnd"/>
    </w:p>
    <w:p w14:paraId="3AA44F72" w14:textId="77777777" w:rsidR="00CD7B36" w:rsidRPr="00EB2E7B" w:rsidRDefault="00CD7B36" w:rsidP="008B7E51">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zawiera:</w:t>
      </w:r>
    </w:p>
    <w:p w14:paraId="4C889F68" w14:textId="3035FCCC" w:rsidR="00CD7B36" w:rsidRPr="00EB2E7B" w:rsidRDefault="00CD7B36" w:rsidP="00666538">
      <w:pPr>
        <w:pStyle w:val="1przed"/>
        <w:numPr>
          <w:ilvl w:val="0"/>
          <w:numId w:val="249"/>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numer certyfikatu i identyfikator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zastrzeżeniem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_Ref173227566 \r \h </w:instrText>
      </w:r>
      <w:r w:rsidR="002802D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5E6DDA" w:rsidRPr="00EB2E7B">
        <w:rPr>
          <w:rFonts w:asciiTheme="minorHAnsi" w:hAnsiTheme="minorHAnsi" w:cstheme="minorHAnsi"/>
          <w:sz w:val="20"/>
          <w:szCs w:val="20"/>
        </w:rPr>
        <w:fldChar w:fldCharType="begin"/>
      </w:r>
      <w:r w:rsidR="005E6DDA" w:rsidRPr="00EB2E7B">
        <w:rPr>
          <w:rFonts w:asciiTheme="minorHAnsi" w:hAnsiTheme="minorHAnsi" w:cstheme="minorHAnsi"/>
          <w:sz w:val="20"/>
          <w:szCs w:val="20"/>
        </w:rPr>
        <w:instrText xml:space="preserve"> REF _Ref173227572 \r \h  \* MERGEFORMAT </w:instrText>
      </w:r>
      <w:r w:rsidR="005E6DDA" w:rsidRPr="00EB2E7B">
        <w:rPr>
          <w:rFonts w:asciiTheme="minorHAnsi" w:hAnsiTheme="minorHAnsi" w:cstheme="minorHAnsi"/>
          <w:sz w:val="20"/>
          <w:szCs w:val="20"/>
        </w:rPr>
      </w:r>
      <w:r w:rsidR="005E6DD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005E6DDA" w:rsidRPr="00EB2E7B">
        <w:rPr>
          <w:rFonts w:asciiTheme="minorHAnsi" w:hAnsiTheme="minorHAnsi" w:cstheme="minorHAnsi"/>
          <w:sz w:val="20"/>
          <w:szCs w:val="20"/>
        </w:rPr>
        <w:fldChar w:fldCharType="end"/>
      </w:r>
      <w:r w:rsidR="005E6DDA"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 zdanie drugie,</w:t>
      </w:r>
    </w:p>
    <w:p w14:paraId="30582E33" w14:textId="77777777" w:rsidR="00CD7B36" w:rsidRPr="00EB2E7B" w:rsidRDefault="00CD7B36" w:rsidP="0066653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lokalizację sieciową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 przypisanie do stacji elektroenergetycznej o napięciu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/SN w sieci dystrybucyjnej,</w:t>
      </w:r>
    </w:p>
    <w:p w14:paraId="41F13710" w14:textId="2D075BCB" w:rsidR="00CD7B36" w:rsidRPr="00EB2E7B" w:rsidRDefault="00CD7B36" w:rsidP="0066653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dane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(nazwa, adres) i dane identyfikacyjne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zastrzeżeniem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_Ref173227863 \r \h </w:instrText>
      </w:r>
      <w:r w:rsidR="00362AC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zdanie trzecie,</w:t>
      </w:r>
    </w:p>
    <w:p w14:paraId="5DDA472A" w14:textId="7400EB27" w:rsidR="00CD7B36" w:rsidRPr="00EB2E7B" w:rsidRDefault="00CD7B36" w:rsidP="0066653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wykaz kodów PPE, zgodnie z formatem kodów PPE </w:t>
      </w:r>
      <w:proofErr w:type="spellStart"/>
      <w:r w:rsidRPr="00EB2E7B">
        <w:rPr>
          <w:rFonts w:asciiTheme="minorHAnsi" w:hAnsiTheme="minorHAnsi" w:cstheme="minorHAnsi"/>
          <w:sz w:val="20"/>
          <w:szCs w:val="20"/>
        </w:rPr>
        <w:t>OSD</w:t>
      </w:r>
      <w:r w:rsidR="00404787"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(kody PPE nadaje </w:t>
      </w:r>
      <w:proofErr w:type="spellStart"/>
      <w:r w:rsidRPr="00EB2E7B">
        <w:rPr>
          <w:rFonts w:asciiTheme="minorHAnsi" w:hAnsiTheme="minorHAnsi" w:cstheme="minorHAnsi"/>
          <w:sz w:val="20"/>
          <w:szCs w:val="20"/>
        </w:rPr>
        <w:t>OSD</w:t>
      </w:r>
      <w:r w:rsidR="00404787"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właściwy dla miejsca przyłączenia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składających się na kompletny układ zasilania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sieci dystrybucyjnej (wraz z informacją na terenie jakiego odpowiednio </w:t>
      </w:r>
      <w:proofErr w:type="spellStart"/>
      <w:r w:rsidRPr="00EB2E7B">
        <w:rPr>
          <w:rFonts w:asciiTheme="minorHAnsi" w:hAnsiTheme="minorHAnsi" w:cstheme="minorHAnsi"/>
          <w:sz w:val="20"/>
          <w:szCs w:val="20"/>
        </w:rPr>
        <w:t>OSD</w:t>
      </w:r>
      <w:r w:rsidR="00916C95"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i OSDn zlokalizowany jest dany PPE),</w:t>
      </w:r>
    </w:p>
    <w:p w14:paraId="19E8F4BF" w14:textId="77777777" w:rsidR="00CD7B36" w:rsidRPr="00EB2E7B" w:rsidRDefault="00CD7B36" w:rsidP="0066653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datę, od której obowiązuje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1901F8BD" w14:textId="77777777" w:rsidR="00CD7B36" w:rsidRPr="00EB2E7B" w:rsidRDefault="00CD7B36" w:rsidP="0066653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podmiot wydający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7BB02AB8" w14:textId="25C0033E" w:rsidR="00CD7B36" w:rsidRPr="00EB2E7B" w:rsidRDefault="00CD7B36" w:rsidP="0066653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typ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 – obiekt odbiorczy lub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OG – obiekt odbiorczy z generacją wewnętrzną), pod warunkiem złożenia przez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oświadczenia,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_Ref173227874 \r \h </w:instrText>
      </w:r>
      <w:r w:rsidR="00A538FA"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_Ref173227881 \r \h </w:instrText>
      </w:r>
      <w:r w:rsidR="00A538FA"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_Ref173227886 \r \h </w:instrText>
      </w:r>
      <w:r w:rsidR="00A538FA"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063E0A9" w14:textId="77777777" w:rsidR="00CD7B36" w:rsidRPr="00EB2E7B" w:rsidRDefault="00CD7B36" w:rsidP="0066653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informację, czy 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OSDn.</w:t>
      </w:r>
    </w:p>
    <w:p w14:paraId="02AE8B24" w14:textId="27FEF0CE" w:rsidR="00CD7B36" w:rsidRPr="00EB2E7B" w:rsidRDefault="00CD7B36" w:rsidP="00324541">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lastRenderedPageBreak/>
        <w:t>Po pozytywnie zakończonym procesie weryfikacji,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_Ref173227416 \r \h </w:instrText>
      </w:r>
      <w:r w:rsidR="00AB292C"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A.9.2.2.3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_Ref173227506 \r \h </w:instrText>
      </w:r>
      <w:r w:rsidR="00BB563B"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A.9.2.3.4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w:t>
      </w:r>
      <w:r w:rsidR="00F64E5E"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upoważniony przez OSDn</w:t>
      </w:r>
      <w:r w:rsidR="00F16588"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rejestruje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systemie IP DSR, który podczas rejestracji automatycznie nadaje unikalny identyfikator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oraz unikalny numer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Następnie operator systemu wydający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informuje, odpowiednio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lub podmiot przez niego upoważniony, o wydaniu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Informacja w tym zakresie jest przekazywana automatycznie za pośrednictwem systemu IP DSR.</w:t>
      </w:r>
    </w:p>
    <w:p w14:paraId="7D1C8C16"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obowiązuje od daty następującej po dniu rejestracji certyfikatu w systemie IP DSR.</w:t>
      </w:r>
    </w:p>
    <w:p w14:paraId="4B37280C" w14:textId="77777777" w:rsidR="00CD7B36" w:rsidRPr="00EB2E7B" w:rsidRDefault="00CD7B36" w:rsidP="00324541">
      <w:pPr>
        <w:pStyle w:val="ANagwek5"/>
        <w:ind w:left="1134" w:hanging="1134"/>
        <w:rPr>
          <w:rFonts w:asciiTheme="minorHAnsi" w:hAnsiTheme="minorHAnsi" w:cstheme="minorHAnsi"/>
          <w:sz w:val="20"/>
          <w:szCs w:val="20"/>
        </w:rPr>
      </w:pP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dla którego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wydano w ramach certyfikacji w trybie dodatkowym, jest rejestrowany w systemie IP DSR ze statusem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aktywny.</w:t>
      </w:r>
    </w:p>
    <w:p w14:paraId="1E082F1A" w14:textId="1F791668" w:rsidR="00CD7B36" w:rsidRPr="00EB2E7B" w:rsidRDefault="00CD7B36" w:rsidP="00324541">
      <w:pPr>
        <w:pStyle w:val="ANagwek5"/>
        <w:ind w:left="1134" w:hanging="1134"/>
        <w:rPr>
          <w:rFonts w:asciiTheme="minorHAnsi" w:hAnsiTheme="minorHAnsi" w:cstheme="minorHAnsi"/>
          <w:sz w:val="20"/>
          <w:szCs w:val="20"/>
        </w:rPr>
      </w:pPr>
      <w:bookmarkStart w:id="491" w:name="_Ref173227874"/>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dla którego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wydano w ramach certyfikacji w trybie podstawowym, jest rejestrowany w systemie IP DSR ze statusem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nieaktywny”. W celu uzyskania statusu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aktywny”, wymagane jest dostarczenie do </w:t>
      </w:r>
      <w:proofErr w:type="spellStart"/>
      <w:r w:rsidRPr="00EB2E7B">
        <w:rPr>
          <w:rFonts w:asciiTheme="minorHAnsi" w:hAnsiTheme="minorHAnsi" w:cstheme="minorHAnsi"/>
          <w:sz w:val="20"/>
          <w:szCs w:val="20"/>
        </w:rPr>
        <w:t>OSD</w:t>
      </w:r>
      <w:r w:rsidR="003855FA"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dokonującego rejestracji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następujących zgód i oświadczeń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bookmarkEnd w:id="491"/>
    </w:p>
    <w:p w14:paraId="3B03AAA6" w14:textId="77777777" w:rsidR="00CD7B36" w:rsidRPr="00EB2E7B" w:rsidRDefault="00CD7B36" w:rsidP="00DF6F7C">
      <w:pPr>
        <w:pStyle w:val="1przed"/>
        <w:numPr>
          <w:ilvl w:val="0"/>
          <w:numId w:val="250"/>
        </w:numPr>
        <w:ind w:left="1701" w:hanging="567"/>
        <w:rPr>
          <w:rFonts w:asciiTheme="minorHAnsi" w:hAnsiTheme="minorHAnsi" w:cstheme="minorHAnsi"/>
          <w:sz w:val="20"/>
          <w:szCs w:val="20"/>
        </w:rPr>
      </w:pPr>
      <w:bookmarkStart w:id="492" w:name="_Ref173228001"/>
      <w:r w:rsidRPr="00EB2E7B">
        <w:rPr>
          <w:rFonts w:asciiTheme="minorHAnsi" w:hAnsiTheme="minorHAnsi" w:cstheme="minorHAnsi"/>
          <w:sz w:val="20"/>
          <w:szCs w:val="20"/>
        </w:rPr>
        <w:t>zgód na przekazywanie danych pomiarowych przez:</w:t>
      </w:r>
      <w:bookmarkEnd w:id="492"/>
    </w:p>
    <w:p w14:paraId="16B6709C" w14:textId="35041CB4" w:rsidR="00CD7B36" w:rsidRPr="00EB2E7B" w:rsidRDefault="00CD7B36" w:rsidP="00C0670E">
      <w:pPr>
        <w:pStyle w:val="apo"/>
        <w:numPr>
          <w:ilvl w:val="0"/>
          <w:numId w:val="251"/>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ACPRO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i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t>
      </w:r>
      <w:r w:rsidR="00DD02CF" w:rsidRPr="00EB2E7B">
        <w:rPr>
          <w:rFonts w:asciiTheme="minorHAnsi" w:hAnsiTheme="minorHAnsi" w:cstheme="minorHAnsi"/>
          <w:sz w:val="20"/>
          <w:szCs w:val="20"/>
        </w:rPr>
        <w:t>do</w:t>
      </w:r>
      <w:r w:rsidRPr="00EB2E7B">
        <w:rPr>
          <w:rFonts w:asciiTheme="minorHAnsi" w:hAnsiTheme="minorHAnsi" w:cstheme="minorHAnsi"/>
          <w:sz w:val="20"/>
          <w:szCs w:val="20"/>
        </w:rPr>
        <w:t xml:space="preserve"> OSP (dotyczy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przyłączonych wyłącznie do sieci dystrybucyjnej ACPRO),</w:t>
      </w:r>
    </w:p>
    <w:p w14:paraId="700ABD07" w14:textId="79CDF03E" w:rsidR="00CD7B36" w:rsidRPr="00EB2E7B" w:rsidRDefault="00CD7B36" w:rsidP="00C0670E">
      <w:pPr>
        <w:pStyle w:val="apo"/>
        <w:numPr>
          <w:ilvl w:val="0"/>
          <w:numId w:val="251"/>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OSDn do </w:t>
      </w:r>
      <w:proofErr w:type="spellStart"/>
      <w:r w:rsidRPr="00EB2E7B">
        <w:rPr>
          <w:rFonts w:asciiTheme="minorHAnsi" w:hAnsiTheme="minorHAnsi" w:cstheme="minorHAnsi"/>
          <w:sz w:val="20"/>
          <w:szCs w:val="20"/>
        </w:rPr>
        <w:t>OSD</w:t>
      </w:r>
      <w:r w:rsidR="005815D1"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i </w:t>
      </w:r>
      <w:proofErr w:type="spellStart"/>
      <w:r w:rsidRPr="00EB2E7B">
        <w:rPr>
          <w:rFonts w:asciiTheme="minorHAnsi" w:hAnsiTheme="minorHAnsi" w:cstheme="minorHAnsi"/>
          <w:sz w:val="20"/>
          <w:szCs w:val="20"/>
        </w:rPr>
        <w:t>OSD</w:t>
      </w:r>
      <w:r w:rsidR="005815D1"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do </w:t>
      </w:r>
      <w:r w:rsidR="005815D1" w:rsidRPr="00EB2E7B">
        <w:rPr>
          <w:rFonts w:asciiTheme="minorHAnsi" w:hAnsiTheme="minorHAnsi" w:cstheme="minorHAnsi"/>
          <w:sz w:val="20"/>
          <w:szCs w:val="20"/>
        </w:rPr>
        <w:t xml:space="preserve">OSP </w:t>
      </w:r>
      <w:r w:rsidRPr="00EB2E7B">
        <w:rPr>
          <w:rFonts w:asciiTheme="minorHAnsi" w:hAnsiTheme="minorHAnsi" w:cstheme="minorHAnsi"/>
          <w:sz w:val="20"/>
          <w:szCs w:val="20"/>
        </w:rPr>
        <w:t xml:space="preserve">(dotyczy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przyłączonych do sieci OSD</w:t>
      </w:r>
      <w:r w:rsidR="0017498C" w:rsidRPr="00EB2E7B">
        <w:rPr>
          <w:rFonts w:asciiTheme="minorHAnsi" w:hAnsiTheme="minorHAnsi" w:cstheme="minorHAnsi"/>
          <w:sz w:val="20"/>
          <w:szCs w:val="20"/>
        </w:rPr>
        <w:t>n</w:t>
      </w:r>
      <w:r w:rsidRPr="00EB2E7B">
        <w:rPr>
          <w:rFonts w:asciiTheme="minorHAnsi" w:hAnsiTheme="minorHAnsi" w:cstheme="minorHAnsi"/>
          <w:sz w:val="20"/>
          <w:szCs w:val="20"/>
        </w:rPr>
        <w:t>),</w:t>
      </w:r>
    </w:p>
    <w:p w14:paraId="6702A3C3" w14:textId="1E42F858" w:rsidR="00CD7B36" w:rsidRPr="00EB2E7B" w:rsidRDefault="00CD7B36" w:rsidP="00C0670E">
      <w:pPr>
        <w:pStyle w:val="apo"/>
        <w:numPr>
          <w:ilvl w:val="0"/>
          <w:numId w:val="251"/>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OSP do innego podmiotu (dotyczy przypadku, gdy 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dopuszcza udostępnianie swoich zasobów odbiorczych upoważnianemu przez niego podmiotowi, który świadczy </w:t>
      </w:r>
      <w:r w:rsidR="007657EC" w:rsidRPr="00EB2E7B">
        <w:rPr>
          <w:rFonts w:asciiTheme="minorHAnsi" w:hAnsiTheme="minorHAnsi" w:cstheme="minorHAnsi"/>
          <w:sz w:val="20"/>
          <w:szCs w:val="20"/>
        </w:rPr>
        <w:t>usługę IRP lub usługę IZP</w:t>
      </w:r>
      <w:r w:rsidRPr="00EB2E7B">
        <w:rPr>
          <w:rFonts w:asciiTheme="minorHAnsi" w:hAnsiTheme="minorHAnsi" w:cstheme="minorHAnsi"/>
          <w:sz w:val="20"/>
          <w:szCs w:val="20"/>
        </w:rPr>
        <w:t>),</w:t>
      </w:r>
    </w:p>
    <w:p w14:paraId="6B51512B" w14:textId="77777777" w:rsidR="00CD7B36" w:rsidRPr="00EB2E7B" w:rsidRDefault="00CD7B36" w:rsidP="00DF6F7C">
      <w:pPr>
        <w:pStyle w:val="1przed"/>
        <w:ind w:left="1701" w:hanging="567"/>
        <w:rPr>
          <w:rFonts w:asciiTheme="minorHAnsi" w:hAnsiTheme="minorHAnsi" w:cstheme="minorHAnsi"/>
          <w:sz w:val="20"/>
          <w:szCs w:val="20"/>
        </w:rPr>
      </w:pPr>
      <w:bookmarkStart w:id="493" w:name="_Ref173228007"/>
      <w:r w:rsidRPr="00EB2E7B">
        <w:rPr>
          <w:rFonts w:asciiTheme="minorHAnsi" w:hAnsiTheme="minorHAnsi" w:cstheme="minorHAnsi"/>
          <w:sz w:val="20"/>
          <w:szCs w:val="20"/>
        </w:rPr>
        <w:t xml:space="preserve">zgody na wprowadzenie do systemu IP DSR danych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 danych identyfikacyjnych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bookmarkEnd w:id="493"/>
    </w:p>
    <w:p w14:paraId="29A3DCF4" w14:textId="77777777" w:rsidR="00CD7B36" w:rsidRPr="00EB2E7B" w:rsidRDefault="00CD7B36" w:rsidP="00DF6F7C">
      <w:pPr>
        <w:pStyle w:val="1przed"/>
        <w:ind w:left="1701" w:hanging="567"/>
        <w:rPr>
          <w:rFonts w:asciiTheme="minorHAnsi" w:hAnsiTheme="minorHAnsi" w:cstheme="minorHAnsi"/>
          <w:sz w:val="20"/>
          <w:szCs w:val="20"/>
        </w:rPr>
      </w:pPr>
      <w:bookmarkStart w:id="494" w:name="_Ref173227881"/>
      <w:r w:rsidRPr="00EB2E7B">
        <w:rPr>
          <w:rFonts w:asciiTheme="minorHAnsi" w:hAnsiTheme="minorHAnsi" w:cstheme="minorHAnsi"/>
          <w:sz w:val="20"/>
          <w:szCs w:val="20"/>
        </w:rPr>
        <w:t>oświadczenia:</w:t>
      </w:r>
      <w:bookmarkEnd w:id="494"/>
    </w:p>
    <w:p w14:paraId="0E6039B6" w14:textId="77777777" w:rsidR="00CD7B36" w:rsidRPr="00EB2E7B" w:rsidRDefault="00CD7B36" w:rsidP="00A54E5F">
      <w:pPr>
        <w:pStyle w:val="apo"/>
        <w:numPr>
          <w:ilvl w:val="0"/>
          <w:numId w:val="252"/>
        </w:numPr>
        <w:ind w:left="2268" w:hanging="567"/>
        <w:rPr>
          <w:rFonts w:asciiTheme="minorHAnsi" w:hAnsiTheme="minorHAnsi" w:cstheme="minorHAnsi"/>
          <w:sz w:val="20"/>
          <w:szCs w:val="20"/>
        </w:rPr>
      </w:pPr>
      <w:bookmarkStart w:id="495" w:name="_Ref173227886"/>
      <w:r w:rsidRPr="00EB2E7B">
        <w:rPr>
          <w:rFonts w:asciiTheme="minorHAnsi" w:hAnsiTheme="minorHAnsi" w:cstheme="minorHAnsi"/>
          <w:sz w:val="20"/>
          <w:szCs w:val="20"/>
        </w:rPr>
        <w:t xml:space="preserve">wskazującego na typ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 – obiekt odbiorczy lub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OG – obiekt odbiorczy z generacją wewnętrzną), tj. 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jest obiektem wyłącznie odbiorczym, czy posiadającym generację wewnętrzną z możliwością wprowadzania energii elektrycznej do sieci dystrybucyjnej, zgodnie z postanowieniami umowy, na podstawie której świadczone są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usługi dystrybucji,</w:t>
      </w:r>
      <w:bookmarkEnd w:id="495"/>
    </w:p>
    <w:p w14:paraId="1C92B005" w14:textId="77777777" w:rsidR="00CD7B36" w:rsidRPr="00EB2E7B" w:rsidRDefault="00CD7B36" w:rsidP="00A54E5F">
      <w:pPr>
        <w:pStyle w:val="apo"/>
        <w:numPr>
          <w:ilvl w:val="0"/>
          <w:numId w:val="252"/>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spełnieniu warunku dodatniej wartości salda energii elektrycznej pobranej przez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sieci i wprowadzonej do sieci za okres kolejnych 12 miesięcy kalendarzowych poprzedzających miesiąc, w którym zostało złożone niniejsze oświadczenie, tj. potwierdzeniu, iż wielkość energii elektrycznej pobranej z sieci przewyższa wielkość wprowadzoną do sieci (dotyczy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generacją wewnętrzną),</w:t>
      </w:r>
    </w:p>
    <w:p w14:paraId="42776C6F" w14:textId="77777777" w:rsidR="00CD7B36" w:rsidRPr="00EB2E7B" w:rsidRDefault="00CD7B36" w:rsidP="00A54E5F">
      <w:pPr>
        <w:pStyle w:val="apo"/>
        <w:numPr>
          <w:ilvl w:val="0"/>
          <w:numId w:val="252"/>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 kompletności układu zasilania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wskazanego w wydanym Certyfikacie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 o poprawności danych zawartych w tym certyfikacie,</w:t>
      </w:r>
    </w:p>
    <w:p w14:paraId="7A87B623" w14:textId="77777777" w:rsidR="00CD7B36" w:rsidRPr="00EB2E7B" w:rsidRDefault="00CD7B36" w:rsidP="00A54E5F">
      <w:pPr>
        <w:pStyle w:val="apo"/>
        <w:numPr>
          <w:ilvl w:val="0"/>
          <w:numId w:val="252"/>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wskazującego adres poczty elektronicznej na potrzeby zarządzania Certyfikatem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4363586C" w14:textId="5387B31B" w:rsidR="00CD7B36" w:rsidRPr="00EB2E7B" w:rsidRDefault="00CD7B36" w:rsidP="00A54E5F">
      <w:pPr>
        <w:pStyle w:val="apo"/>
        <w:numPr>
          <w:ilvl w:val="0"/>
          <w:numId w:val="252"/>
        </w:numPr>
        <w:ind w:left="2268"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o zobowiązaniu do bieżącego informowania odpowiednio ACPRO albo OSDn w przypadku zmiany danych zawartych w Certyfikacie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oraz zmian odnośnie złożonych oświadczeń, niezwłocznie po dacie zaistnienia zmiany.</w:t>
      </w:r>
    </w:p>
    <w:p w14:paraId="5543FCE0" w14:textId="1328D30D"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przyłączonego do sieci dystrybucyjnej OSDn</w:t>
      </w:r>
      <w:r w:rsidR="00762890"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przekazuje określone powyżej zgody i oświadczenia do tego OSDn. Następnie OSDn informuje </w:t>
      </w:r>
      <w:proofErr w:type="spellStart"/>
      <w:r w:rsidRPr="00EB2E7B">
        <w:rPr>
          <w:rFonts w:asciiTheme="minorHAnsi" w:hAnsiTheme="minorHAnsi" w:cstheme="minorHAnsi"/>
          <w:sz w:val="20"/>
          <w:szCs w:val="20"/>
        </w:rPr>
        <w:t>OSD</w:t>
      </w:r>
      <w:r w:rsidR="006A642F"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o fakcie posiadania zgód i oświadczeń danego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2C490ED1" w14:textId="67DB5CE5"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Na każde żądanie </w:t>
      </w:r>
      <w:proofErr w:type="spellStart"/>
      <w:r w:rsidRPr="00EB2E7B">
        <w:rPr>
          <w:rFonts w:asciiTheme="minorHAnsi" w:hAnsiTheme="minorHAnsi" w:cstheme="minorHAnsi"/>
          <w:sz w:val="20"/>
          <w:szCs w:val="20"/>
        </w:rPr>
        <w:t>OSD</w:t>
      </w:r>
      <w:r w:rsidR="005853FD"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OSDn</w:t>
      </w:r>
      <w:r w:rsidR="00762890"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dostarczy </w:t>
      </w:r>
      <w:proofErr w:type="spellStart"/>
      <w:r w:rsidRPr="00EB2E7B">
        <w:rPr>
          <w:rFonts w:asciiTheme="minorHAnsi" w:hAnsiTheme="minorHAnsi" w:cstheme="minorHAnsi"/>
          <w:sz w:val="20"/>
          <w:szCs w:val="20"/>
        </w:rPr>
        <w:t>OSD</w:t>
      </w:r>
      <w:r w:rsidR="00A8456B"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 terminie 7 dni kalendarzowych od otrzymania żądania, zgody i oświadczenia odbiorcy w</w:t>
      </w:r>
      <w:r w:rsidR="007A7CE9" w:rsidRPr="00EB2E7B">
        <w:rPr>
          <w:rFonts w:asciiTheme="minorHAnsi" w:hAnsiTheme="minorHAnsi" w:cstheme="minorHAnsi"/>
          <w:sz w:val="20"/>
          <w:szCs w:val="20"/>
        </w:rPr>
        <w:t>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określone w niniejszym punkcie.</w:t>
      </w:r>
    </w:p>
    <w:p w14:paraId="09CA41EB" w14:textId="0169A760" w:rsidR="00CD7B36" w:rsidRPr="00EB2E7B" w:rsidRDefault="00CD7B36" w:rsidP="00A54E5F">
      <w:pPr>
        <w:pStyle w:val="ANagwek5"/>
        <w:ind w:left="1134" w:hanging="1134"/>
        <w:rPr>
          <w:rFonts w:asciiTheme="minorHAnsi" w:hAnsiTheme="minorHAnsi" w:cstheme="minorHAnsi"/>
          <w:sz w:val="20"/>
          <w:szCs w:val="20"/>
        </w:rPr>
      </w:pPr>
      <w:bookmarkStart w:id="496" w:name="_Ref173227863"/>
      <w:r w:rsidRPr="00EB2E7B">
        <w:rPr>
          <w:rFonts w:asciiTheme="minorHAnsi" w:hAnsiTheme="minorHAnsi" w:cstheme="minorHAnsi"/>
          <w:sz w:val="20"/>
          <w:szCs w:val="20"/>
        </w:rPr>
        <w:t xml:space="preserve">Zgody,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_Ref173227874 \r \h </w:instrText>
      </w:r>
      <w:r w:rsidR="00261E9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_Ref173228001 \r \h </w:instrText>
      </w:r>
      <w:r w:rsidR="00261E9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_Ref173228007 \r \h </w:instrText>
      </w:r>
      <w:r w:rsidR="00261E9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są wymagane jedynie w przypadku, gdy właściwy operator systemu nie jest upoważniony na mocy klauzul umownych lub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do realizacji działań wynikających z tych zgód.</w:t>
      </w:r>
      <w:bookmarkEnd w:id="496"/>
    </w:p>
    <w:p w14:paraId="2F4F8D9E" w14:textId="238B1F5A"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braku zgód i oświadczeń,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_Ref173227874 \r \h </w:instrText>
      </w:r>
      <w:r w:rsidR="000904CA"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w:t>
      </w:r>
      <w:r w:rsidR="00A54E5F" w:rsidRPr="00EB2E7B">
        <w:rPr>
          <w:rFonts w:asciiTheme="minorHAnsi" w:hAnsiTheme="minorHAnsi" w:cstheme="minorHAnsi"/>
          <w:sz w:val="20"/>
          <w:szCs w:val="20"/>
        </w:rPr>
        <w:t> </w:t>
      </w:r>
      <w:r w:rsidRPr="00EB2E7B">
        <w:rPr>
          <w:rFonts w:asciiTheme="minorHAnsi" w:hAnsiTheme="minorHAnsi" w:cstheme="minorHAnsi"/>
          <w:sz w:val="20"/>
          <w:szCs w:val="20"/>
        </w:rPr>
        <w:t>systemie IP DSR otrzymuje status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nieaktywny”.</w:t>
      </w:r>
    </w:p>
    <w:p w14:paraId="19F8B78C" w14:textId="07D6DB8A"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Brak zgody,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_Ref173227874 \r \h </w:instrText>
      </w:r>
      <w:r w:rsidR="0030039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_Ref173228007 \r \h </w:instrText>
      </w:r>
      <w:r w:rsidR="0030039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skutkuje wprowadzeniem do systemu IP DSR zanonimizowanego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tj. z pominięciem danych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 danych identyfikacyjnych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75A644D5" w14:textId="14E37B2D"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Zmiana w systemie IP DSR statusu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nieaktywny” na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aktywny” następuje niezwłocznie po otrzymaniu przez </w:t>
      </w:r>
      <w:proofErr w:type="spellStart"/>
      <w:r w:rsidRPr="00EB2E7B">
        <w:rPr>
          <w:rFonts w:asciiTheme="minorHAnsi" w:hAnsiTheme="minorHAnsi" w:cstheme="minorHAnsi"/>
          <w:sz w:val="20"/>
          <w:szCs w:val="20"/>
        </w:rPr>
        <w:t>OSD</w:t>
      </w:r>
      <w:r w:rsidR="00F02A17"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dokonującego rejestracji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oświadczeń,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_Ref173227874 \r \h </w:instrText>
      </w:r>
      <w:r w:rsidR="0030039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06AB8A75" w14:textId="77777777" w:rsidR="00CD7B36" w:rsidRPr="00EB2E7B" w:rsidRDefault="00CD7B36" w:rsidP="00700B07">
      <w:pPr>
        <w:pStyle w:val="ANagwek5"/>
        <w:ind w:left="1134" w:hanging="1134"/>
        <w:rPr>
          <w:rFonts w:asciiTheme="minorHAnsi" w:hAnsiTheme="minorHAnsi" w:cstheme="minorHAnsi"/>
          <w:sz w:val="20"/>
          <w:szCs w:val="20"/>
        </w:rPr>
      </w:pPr>
      <w:bookmarkStart w:id="497" w:name="_Ref173228080"/>
      <w:r w:rsidRPr="00EB2E7B">
        <w:rPr>
          <w:rFonts w:asciiTheme="minorHAnsi" w:hAnsiTheme="minorHAnsi" w:cstheme="minorHAnsi"/>
          <w:sz w:val="20"/>
          <w:szCs w:val="20"/>
        </w:rPr>
        <w:t xml:space="preserve">OSP publikuje na swojej stronie internetowej informację o posiadaniu przez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jeżeli operator systemu dokonujący rejestracji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wprowadzi do systemu IP DSR informację, że 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wyraził zgodę na taką publikację.</w:t>
      </w:r>
      <w:bookmarkEnd w:id="497"/>
    </w:p>
    <w:p w14:paraId="7DEB4D58" w14:textId="032CFA92" w:rsidR="00CD7B36" w:rsidRPr="00EB2E7B" w:rsidRDefault="00CD7B36" w:rsidP="00700B07">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Odpowiednio </w:t>
      </w:r>
      <w:proofErr w:type="spellStart"/>
      <w:r w:rsidRPr="00EB2E7B" w:rsidDel="00913DF8">
        <w:rPr>
          <w:rFonts w:asciiTheme="minorHAnsi" w:hAnsiTheme="minorHAnsi" w:cstheme="minorHAnsi"/>
          <w:sz w:val="20"/>
          <w:szCs w:val="20"/>
        </w:rPr>
        <w:t>OSD</w:t>
      </w:r>
      <w:r w:rsidR="00C0011D"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albo </w:t>
      </w:r>
      <w:proofErr w:type="spellStart"/>
      <w:r w:rsidRPr="00EB2E7B">
        <w:rPr>
          <w:rFonts w:asciiTheme="minorHAnsi" w:hAnsiTheme="minorHAnsi" w:cstheme="minorHAnsi"/>
          <w:sz w:val="20"/>
          <w:szCs w:val="20"/>
        </w:rPr>
        <w:t>OSD</w:t>
      </w:r>
      <w:r w:rsidR="00913DF8"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upoważniony przez OSDn</w:t>
      </w:r>
      <w:r w:rsidR="00C0011D"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niezwłocznie wygasza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przypadku:</w:t>
      </w:r>
    </w:p>
    <w:p w14:paraId="47031491" w14:textId="74F3A7B7" w:rsidR="00CD7B36" w:rsidRPr="00EB2E7B" w:rsidRDefault="00CD7B36" w:rsidP="00C74BA5">
      <w:pPr>
        <w:pStyle w:val="1przed"/>
        <w:numPr>
          <w:ilvl w:val="0"/>
          <w:numId w:val="253"/>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pozyskania informacji wskazujących, że dany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nie spełnia kryteriów określonych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_Ref173227304 \r \h </w:instrText>
      </w:r>
      <w:r w:rsidR="0065599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OSDn </w:t>
      </w:r>
      <w:r w:rsidR="00891B2F" w:rsidRPr="00EB2E7B">
        <w:rPr>
          <w:rFonts w:asciiTheme="minorHAnsi" w:hAnsiTheme="minorHAnsi" w:cstheme="minorHAnsi"/>
          <w:sz w:val="20"/>
          <w:szCs w:val="20"/>
        </w:rPr>
        <w:t xml:space="preserve">(w tym ACPRO) </w:t>
      </w:r>
      <w:r w:rsidRPr="00EB2E7B">
        <w:rPr>
          <w:rFonts w:asciiTheme="minorHAnsi" w:hAnsiTheme="minorHAnsi" w:cstheme="minorHAnsi"/>
          <w:sz w:val="20"/>
          <w:szCs w:val="20"/>
        </w:rPr>
        <w:t xml:space="preserve">przekazuje informację w tym zakresie do </w:t>
      </w:r>
      <w:proofErr w:type="spellStart"/>
      <w:r w:rsidRPr="00EB2E7B">
        <w:rPr>
          <w:rFonts w:asciiTheme="minorHAnsi" w:hAnsiTheme="minorHAnsi" w:cstheme="minorHAnsi"/>
          <w:sz w:val="20"/>
          <w:szCs w:val="20"/>
        </w:rPr>
        <w:t>OSD</w:t>
      </w:r>
      <w:r w:rsidR="00BB427F"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który zarejestrował Certyfikat dla tego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systemie IP DSR,</w:t>
      </w:r>
    </w:p>
    <w:p w14:paraId="5C38D238" w14:textId="77777777" w:rsidR="00CD7B36" w:rsidRPr="00EB2E7B" w:rsidRDefault="00CD7B36" w:rsidP="00C74BA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wstrzymania świadczenia usług dystrybucji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lub rozwiązania z tym odbiorcą umowy, na podstawie której świadczone są odbiorcy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usługi dystrybucji.</w:t>
      </w:r>
    </w:p>
    <w:p w14:paraId="0AE59C7E" w14:textId="78AC410E"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Odpowiednio </w:t>
      </w:r>
      <w:proofErr w:type="spellStart"/>
      <w:r w:rsidRPr="00EB2E7B">
        <w:rPr>
          <w:rFonts w:asciiTheme="minorHAnsi" w:hAnsiTheme="minorHAnsi" w:cstheme="minorHAnsi"/>
          <w:sz w:val="20"/>
          <w:szCs w:val="20"/>
        </w:rPr>
        <w:t>OSD</w:t>
      </w:r>
      <w:r w:rsidR="00BB427F"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albo OSDn informuje odbiorcę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 wygaszeniu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Informacja zawiera wskazanie przyczyny i daty wygaszenia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Informacja w tym zakresie jest przekazywana automatycznie za pośrednictwem systemu IP DSR.</w:t>
      </w:r>
    </w:p>
    <w:p w14:paraId="25B141B3" w14:textId="64962EF2"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Za datę wygaszenia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uznaje się datę wprowadzenia informacji w tym zakresie przez </w:t>
      </w:r>
      <w:proofErr w:type="spellStart"/>
      <w:r w:rsidRPr="00EB2E7B">
        <w:rPr>
          <w:rFonts w:asciiTheme="minorHAnsi" w:hAnsiTheme="minorHAnsi" w:cstheme="minorHAnsi"/>
          <w:sz w:val="20"/>
          <w:szCs w:val="20"/>
        </w:rPr>
        <w:t>OSD</w:t>
      </w:r>
      <w:r w:rsidR="00544671"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 systemie IP DSR.</w:t>
      </w:r>
    </w:p>
    <w:p w14:paraId="1C324526" w14:textId="7946F166"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Wygaszenie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oznacza, że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nie spełnia kryteriów warunkujących możliwość świadczenia </w:t>
      </w:r>
      <w:r w:rsidR="007657EC" w:rsidRPr="00EB2E7B">
        <w:rPr>
          <w:rFonts w:asciiTheme="minorHAnsi" w:hAnsiTheme="minorHAnsi" w:cstheme="minorHAnsi"/>
          <w:sz w:val="20"/>
          <w:szCs w:val="20"/>
        </w:rPr>
        <w:t>usługi IRP lub usługi IZP</w:t>
      </w:r>
      <w:r w:rsidRPr="00EB2E7B">
        <w:rPr>
          <w:rFonts w:asciiTheme="minorHAnsi" w:hAnsiTheme="minorHAnsi" w:cstheme="minorHAnsi"/>
          <w:sz w:val="20"/>
          <w:szCs w:val="20"/>
        </w:rPr>
        <w:t xml:space="preserve">. W przypadku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ze statusem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aktywny” wygaszenie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skutkuje wstrzymaniem przekazywania danych pomiarowych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przez OSD</w:t>
      </w:r>
      <w:r w:rsidR="003A782C" w:rsidRPr="00EB2E7B">
        <w:rPr>
          <w:rFonts w:asciiTheme="minorHAnsi" w:hAnsiTheme="minorHAnsi" w:cstheme="minorHAnsi"/>
          <w:sz w:val="20"/>
          <w:szCs w:val="20"/>
        </w:rPr>
        <w:t>n (w tym ACPRO)</w:t>
      </w:r>
      <w:r w:rsidRPr="00EB2E7B">
        <w:rPr>
          <w:rFonts w:asciiTheme="minorHAnsi" w:hAnsiTheme="minorHAnsi" w:cstheme="minorHAnsi"/>
          <w:sz w:val="20"/>
          <w:szCs w:val="20"/>
        </w:rPr>
        <w:t xml:space="preserve">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OSP.</w:t>
      </w:r>
    </w:p>
    <w:p w14:paraId="4F938378" w14:textId="43331777" w:rsidR="00CD7B36" w:rsidRPr="00EB2E7B" w:rsidRDefault="00CD7B36" w:rsidP="00700B07">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przypadku zmiany danych zawartych w wydanym Certyfikacie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ze statusem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aktywny”), w tym w szczególności zakresu PPE (dodanie lub usunięcie) tworzących </w:t>
      </w:r>
      <w:r w:rsidRPr="00EB2E7B">
        <w:rPr>
          <w:rFonts w:asciiTheme="minorHAnsi" w:hAnsiTheme="minorHAnsi" w:cstheme="minorHAnsi"/>
          <w:sz w:val="20"/>
          <w:szCs w:val="20"/>
        </w:rPr>
        <w:lastRenderedPageBreak/>
        <w:t xml:space="preserve">kompletny układ zasilania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odbiorca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składa wniosek do operatora systemu, który wydał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o</w:t>
      </w:r>
      <w:r w:rsidR="007A7CE9" w:rsidRPr="00EB2E7B">
        <w:rPr>
          <w:rFonts w:asciiTheme="minorHAnsi" w:hAnsiTheme="minorHAnsi" w:cstheme="minorHAnsi"/>
          <w:sz w:val="20"/>
          <w:szCs w:val="20"/>
        </w:rPr>
        <w:t> </w:t>
      </w:r>
      <w:r w:rsidRPr="00EB2E7B">
        <w:rPr>
          <w:rFonts w:asciiTheme="minorHAnsi" w:hAnsiTheme="minorHAnsi" w:cstheme="minorHAnsi"/>
          <w:sz w:val="20"/>
          <w:szCs w:val="20"/>
        </w:rPr>
        <w:t>aktualizację tego certyfikatu. Jeśli zmiana nie narusza kryteriów określonych w</w:t>
      </w:r>
      <w:r w:rsidR="007A7CE9" w:rsidRPr="00EB2E7B">
        <w:rPr>
          <w:rFonts w:asciiTheme="minorHAnsi" w:hAnsiTheme="minorHAnsi" w:cstheme="minorHAnsi"/>
          <w:sz w:val="20"/>
          <w:szCs w:val="20"/>
        </w:rPr>
        <w:t> </w:t>
      </w:r>
      <w:r w:rsidRPr="00EB2E7B">
        <w:rPr>
          <w:rFonts w:asciiTheme="minorHAnsi" w:hAnsiTheme="minorHAnsi" w:cstheme="minorHAnsi"/>
          <w:sz w:val="20"/>
          <w:szCs w:val="20"/>
        </w:rPr>
        <w:t xml:space="preserve">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_Ref173227304 \r \h </w:instrText>
      </w:r>
      <w:r w:rsidR="0065599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OSD</w:t>
      </w:r>
      <w:r w:rsidR="00986987"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upoważniony przez OSDn aktualizuje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zarejestrowany w systemie IP DSR. Operator systemu, który wydał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oparciu o dane i informacje będące w jego posiadaniu odnośnie odbiorców przyłączonych do jego sieci, ma prawo dokonania aktualizacji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przypadku aktualizacji dokonanej przez OSDn, operator ten przekazuje zaktualizowany Certyfikat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OSD</w:t>
      </w:r>
      <w:r w:rsidR="00095695"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celem aktualizacji tego certyfikatu w systemie IP DSR.</w:t>
      </w:r>
    </w:p>
    <w:p w14:paraId="69276311"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Wniosek o aktualizację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rozpatrywany jest na zasadach analogicznych jak w procesie certyfikacji w trybie dodatkowym.</w:t>
      </w:r>
    </w:p>
    <w:p w14:paraId="2710602A"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Aktualizacja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powoduje wygaszenie obowiązującego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dacie wydania nowego certyfikatu dla tego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p w14:paraId="3A45EEB2" w14:textId="34DBECF0" w:rsidR="00CD7B36" w:rsidRPr="00EB2E7B" w:rsidRDefault="00CD7B36" w:rsidP="0062541D">
      <w:pPr>
        <w:pStyle w:val="ANagwek5"/>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Wzór wniosku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wzór wniosku o aktualizację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wzór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oraz wzory oświadczeń,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_Ref173227874 \r \h </w:instrText>
      </w:r>
      <w:r w:rsidR="0053677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_Ref173228080 \r \h </w:instrText>
      </w:r>
      <w:r w:rsidR="0053677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A.9.2.4.6</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określa OSP i publikuje na stronie internetowej OSP.</w:t>
      </w:r>
    </w:p>
    <w:p w14:paraId="27E2E86D" w14:textId="5CB90E23" w:rsidR="00CD7B36" w:rsidRPr="00EB2E7B" w:rsidRDefault="00CD7B36" w:rsidP="00500AF3">
      <w:pPr>
        <w:pStyle w:val="ANagwek5"/>
        <w:ind w:left="1276" w:hanging="1276"/>
        <w:rPr>
          <w:rFonts w:asciiTheme="minorHAnsi" w:hAnsiTheme="minorHAnsi" w:cstheme="minorHAnsi"/>
          <w:sz w:val="20"/>
          <w:szCs w:val="20"/>
        </w:rPr>
      </w:pPr>
      <w:r w:rsidRPr="00EB2E7B">
        <w:rPr>
          <w:rFonts w:asciiTheme="minorHAnsi" w:hAnsiTheme="minorHAnsi" w:cstheme="minorHAnsi"/>
          <w:sz w:val="20"/>
          <w:szCs w:val="20"/>
        </w:rPr>
        <w:t xml:space="preserve">ACPRO i OSDn, każdy na swojej stronie internetowej zamieszczają informację odnośnie formy i sposobu składania wniosków o wydanie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wniosków o aktualizację Certyfikatu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oraz oświadczeń,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_Ref173227874 \r \h </w:instrText>
      </w:r>
      <w:r w:rsidR="0053677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A.9.2.4.4</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i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_Ref173228080 \r \h </w:instrText>
      </w:r>
      <w:r w:rsidR="0053677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A.9.2.4.6</w:t>
      </w:r>
      <w:r w:rsidRPr="00EB2E7B">
        <w:rPr>
          <w:rFonts w:asciiTheme="minorHAnsi" w:hAnsiTheme="minorHAnsi" w:cstheme="minorHAnsi"/>
          <w:sz w:val="20"/>
          <w:szCs w:val="20"/>
        </w:rPr>
        <w:fldChar w:fldCharType="end"/>
      </w:r>
      <w:r w:rsidR="00923CFB" w:rsidRPr="00EB2E7B">
        <w:rPr>
          <w:rFonts w:asciiTheme="minorHAnsi" w:hAnsiTheme="minorHAnsi" w:cstheme="minorHAnsi"/>
          <w:sz w:val="20"/>
          <w:szCs w:val="20"/>
        </w:rPr>
        <w:t xml:space="preserve">. </w:t>
      </w:r>
    </w:p>
    <w:p w14:paraId="46FB5532" w14:textId="77777777" w:rsidR="00CD7B36" w:rsidRPr="00EB2E7B" w:rsidRDefault="00CD7B36" w:rsidP="004854C6">
      <w:pPr>
        <w:pStyle w:val="ANagwek3Grubyy"/>
        <w:rPr>
          <w:rFonts w:asciiTheme="minorHAnsi" w:hAnsiTheme="minorHAnsi" w:cstheme="minorHAnsi"/>
          <w:sz w:val="20"/>
          <w:szCs w:val="20"/>
        </w:rPr>
      </w:pPr>
      <w:r w:rsidRPr="00EB2E7B">
        <w:rPr>
          <w:rFonts w:asciiTheme="minorHAnsi" w:hAnsiTheme="minorHAnsi" w:cstheme="minorHAnsi"/>
          <w:sz w:val="20"/>
          <w:szCs w:val="20"/>
        </w:rPr>
        <w:t xml:space="preserve">Zasady udostępniania danych pomiarowych dla </w:t>
      </w:r>
      <w:proofErr w:type="spellStart"/>
      <w:r w:rsidRPr="00EB2E7B">
        <w:rPr>
          <w:rFonts w:asciiTheme="minorHAnsi" w:hAnsiTheme="minorHAnsi" w:cstheme="minorHAnsi"/>
          <w:sz w:val="20"/>
          <w:szCs w:val="20"/>
        </w:rPr>
        <w:t>ORed</w:t>
      </w:r>
      <w:proofErr w:type="spellEnd"/>
    </w:p>
    <w:p w14:paraId="33003076" w14:textId="001D414B"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Udostępnianie OSP danych pomiarowych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(odrębnie dla każdego PPE w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realizowane jest na zasadach określonych w niniejszym punkcie, z uwzględnieniem zapisów rozdziału </w:t>
      </w:r>
      <w:r w:rsidR="00C307A6" w:rsidRPr="00EB2E7B">
        <w:rPr>
          <w:rFonts w:asciiTheme="minorHAnsi" w:hAnsiTheme="minorHAnsi" w:cstheme="minorHAnsi"/>
          <w:sz w:val="20"/>
          <w:szCs w:val="20"/>
        </w:rPr>
        <w:fldChar w:fldCharType="begin"/>
      </w:r>
      <w:r w:rsidR="00C307A6" w:rsidRPr="00EB2E7B">
        <w:rPr>
          <w:rFonts w:asciiTheme="minorHAnsi" w:hAnsiTheme="minorHAnsi" w:cstheme="minorHAnsi"/>
          <w:sz w:val="20"/>
          <w:szCs w:val="20"/>
        </w:rPr>
        <w:instrText xml:space="preserve"> REF _Ref190170102 \w \h  \* MERGEFORMAT </w:instrText>
      </w:r>
      <w:r w:rsidR="00C307A6" w:rsidRPr="00EB2E7B">
        <w:rPr>
          <w:rFonts w:asciiTheme="minorHAnsi" w:hAnsiTheme="minorHAnsi" w:cstheme="minorHAnsi"/>
          <w:sz w:val="20"/>
          <w:szCs w:val="20"/>
        </w:rPr>
      </w:r>
      <w:r w:rsidR="00C307A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w:t>
      </w:r>
      <w:r w:rsidR="00C307A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94FFBC8" w14:textId="6080E594" w:rsidR="00CD7B36" w:rsidRPr="00EB2E7B" w:rsidRDefault="00CD7B36" w:rsidP="009A432E">
      <w:pPr>
        <w:pStyle w:val="ANagwek4"/>
        <w:rPr>
          <w:rFonts w:asciiTheme="minorHAnsi" w:hAnsiTheme="minorHAnsi" w:cstheme="minorHAnsi"/>
          <w:sz w:val="20"/>
          <w:szCs w:val="20"/>
        </w:rPr>
      </w:pPr>
      <w:bookmarkStart w:id="498" w:name="_Ref173228128"/>
      <w:r w:rsidRPr="00EB2E7B">
        <w:rPr>
          <w:rFonts w:asciiTheme="minorHAnsi" w:hAnsiTheme="minorHAnsi" w:cstheme="minorHAnsi"/>
          <w:sz w:val="20"/>
          <w:szCs w:val="20"/>
        </w:rPr>
        <w:t xml:space="preserve">Dane pomiarowe dotyczące ilości dostaw energii elektrycznej dla poszczególnych PPE są pozyskiwane dla wszystkich certyfikowanych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uczestniczących w</w:t>
      </w:r>
      <w:r w:rsidR="006E2EDA" w:rsidRPr="00EB2E7B">
        <w:rPr>
          <w:rFonts w:asciiTheme="minorHAnsi" w:hAnsiTheme="minorHAnsi" w:cstheme="minorHAnsi"/>
          <w:sz w:val="20"/>
          <w:szCs w:val="20"/>
        </w:rPr>
        <w:t> </w:t>
      </w:r>
      <w:r w:rsidRPr="00EB2E7B">
        <w:rPr>
          <w:rFonts w:asciiTheme="minorHAnsi" w:hAnsiTheme="minorHAnsi" w:cstheme="minorHAnsi"/>
          <w:sz w:val="20"/>
          <w:szCs w:val="20"/>
        </w:rPr>
        <w:t xml:space="preserve">świadczeniu </w:t>
      </w:r>
      <w:r w:rsidR="007657EC" w:rsidRPr="00EB2E7B">
        <w:rPr>
          <w:rFonts w:asciiTheme="minorHAnsi" w:hAnsiTheme="minorHAnsi" w:cstheme="minorHAnsi"/>
          <w:sz w:val="20"/>
          <w:szCs w:val="20"/>
        </w:rPr>
        <w:t>usługi IRP lub usługi IZP</w:t>
      </w:r>
      <w:r w:rsidRPr="00EB2E7B">
        <w:rPr>
          <w:rFonts w:asciiTheme="minorHAnsi" w:hAnsiTheme="minorHAnsi" w:cstheme="minorHAnsi"/>
          <w:sz w:val="20"/>
          <w:szCs w:val="20"/>
        </w:rPr>
        <w:t>.</w:t>
      </w:r>
      <w:bookmarkEnd w:id="498"/>
    </w:p>
    <w:p w14:paraId="7C7AE41F" w14:textId="744E240A" w:rsidR="00CD7B36" w:rsidRPr="00EB2E7B" w:rsidRDefault="00064935" w:rsidP="009A432E">
      <w:pPr>
        <w:pStyle w:val="ANagwek4"/>
        <w:rPr>
          <w:rFonts w:asciiTheme="minorHAnsi" w:hAnsiTheme="minorHAnsi" w:cstheme="minorHAnsi"/>
          <w:sz w:val="20"/>
          <w:szCs w:val="20"/>
        </w:rPr>
      </w:pPr>
      <w:bookmarkStart w:id="499" w:name="_Ref173228134"/>
      <w:r w:rsidRPr="00EB2E7B">
        <w:rPr>
          <w:rFonts w:asciiTheme="minorHAnsi" w:hAnsiTheme="minorHAnsi" w:cstheme="minorHAnsi"/>
          <w:sz w:val="20"/>
          <w:szCs w:val="20"/>
        </w:rPr>
        <w:t xml:space="preserve">Dane pomiarowe dotyczące ilości dostaw energii elektrycznej dla poszczególnych PPE, składających się na dany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są przekazywane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po otrzymaniu 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od OSP informacji o  konieczności przekazania danych pomiarowych z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uczestniczących w świadczeniu usługi IRP lub usługi IZP, w wyniku wezwania OSP do zmiany wielkości poboru mocy w ramach tych usług</w:t>
      </w:r>
      <w:r w:rsidR="00CD7B36" w:rsidRPr="00EB2E7B">
        <w:rPr>
          <w:rFonts w:asciiTheme="minorHAnsi" w:hAnsiTheme="minorHAnsi" w:cstheme="minorHAnsi"/>
          <w:sz w:val="20"/>
          <w:szCs w:val="20"/>
        </w:rPr>
        <w:t>.</w:t>
      </w:r>
      <w:bookmarkEnd w:id="499"/>
    </w:p>
    <w:p w14:paraId="118E6982" w14:textId="230AEBAF" w:rsidR="00CD7B36" w:rsidRPr="00EB2E7B" w:rsidRDefault="00064935" w:rsidP="00CE1D38">
      <w:pPr>
        <w:ind w:left="1134" w:firstLine="0"/>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po otrzymaniu informacji od OSP dokonuje (w dobie d+4) zasilenia inicjalnego, w ramach którego zostają przekazane dane z PPE za okres ostatnich 30 dni kalendarzowych. Po dokonaniu zasilenia inicjalnego,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przekazuje dane pomiarowe dla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 trybach określonych w pkt </w:t>
      </w:r>
      <w:r w:rsidR="007D1146" w:rsidRPr="00EB2E7B">
        <w:rPr>
          <w:rFonts w:asciiTheme="minorHAnsi" w:hAnsiTheme="minorHAnsi" w:cstheme="minorHAnsi"/>
          <w:sz w:val="20"/>
          <w:szCs w:val="20"/>
        </w:rPr>
        <w:fldChar w:fldCharType="begin"/>
      </w:r>
      <w:r w:rsidR="007D1146" w:rsidRPr="00EB2E7B">
        <w:rPr>
          <w:rFonts w:asciiTheme="minorHAnsi" w:hAnsiTheme="minorHAnsi" w:cstheme="minorHAnsi"/>
          <w:sz w:val="20"/>
          <w:szCs w:val="20"/>
        </w:rPr>
        <w:instrText xml:space="preserve"> REF _Ref173228108 \r \h </w:instrText>
      </w:r>
      <w:r w:rsidR="00644CDC" w:rsidRPr="00EB2E7B">
        <w:rPr>
          <w:rFonts w:asciiTheme="minorHAnsi" w:hAnsiTheme="minorHAnsi" w:cstheme="minorHAnsi"/>
          <w:sz w:val="20"/>
          <w:szCs w:val="20"/>
        </w:rPr>
        <w:instrText xml:space="preserve"> \* MERGEFORMAT </w:instrText>
      </w:r>
      <w:r w:rsidR="007D1146" w:rsidRPr="00EB2E7B">
        <w:rPr>
          <w:rFonts w:asciiTheme="minorHAnsi" w:hAnsiTheme="minorHAnsi" w:cstheme="minorHAnsi"/>
          <w:sz w:val="20"/>
          <w:szCs w:val="20"/>
        </w:rPr>
      </w:r>
      <w:r w:rsidR="007D114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A.9.3.8</w:t>
      </w:r>
      <w:r w:rsidR="007D11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7D1146" w:rsidRPr="00EB2E7B">
        <w:rPr>
          <w:rFonts w:asciiTheme="minorHAnsi" w:hAnsiTheme="minorHAnsi" w:cstheme="minorHAnsi"/>
          <w:sz w:val="20"/>
          <w:szCs w:val="20"/>
        </w:rPr>
        <w:fldChar w:fldCharType="begin"/>
      </w:r>
      <w:r w:rsidR="007D1146" w:rsidRPr="00EB2E7B">
        <w:rPr>
          <w:rFonts w:asciiTheme="minorHAnsi" w:hAnsiTheme="minorHAnsi" w:cstheme="minorHAnsi"/>
          <w:sz w:val="20"/>
          <w:szCs w:val="20"/>
        </w:rPr>
        <w:instrText xml:space="preserve"> REF _Ref173228113 \r \h </w:instrText>
      </w:r>
      <w:r w:rsidR="00644CDC" w:rsidRPr="00EB2E7B">
        <w:rPr>
          <w:rFonts w:asciiTheme="minorHAnsi" w:hAnsiTheme="minorHAnsi" w:cstheme="minorHAnsi"/>
          <w:sz w:val="20"/>
          <w:szCs w:val="20"/>
        </w:rPr>
        <w:instrText xml:space="preserve"> \* MERGEFORMAT </w:instrText>
      </w:r>
      <w:r w:rsidR="007D1146" w:rsidRPr="00EB2E7B">
        <w:rPr>
          <w:rFonts w:asciiTheme="minorHAnsi" w:hAnsiTheme="minorHAnsi" w:cstheme="minorHAnsi"/>
          <w:sz w:val="20"/>
          <w:szCs w:val="20"/>
        </w:rPr>
      </w:r>
      <w:r w:rsidR="007D114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A.9.3.9</w:t>
      </w:r>
      <w:r w:rsidR="007D11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1F72579A" w14:textId="28BFD165" w:rsidR="00CD7B36" w:rsidRPr="00EB2E7B" w:rsidRDefault="00064935" w:rsidP="00CE1D38">
      <w:pPr>
        <w:ind w:left="1134" w:firstLine="0"/>
        <w:rPr>
          <w:rFonts w:asciiTheme="minorHAnsi" w:hAnsiTheme="minorHAnsi" w:cstheme="minorHAnsi"/>
          <w:sz w:val="20"/>
          <w:szCs w:val="20"/>
        </w:rPr>
      </w:pPr>
      <w:proofErr w:type="spellStart"/>
      <w:r w:rsidRPr="00EB2E7B">
        <w:rPr>
          <w:rFonts w:asciiTheme="minorHAnsi" w:hAnsiTheme="minorHAnsi" w:cstheme="minorHAnsi"/>
          <w:sz w:val="20"/>
          <w:szCs w:val="20"/>
        </w:rPr>
        <w:t>OSD</w:t>
      </w:r>
      <w:r w:rsidR="00D95BB1"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przekazuje do OSP dane pomiarowe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przyłączonego do sieci ACPRO </w:t>
      </w:r>
      <w:r w:rsidR="00603F43" w:rsidRPr="00EB2E7B">
        <w:rPr>
          <w:rFonts w:asciiTheme="minorHAnsi" w:hAnsiTheme="minorHAnsi" w:cstheme="minorHAnsi"/>
          <w:sz w:val="20"/>
          <w:szCs w:val="20"/>
        </w:rPr>
        <w:t>lub</w:t>
      </w:r>
      <w:r w:rsidRPr="00EB2E7B">
        <w:rPr>
          <w:rFonts w:asciiTheme="minorHAnsi" w:hAnsiTheme="minorHAnsi" w:cstheme="minorHAnsi"/>
          <w:sz w:val="20"/>
          <w:szCs w:val="20"/>
        </w:rPr>
        <w:t xml:space="preserve"> OSDn, w tym dokonuje zasilenia inicjalnego, po otrzymaniu tych danych od OSDn</w:t>
      </w:r>
      <w:r w:rsidR="00FE3A7F"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w trybie i formie określonych w pkt </w:t>
      </w:r>
      <w:r w:rsidR="007D1146" w:rsidRPr="00EB2E7B">
        <w:rPr>
          <w:rFonts w:asciiTheme="minorHAnsi" w:hAnsiTheme="minorHAnsi" w:cstheme="minorHAnsi"/>
          <w:sz w:val="20"/>
          <w:szCs w:val="20"/>
        </w:rPr>
        <w:fldChar w:fldCharType="begin"/>
      </w:r>
      <w:r w:rsidR="007D1146" w:rsidRPr="00EB2E7B">
        <w:rPr>
          <w:rFonts w:asciiTheme="minorHAnsi" w:hAnsiTheme="minorHAnsi" w:cstheme="minorHAnsi"/>
          <w:sz w:val="20"/>
          <w:szCs w:val="20"/>
        </w:rPr>
        <w:instrText xml:space="preserve"> REF _Ref173227171 \r \h </w:instrText>
      </w:r>
      <w:r w:rsidR="00644CDC" w:rsidRPr="00EB2E7B">
        <w:rPr>
          <w:rFonts w:asciiTheme="minorHAnsi" w:hAnsiTheme="minorHAnsi" w:cstheme="minorHAnsi"/>
          <w:sz w:val="20"/>
          <w:szCs w:val="20"/>
        </w:rPr>
        <w:instrText xml:space="preserve"> \* MERGEFORMAT </w:instrText>
      </w:r>
      <w:r w:rsidR="007D1146" w:rsidRPr="00EB2E7B">
        <w:rPr>
          <w:rFonts w:asciiTheme="minorHAnsi" w:hAnsiTheme="minorHAnsi" w:cstheme="minorHAnsi"/>
          <w:sz w:val="20"/>
          <w:szCs w:val="20"/>
        </w:rPr>
      </w:r>
      <w:r w:rsidR="007D114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A.9.3.5</w:t>
      </w:r>
      <w:r w:rsidR="007D11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00976B57" w14:textId="070B3D38" w:rsidR="00CD7B36" w:rsidRPr="00EB2E7B" w:rsidRDefault="00CD7B36" w:rsidP="009A432E">
      <w:pPr>
        <w:pStyle w:val="ANagwek4"/>
        <w:rPr>
          <w:rFonts w:asciiTheme="minorHAnsi" w:hAnsiTheme="minorHAnsi" w:cstheme="minorHAnsi"/>
          <w:sz w:val="20"/>
          <w:szCs w:val="20"/>
        </w:rPr>
      </w:pPr>
      <w:r>
        <w:rPr>
          <w:rFonts w:asciiTheme="minorHAnsi" w:hAnsiTheme="minorHAnsi" w:cstheme="minorHAnsi"/>
          <w:sz w:val="20"/>
          <w:szCs w:val="20"/>
        </w:rPr>
        <w:t xml:space="preserve">W przypadku, gdy </w:t>
      </w:r>
      <w:proofErr w:type="spellStart"/>
      <w:r>
        <w:rPr>
          <w:rFonts w:asciiTheme="minorHAnsi" w:hAnsiTheme="minorHAnsi" w:cstheme="minorHAnsi"/>
          <w:sz w:val="20"/>
          <w:szCs w:val="20"/>
        </w:rPr>
        <w:t>ORed</w:t>
      </w:r>
      <w:proofErr w:type="spellEnd"/>
      <w:r>
        <w:rPr>
          <w:rFonts w:asciiTheme="minorHAnsi" w:hAnsiTheme="minorHAnsi" w:cstheme="minorHAnsi"/>
          <w:sz w:val="20"/>
          <w:szCs w:val="20"/>
        </w:rPr>
        <w:t xml:space="preserve"> jest przyłączony do więcej niż jednego OSD, </w:t>
      </w:r>
      <w:proofErr w:type="spellStart"/>
      <w:r>
        <w:rPr>
          <w:rFonts w:asciiTheme="minorHAnsi" w:hAnsiTheme="minorHAnsi" w:cstheme="minorHAnsi"/>
          <w:sz w:val="20"/>
          <w:szCs w:val="20"/>
        </w:rPr>
        <w:t>OSDp</w:t>
      </w:r>
      <w:proofErr w:type="spellEnd"/>
      <w:r>
        <w:rPr>
          <w:rFonts w:asciiTheme="minorHAnsi" w:hAnsiTheme="minorHAnsi" w:cstheme="minorHAnsi"/>
          <w:sz w:val="20"/>
          <w:szCs w:val="20"/>
        </w:rPr>
        <w:t xml:space="preserve"> przesyła dane pomiarowe, o których mowa w pkt A.9.3.2., w zakresie PPE zlokalizowanych w swojej sieci dystrybucyjnej, w tym dla PPE zlokalizowanych w sieci OSDn (w tym ACPRO), którego sieć jest połączona z siecią dystrybucyjną </w:t>
      </w:r>
      <w:proofErr w:type="spellStart"/>
      <w:r>
        <w:rPr>
          <w:rFonts w:asciiTheme="minorHAnsi" w:hAnsiTheme="minorHAnsi" w:cstheme="minorHAnsi"/>
          <w:sz w:val="20"/>
          <w:szCs w:val="20"/>
        </w:rPr>
        <w:t>OSDp</w:t>
      </w:r>
      <w:proofErr w:type="spellEnd"/>
      <w:r>
        <w:rPr>
          <w:rFonts w:asciiTheme="minorHAnsi" w:hAnsiTheme="minorHAnsi" w:cstheme="minorHAnsi"/>
          <w:sz w:val="20"/>
          <w:szCs w:val="20"/>
        </w:rPr>
        <w:t>.</w:t>
      </w:r>
    </w:p>
    <w:p w14:paraId="4BFDAB84" w14:textId="0389848A" w:rsidR="00CD7B36" w:rsidRPr="00EB2E7B" w:rsidRDefault="00CD7B36" w:rsidP="009A432E">
      <w:pPr>
        <w:pStyle w:val="ANagwek4"/>
        <w:rPr>
          <w:rFonts w:asciiTheme="minorHAnsi" w:hAnsiTheme="minorHAnsi" w:cstheme="minorHAnsi"/>
          <w:sz w:val="20"/>
          <w:szCs w:val="20"/>
        </w:rPr>
      </w:pPr>
      <w:bookmarkStart w:id="500" w:name="_Ref173227171"/>
      <w:r w:rsidRPr="00EB2E7B">
        <w:rPr>
          <w:rFonts w:asciiTheme="minorHAnsi" w:hAnsiTheme="minorHAnsi" w:cstheme="minorHAnsi"/>
          <w:sz w:val="20"/>
          <w:szCs w:val="20"/>
        </w:rPr>
        <w:lastRenderedPageBreak/>
        <w:t>OSDn, którego sieć dystrybucyjna jest połączona z siecią dystrybucyjną ACPRO</w:t>
      </w:r>
      <w:r w:rsidR="00E11CB4" w:rsidRPr="00EB2E7B">
        <w:rPr>
          <w:rFonts w:asciiTheme="minorHAnsi" w:hAnsiTheme="minorHAnsi" w:cstheme="minorHAnsi"/>
          <w:sz w:val="20"/>
          <w:szCs w:val="20"/>
        </w:rPr>
        <w:t xml:space="preserve"> lub </w:t>
      </w:r>
      <w:proofErr w:type="spellStart"/>
      <w:r w:rsidR="00E11CB4" w:rsidRPr="00EB2E7B">
        <w:rPr>
          <w:rFonts w:asciiTheme="minorHAnsi" w:hAnsiTheme="minorHAnsi" w:cstheme="minorHAnsi"/>
          <w:sz w:val="20"/>
          <w:szCs w:val="20"/>
        </w:rPr>
        <w:t>OSDp</w:t>
      </w:r>
      <w:proofErr w:type="spellEnd"/>
      <w:r w:rsidR="00A02E82" w:rsidRPr="00EB2E7B">
        <w:rPr>
          <w:rFonts w:asciiTheme="minorHAnsi" w:hAnsiTheme="minorHAnsi" w:cstheme="minorHAnsi"/>
          <w:sz w:val="20"/>
          <w:szCs w:val="20"/>
        </w:rPr>
        <w:t xml:space="preserve"> (tak</w:t>
      </w:r>
      <w:r w:rsidR="009002A2" w:rsidRPr="00EB2E7B">
        <w:rPr>
          <w:rFonts w:asciiTheme="minorHAnsi" w:hAnsiTheme="minorHAnsi" w:cstheme="minorHAnsi"/>
          <w:sz w:val="20"/>
          <w:szCs w:val="20"/>
        </w:rPr>
        <w:t xml:space="preserve"> np.</w:t>
      </w:r>
      <w:r w:rsidR="00A02E82"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zobowiązany jest do przekazywania </w:t>
      </w:r>
      <w:proofErr w:type="spellStart"/>
      <w:r w:rsidRPr="00EB2E7B">
        <w:rPr>
          <w:rFonts w:asciiTheme="minorHAnsi" w:hAnsiTheme="minorHAnsi" w:cstheme="minorHAnsi"/>
          <w:sz w:val="20"/>
          <w:szCs w:val="20"/>
        </w:rPr>
        <w:t>OSD</w:t>
      </w:r>
      <w:r w:rsidR="00E11CB4"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danych pomiarowych dotyczących PPE przyłączonych do jego sieci dystrybucyjnej tworzących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w następującym zakresie:</w:t>
      </w:r>
      <w:bookmarkEnd w:id="500"/>
    </w:p>
    <w:p w14:paraId="5DA9C8A9" w14:textId="23E9F71E" w:rsidR="00CD7B36" w:rsidRPr="00EB2E7B" w:rsidRDefault="00CD7B36" w:rsidP="00EE7359">
      <w:pPr>
        <w:pStyle w:val="1przed"/>
        <w:numPr>
          <w:ilvl w:val="0"/>
          <w:numId w:val="254"/>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dane pomiarowe dotyczące zasilenia inicjalnego,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_Ref173228134 \r \h </w:instrText>
      </w:r>
      <w:r w:rsidR="001F1E1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 terminie 2 dni kalendarzowych od otrzymania informacji od </w:t>
      </w:r>
      <w:proofErr w:type="spellStart"/>
      <w:r w:rsidRPr="00EB2E7B">
        <w:rPr>
          <w:rFonts w:asciiTheme="minorHAnsi" w:hAnsiTheme="minorHAnsi" w:cstheme="minorHAnsi"/>
          <w:sz w:val="20"/>
          <w:szCs w:val="20"/>
        </w:rPr>
        <w:t>OSD</w:t>
      </w:r>
      <w:r w:rsidR="002D31DB"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w:t>
      </w:r>
    </w:p>
    <w:p w14:paraId="5583DB4D" w14:textId="39D54E5E" w:rsidR="00CD7B36" w:rsidRPr="00EB2E7B" w:rsidRDefault="00CD7B36"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dane pomiarowe w trybie wstępnym (dla doby d),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_Ref173228141 \r \h </w:instrText>
      </w:r>
      <w:r w:rsidR="00DD1D89"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A.9.3.7</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terminie do doby d+2,</w:t>
      </w:r>
    </w:p>
    <w:p w14:paraId="3E8105FE" w14:textId="05723005" w:rsidR="00CD7B36" w:rsidRPr="00EB2E7B" w:rsidRDefault="00CD7B36"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dane pomiarowe w trybie podstawowym (dla miesiąca m), o którym mowa w</w:t>
      </w:r>
      <w:r w:rsidR="00500AF3" w:rsidRPr="00EB2E7B">
        <w:rPr>
          <w:rFonts w:asciiTheme="minorHAnsi" w:hAnsiTheme="minorHAnsi" w:cstheme="minorHAnsi"/>
          <w:sz w:val="20"/>
          <w:szCs w:val="20"/>
        </w:rPr>
        <w:t> </w:t>
      </w:r>
      <w:r w:rsidRPr="00EB2E7B">
        <w:rPr>
          <w:rFonts w:asciiTheme="minorHAnsi" w:hAnsiTheme="minorHAnsi" w:cstheme="minorHAnsi"/>
          <w:sz w:val="20"/>
          <w:szCs w:val="20"/>
        </w:rPr>
        <w:t xml:space="preserve">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_Ref173228108 \r \h </w:instrText>
      </w:r>
      <w:r w:rsidR="00DD416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A.9.3.8</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w terminie od 1 do 2 dnia kalendarzowego miesiąca m+1,</w:t>
      </w:r>
    </w:p>
    <w:p w14:paraId="76CFC620" w14:textId="549169FC" w:rsidR="00CD7B36" w:rsidRPr="00EB2E7B" w:rsidRDefault="00CD7B36"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dane pomiarowe w trybie korekt,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_Ref173228113 \r \h </w:instrText>
      </w:r>
      <w:r w:rsidR="00DD4166"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A.9.3.9</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za miesiąc m, w terminie od 1 do 2 dnia kalendarzowego odpowiednio miesiąca m+2 lub m+4.</w:t>
      </w:r>
    </w:p>
    <w:p w14:paraId="1BF0A633" w14:textId="1095751A" w:rsidR="00CD7B36" w:rsidRPr="00EB2E7B" w:rsidRDefault="00AD6858"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ACPRO, </w:t>
      </w:r>
      <w:r w:rsidR="00CD7B36" w:rsidRPr="00EB2E7B">
        <w:rPr>
          <w:rFonts w:asciiTheme="minorHAnsi" w:hAnsiTheme="minorHAnsi" w:cstheme="minorHAnsi"/>
          <w:sz w:val="20"/>
          <w:szCs w:val="20"/>
        </w:rPr>
        <w:t xml:space="preserve">OSDn przekazuje </w:t>
      </w:r>
      <w:proofErr w:type="spellStart"/>
      <w:r w:rsidR="00CD7B36" w:rsidRPr="00EB2E7B">
        <w:rPr>
          <w:rFonts w:asciiTheme="minorHAnsi" w:hAnsiTheme="minorHAnsi" w:cstheme="minorHAnsi"/>
          <w:sz w:val="20"/>
          <w:szCs w:val="20"/>
        </w:rPr>
        <w:t>OSD</w:t>
      </w:r>
      <w:r w:rsidR="002D31DB" w:rsidRPr="00EB2E7B">
        <w:rPr>
          <w:rFonts w:asciiTheme="minorHAnsi" w:hAnsiTheme="minorHAnsi" w:cstheme="minorHAnsi"/>
          <w:sz w:val="20"/>
          <w:szCs w:val="20"/>
        </w:rPr>
        <w:t>p</w:t>
      </w:r>
      <w:proofErr w:type="spellEnd"/>
      <w:r w:rsidR="00CD7B36" w:rsidRPr="00EB2E7B">
        <w:rPr>
          <w:rFonts w:asciiTheme="minorHAnsi" w:hAnsiTheme="minorHAnsi" w:cstheme="minorHAnsi"/>
          <w:sz w:val="20"/>
          <w:szCs w:val="20"/>
        </w:rPr>
        <w:t xml:space="preserve"> dane pomiarowe dla przedziałów czasowych zgodnych z</w:t>
      </w:r>
      <w:r w:rsidR="006E2EDA" w:rsidRPr="00EB2E7B">
        <w:rPr>
          <w:rFonts w:asciiTheme="minorHAnsi" w:hAnsiTheme="minorHAnsi" w:cstheme="minorHAnsi"/>
          <w:sz w:val="20"/>
          <w:szCs w:val="20"/>
        </w:rPr>
        <w:t> </w:t>
      </w:r>
      <w:r w:rsidR="00CD7B36" w:rsidRPr="00EB2E7B">
        <w:rPr>
          <w:rFonts w:asciiTheme="minorHAnsi" w:hAnsiTheme="minorHAnsi" w:cstheme="minorHAnsi"/>
          <w:sz w:val="20"/>
          <w:szCs w:val="20"/>
        </w:rPr>
        <w:t xml:space="preserve">ORN, w formie elektronicznej poprzez wskazany przez </w:t>
      </w:r>
      <w:proofErr w:type="spellStart"/>
      <w:r w:rsidR="00CD7B36" w:rsidRPr="00EB2E7B">
        <w:rPr>
          <w:rFonts w:asciiTheme="minorHAnsi" w:hAnsiTheme="minorHAnsi" w:cstheme="minorHAnsi"/>
          <w:sz w:val="20"/>
          <w:szCs w:val="20"/>
        </w:rPr>
        <w:t>OSD</w:t>
      </w:r>
      <w:r w:rsidRPr="00EB2E7B">
        <w:rPr>
          <w:rFonts w:asciiTheme="minorHAnsi" w:hAnsiTheme="minorHAnsi" w:cstheme="minorHAnsi"/>
          <w:sz w:val="20"/>
          <w:szCs w:val="20"/>
        </w:rPr>
        <w:t>p</w:t>
      </w:r>
      <w:proofErr w:type="spellEnd"/>
      <w:r w:rsidR="00CD7B36" w:rsidRPr="00EB2E7B">
        <w:rPr>
          <w:rFonts w:asciiTheme="minorHAnsi" w:hAnsiTheme="minorHAnsi" w:cstheme="minorHAnsi"/>
          <w:sz w:val="20"/>
          <w:szCs w:val="20"/>
        </w:rPr>
        <w:t xml:space="preserve"> dedykowany serwer. Dane te są przekazywane wraz ze statusami (0 - dana poprawna, 1 - dana niepoprawna) dla każdego PPE, dla ilości energii elektrycznej oddzielnie dla pobranej/oddanej z/do sieci elektroenergetycznej, z dokładnością do 1 kWh. Dodatkowe szczegóły dotyczące standardu przekazywanych danych pomiarowych określa </w:t>
      </w:r>
      <w:proofErr w:type="spellStart"/>
      <w:r w:rsidR="00CD7B36" w:rsidRPr="00EB2E7B">
        <w:rPr>
          <w:rFonts w:asciiTheme="minorHAnsi" w:hAnsiTheme="minorHAnsi" w:cstheme="minorHAnsi"/>
          <w:sz w:val="20"/>
          <w:szCs w:val="20"/>
        </w:rPr>
        <w:t>OSDp</w:t>
      </w:r>
      <w:proofErr w:type="spellEnd"/>
      <w:r w:rsidR="00CD7B36" w:rsidRPr="00EB2E7B">
        <w:rPr>
          <w:rFonts w:asciiTheme="minorHAnsi" w:hAnsiTheme="minorHAnsi" w:cstheme="minorHAnsi"/>
          <w:sz w:val="20"/>
          <w:szCs w:val="20"/>
        </w:rPr>
        <w:t xml:space="preserve"> zgodnie ze standardami WIRE.</w:t>
      </w:r>
    </w:p>
    <w:p w14:paraId="7A24ADA4" w14:textId="1640EFDE"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Wymiana informacji i komunikatów dotyczących powyższych danych pomiarowych odbywa się wyłącznie w formie elektronicznej na adresy poczty elektronicznej lub serwery określone w umowie, o której mowa w pkt. </w:t>
      </w:r>
      <w:r w:rsidR="00B611FF" w:rsidRPr="00EB2E7B">
        <w:rPr>
          <w:rFonts w:asciiTheme="minorHAnsi" w:hAnsiTheme="minorHAnsi" w:cstheme="minorHAnsi"/>
          <w:sz w:val="20"/>
          <w:szCs w:val="20"/>
        </w:rPr>
        <w:fldChar w:fldCharType="begin"/>
      </w:r>
      <w:r w:rsidR="00B611FF" w:rsidRPr="00EB2E7B">
        <w:rPr>
          <w:rFonts w:asciiTheme="minorHAnsi" w:hAnsiTheme="minorHAnsi" w:cstheme="minorHAnsi"/>
          <w:sz w:val="20"/>
          <w:szCs w:val="20"/>
        </w:rPr>
        <w:instrText xml:space="preserve"> REF _Ref184493574 \w \h </w:instrText>
      </w:r>
      <w:r w:rsidR="00254223" w:rsidRPr="00EB2E7B">
        <w:rPr>
          <w:rFonts w:asciiTheme="minorHAnsi" w:hAnsiTheme="minorHAnsi" w:cstheme="minorHAnsi"/>
          <w:sz w:val="20"/>
          <w:szCs w:val="20"/>
        </w:rPr>
        <w:instrText xml:space="preserve"> \* MERGEFORMAT </w:instrText>
      </w:r>
      <w:r w:rsidR="00B611FF" w:rsidRPr="00EB2E7B">
        <w:rPr>
          <w:rFonts w:asciiTheme="minorHAnsi" w:hAnsiTheme="minorHAnsi" w:cstheme="minorHAnsi"/>
          <w:sz w:val="20"/>
          <w:szCs w:val="20"/>
        </w:rPr>
      </w:r>
      <w:r w:rsidR="00B611F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A.4.3.7</w:t>
      </w:r>
      <w:r w:rsidR="00B611FF" w:rsidRPr="00EB2E7B">
        <w:rPr>
          <w:rFonts w:asciiTheme="minorHAnsi" w:hAnsiTheme="minorHAnsi" w:cstheme="minorHAnsi"/>
          <w:sz w:val="20"/>
          <w:szCs w:val="20"/>
        </w:rPr>
        <w:fldChar w:fldCharType="end"/>
      </w:r>
    </w:p>
    <w:p w14:paraId="6C2678D7" w14:textId="04A18BD3" w:rsidR="00CD7B36" w:rsidRPr="00EB2E7B" w:rsidRDefault="00CD7B36" w:rsidP="009A432E">
      <w:pPr>
        <w:pStyle w:val="ANagwek4"/>
        <w:rPr>
          <w:rFonts w:asciiTheme="minorHAnsi" w:hAnsiTheme="minorHAnsi" w:cstheme="minorHAnsi"/>
          <w:sz w:val="20"/>
          <w:szCs w:val="20"/>
        </w:rPr>
      </w:pPr>
      <w:bookmarkStart w:id="501" w:name="_Ref173228531"/>
      <w:r w:rsidRPr="00EB2E7B">
        <w:rPr>
          <w:rFonts w:asciiTheme="minorHAnsi" w:hAnsiTheme="minorHAnsi" w:cstheme="minorHAnsi"/>
          <w:sz w:val="20"/>
          <w:szCs w:val="20"/>
        </w:rPr>
        <w:t>ACPRO</w:t>
      </w:r>
      <w:r w:rsidR="00EF7E20" w:rsidRPr="00EB2E7B">
        <w:rPr>
          <w:rFonts w:asciiTheme="minorHAnsi" w:hAnsiTheme="minorHAnsi" w:cstheme="minorHAnsi"/>
          <w:sz w:val="20"/>
          <w:szCs w:val="20"/>
        </w:rPr>
        <w:t>, OSDn</w:t>
      </w:r>
      <w:r w:rsidRPr="00EB2E7B">
        <w:rPr>
          <w:rFonts w:asciiTheme="minorHAnsi" w:hAnsiTheme="minorHAnsi" w:cstheme="minorHAnsi"/>
          <w:sz w:val="20"/>
          <w:szCs w:val="20"/>
        </w:rPr>
        <w:t xml:space="preserve">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przekazuje OSP poprzez system WIRE dane pomiarowe dla przedziałów czasowych zgodnych z ORN. Dane te są przekazywane wraz ze statusami (0 - dana poprawna, 1 - dana niepoprawna) dla każdego PPE, dla ilości energii elektrycznej oddzielnie dla pobranej/oddanej z/do sieci elektroenergetycznej, z dokładnością do 1 kWh.</w:t>
      </w:r>
      <w:bookmarkEnd w:id="501"/>
    </w:p>
    <w:p w14:paraId="1AF6D182" w14:textId="3940DA98" w:rsidR="00CD7B36" w:rsidRPr="00EB2E7B" w:rsidRDefault="00CD7B36" w:rsidP="009A432E">
      <w:pPr>
        <w:pStyle w:val="ANagwek4"/>
        <w:rPr>
          <w:rFonts w:asciiTheme="minorHAnsi" w:hAnsiTheme="minorHAnsi" w:cstheme="minorHAnsi"/>
          <w:sz w:val="20"/>
          <w:szCs w:val="20"/>
        </w:rPr>
      </w:pPr>
      <w:bookmarkStart w:id="502" w:name="_Ref173228141"/>
      <w:r w:rsidRPr="00EB2E7B">
        <w:rPr>
          <w:rFonts w:asciiTheme="minorHAnsi" w:hAnsiTheme="minorHAnsi" w:cstheme="minorHAnsi"/>
          <w:sz w:val="20"/>
          <w:szCs w:val="20"/>
        </w:rPr>
        <w:t xml:space="preserve">Dane pomiarowe,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_Ref173228531 \r \h </w:instrText>
      </w:r>
      <w:r w:rsidR="004724E5"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A.9.3.6</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dla doby d są przekazywane przez ACPRO</w:t>
      </w:r>
      <w:r w:rsidR="00EF7E20" w:rsidRPr="00EB2E7B">
        <w:rPr>
          <w:rFonts w:asciiTheme="minorHAnsi" w:hAnsiTheme="minorHAnsi" w:cstheme="minorHAnsi"/>
          <w:sz w:val="20"/>
          <w:szCs w:val="20"/>
        </w:rPr>
        <w:t>, OSDn</w:t>
      </w:r>
      <w:r w:rsidRPr="00EB2E7B">
        <w:rPr>
          <w:rFonts w:asciiTheme="minorHAnsi" w:hAnsiTheme="minorHAnsi" w:cstheme="minorHAnsi"/>
          <w:sz w:val="20"/>
          <w:szCs w:val="20"/>
        </w:rPr>
        <w:t xml:space="preserve">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do OSP w trybie wstępnym od doby d+1 do doby d+4.</w:t>
      </w:r>
      <w:bookmarkEnd w:id="502"/>
    </w:p>
    <w:p w14:paraId="09D03661" w14:textId="31A8EA46" w:rsidR="00CD7B36" w:rsidRPr="00EB2E7B" w:rsidRDefault="00CD7B36" w:rsidP="009A432E">
      <w:pPr>
        <w:pStyle w:val="ANagwek4"/>
        <w:rPr>
          <w:rFonts w:asciiTheme="minorHAnsi" w:hAnsiTheme="minorHAnsi" w:cstheme="minorHAnsi"/>
          <w:sz w:val="20"/>
          <w:szCs w:val="20"/>
        </w:rPr>
      </w:pPr>
      <w:bookmarkStart w:id="503" w:name="_Ref173228108"/>
      <w:r w:rsidRPr="00EB2E7B">
        <w:rPr>
          <w:rFonts w:asciiTheme="minorHAnsi" w:hAnsiTheme="minorHAnsi" w:cstheme="minorHAnsi"/>
          <w:sz w:val="20"/>
          <w:szCs w:val="20"/>
        </w:rPr>
        <w:t>Do 5 dnia kalendarzowego po zakończeniu miesiąca m, ACPRO</w:t>
      </w:r>
      <w:r w:rsidR="00AB4943" w:rsidRPr="00EB2E7B">
        <w:rPr>
          <w:rFonts w:asciiTheme="minorHAnsi" w:hAnsiTheme="minorHAnsi" w:cstheme="minorHAnsi"/>
          <w:sz w:val="20"/>
          <w:szCs w:val="20"/>
        </w:rPr>
        <w:t>, OSDn</w:t>
      </w:r>
      <w:r w:rsidRPr="00EB2E7B">
        <w:rPr>
          <w:rFonts w:asciiTheme="minorHAnsi" w:hAnsiTheme="minorHAnsi" w:cstheme="minorHAnsi"/>
          <w:sz w:val="20"/>
          <w:szCs w:val="20"/>
        </w:rPr>
        <w:t xml:space="preserve"> dokonuje ponownej weryfikacji przekazanych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danych pomiarowych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przyłączonych do sieci ACPRO i w razie konieczności przekazuje zweryfikowaną wersję tych danych w trybie podstawowym m+1. Weryfikacji danych pomiarowych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przyłączonych do sieci OSDn</w:t>
      </w:r>
      <w:r w:rsidR="00AB4943" w:rsidRPr="00EB2E7B">
        <w:rPr>
          <w:rFonts w:asciiTheme="minorHAnsi" w:hAnsiTheme="minorHAnsi" w:cstheme="minorHAnsi"/>
          <w:sz w:val="20"/>
          <w:szCs w:val="20"/>
        </w:rPr>
        <w:t xml:space="preserve"> (w tym ACPRO)</w:t>
      </w:r>
      <w:r w:rsidRPr="00EB2E7B">
        <w:rPr>
          <w:rFonts w:asciiTheme="minorHAnsi" w:hAnsiTheme="minorHAnsi" w:cstheme="minorHAnsi"/>
          <w:sz w:val="20"/>
          <w:szCs w:val="20"/>
        </w:rPr>
        <w:t xml:space="preserve"> dokonuje OSDn i w razie konieczności przekazuje je do </w:t>
      </w:r>
      <w:proofErr w:type="spellStart"/>
      <w:r w:rsidRPr="00EB2E7B">
        <w:rPr>
          <w:rFonts w:asciiTheme="minorHAnsi" w:hAnsiTheme="minorHAnsi" w:cstheme="minorHAnsi"/>
          <w:sz w:val="20"/>
          <w:szCs w:val="20"/>
        </w:rPr>
        <w:t>OSD</w:t>
      </w:r>
      <w:r w:rsidR="00250BCF"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zgodnie z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_Ref173227171 \r \h </w:instrText>
      </w:r>
      <w:r w:rsidR="0006346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A.9.3.5</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Dane pomiarowe są przekazywane przez OSD</w:t>
      </w:r>
      <w:r w:rsidR="0068627A" w:rsidRPr="00EB2E7B">
        <w:rPr>
          <w:rFonts w:asciiTheme="minorHAnsi" w:hAnsiTheme="minorHAnsi" w:cstheme="minorHAnsi"/>
          <w:sz w:val="20"/>
          <w:szCs w:val="20"/>
        </w:rPr>
        <w:t>n</w:t>
      </w:r>
      <w:r w:rsidRPr="00EB2E7B">
        <w:rPr>
          <w:rFonts w:asciiTheme="minorHAnsi" w:hAnsiTheme="minorHAnsi" w:cstheme="minorHAnsi"/>
          <w:sz w:val="20"/>
          <w:szCs w:val="20"/>
        </w:rPr>
        <w:t xml:space="preserve">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za miesiąc m od 1 do 5 dnia kalendarzowego miesiąca m+1.</w:t>
      </w:r>
      <w:bookmarkEnd w:id="503"/>
    </w:p>
    <w:p w14:paraId="13C2EC07" w14:textId="06E3E93C"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stwierdzenia nieprawidłowości lub braku danych pomiarowych, OSP inicjuje proces pozyskiwania danych w 5 dniu kalendarzowym miesiąca m+1 poprzez wysłanie zapytania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dane pomiarowe dla wskazanych PPE. W</w:t>
      </w:r>
      <w:r w:rsidR="00286217" w:rsidRPr="00EB2E7B">
        <w:rPr>
          <w:rFonts w:asciiTheme="minorHAnsi" w:hAnsiTheme="minorHAnsi" w:cstheme="minorHAnsi"/>
          <w:sz w:val="20"/>
          <w:szCs w:val="20"/>
        </w:rPr>
        <w:t> </w:t>
      </w:r>
      <w:r w:rsidRPr="00EB2E7B">
        <w:rPr>
          <w:rFonts w:asciiTheme="minorHAnsi" w:hAnsiTheme="minorHAnsi" w:cstheme="minorHAnsi"/>
          <w:sz w:val="20"/>
          <w:szCs w:val="20"/>
        </w:rPr>
        <w:t xml:space="preserve">odpowiedzi na wysłane zapytanie, </w:t>
      </w:r>
      <w:proofErr w:type="spellStart"/>
      <w:r w:rsidRPr="00EB2E7B">
        <w:rPr>
          <w:rFonts w:asciiTheme="minorHAnsi" w:hAnsiTheme="minorHAnsi" w:cstheme="minorHAnsi"/>
          <w:sz w:val="20"/>
          <w:szCs w:val="20"/>
        </w:rPr>
        <w:t>OSD</w:t>
      </w:r>
      <w:r w:rsidR="00156E55"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przekazuje wymagane dane pomiarowe tego samego dnia lub w dniu następnym. W przypadku nie przesłania danych przez </w:t>
      </w:r>
      <w:proofErr w:type="spellStart"/>
      <w:r w:rsidRPr="00EB2E7B">
        <w:rPr>
          <w:rFonts w:asciiTheme="minorHAnsi" w:hAnsiTheme="minorHAnsi" w:cstheme="minorHAnsi"/>
          <w:sz w:val="20"/>
          <w:szCs w:val="20"/>
        </w:rPr>
        <w:t>OSD</w:t>
      </w:r>
      <w:r w:rsidR="00374389"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 trybie podstawowym m+1, do rozliczeń przyjmuje się dane,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_Ref173228141 \r \h </w:instrText>
      </w:r>
      <w:r w:rsidR="00063464"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A.9.3.7</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37E57247"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W trybie podstawowym m+1 wszystkie dane pomiarowe przekazywane przez ACPRO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jako zweryfikowane pod względem kompletności i poprawności, muszą posiadać status danych poprawnych.</w:t>
      </w:r>
    </w:p>
    <w:p w14:paraId="785DEE4C" w14:textId="33719239" w:rsidR="00CD7B36" w:rsidRPr="00EB2E7B" w:rsidRDefault="00CD7B36" w:rsidP="009A432E">
      <w:pPr>
        <w:pStyle w:val="ANagwek4"/>
        <w:rPr>
          <w:rFonts w:asciiTheme="minorHAnsi" w:hAnsiTheme="minorHAnsi" w:cstheme="minorHAnsi"/>
          <w:sz w:val="20"/>
          <w:szCs w:val="20"/>
        </w:rPr>
      </w:pPr>
      <w:bookmarkStart w:id="504" w:name="_Ref173228113"/>
      <w:r w:rsidRPr="00EB2E7B">
        <w:rPr>
          <w:rFonts w:asciiTheme="minorHAnsi" w:hAnsiTheme="minorHAnsi" w:cstheme="minorHAnsi"/>
          <w:sz w:val="20"/>
          <w:szCs w:val="20"/>
        </w:rPr>
        <w:t>Dopuszcza się możliwość korygowania przekazanych przez ACPRO</w:t>
      </w:r>
      <w:r w:rsidR="002853EC" w:rsidRPr="00EB2E7B">
        <w:rPr>
          <w:rFonts w:asciiTheme="minorHAnsi" w:hAnsiTheme="minorHAnsi" w:cstheme="minorHAnsi"/>
          <w:sz w:val="20"/>
          <w:szCs w:val="20"/>
        </w:rPr>
        <w:t>, OSDn</w:t>
      </w:r>
      <w:r w:rsidRPr="00EB2E7B">
        <w:rPr>
          <w:rFonts w:asciiTheme="minorHAnsi" w:hAnsiTheme="minorHAnsi" w:cstheme="minorHAnsi"/>
          <w:sz w:val="20"/>
          <w:szCs w:val="20"/>
        </w:rPr>
        <w:t xml:space="preserve">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danych pomiarowych.</w:t>
      </w:r>
      <w:bookmarkEnd w:id="504"/>
    </w:p>
    <w:p w14:paraId="468BD803"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Okresem korygowania jest miesiąc m+2 i m+4 (tryb korekt). Dane są przekazywane za miesiąc m od 1 do 5 dnia kalendarzowego miesiąca m+2 i m+4.</w:t>
      </w:r>
    </w:p>
    <w:p w14:paraId="7DEAD569" w14:textId="30307C05"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stwierdzenia nieprawidłowości lub braku danych pomiarowych, OSP inicjuje proces pozyskiwania danych 5 dnia kalendarzowego miesiąca m+2 i m+4 poprzez wysłanie do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zapytania o dane pomiarowe dla wskazanych PPE. W</w:t>
      </w:r>
      <w:r w:rsidR="006E2EDA" w:rsidRPr="00EB2E7B">
        <w:rPr>
          <w:rFonts w:asciiTheme="minorHAnsi" w:hAnsiTheme="minorHAnsi" w:cstheme="minorHAnsi"/>
          <w:sz w:val="20"/>
          <w:szCs w:val="20"/>
        </w:rPr>
        <w:t> </w:t>
      </w:r>
      <w:r w:rsidRPr="00EB2E7B">
        <w:rPr>
          <w:rFonts w:asciiTheme="minorHAnsi" w:hAnsiTheme="minorHAnsi" w:cstheme="minorHAnsi"/>
          <w:sz w:val="20"/>
          <w:szCs w:val="20"/>
        </w:rPr>
        <w:t>odpowiedzi na wysłane zapytanie ACPRO</w:t>
      </w:r>
      <w:r w:rsidR="00420EC5" w:rsidRPr="00EB2E7B">
        <w:rPr>
          <w:rFonts w:asciiTheme="minorHAnsi" w:hAnsiTheme="minorHAnsi" w:cstheme="minorHAnsi"/>
          <w:sz w:val="20"/>
          <w:szCs w:val="20"/>
        </w:rPr>
        <w:t>, OSDn</w:t>
      </w:r>
      <w:r w:rsidR="002D6639" w:rsidRPr="00EB2E7B">
        <w:rPr>
          <w:rFonts w:asciiTheme="minorHAnsi" w:hAnsiTheme="minorHAnsi" w:cstheme="minorHAnsi"/>
          <w:sz w:val="20"/>
          <w:szCs w:val="20"/>
        </w:rPr>
        <w:t xml:space="preserve"> i </w:t>
      </w:r>
      <w:proofErr w:type="spellStart"/>
      <w:r w:rsidR="002D6639"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przekazuj</w:t>
      </w:r>
      <w:r w:rsidR="006D7BDE" w:rsidRPr="00EB2E7B">
        <w:rPr>
          <w:rFonts w:asciiTheme="minorHAnsi" w:hAnsiTheme="minorHAnsi" w:cstheme="minorHAnsi"/>
          <w:sz w:val="20"/>
          <w:szCs w:val="20"/>
        </w:rPr>
        <w:t>ą</w:t>
      </w:r>
      <w:r w:rsidR="006E437F" w:rsidRPr="00EB2E7B">
        <w:rPr>
          <w:rFonts w:asciiTheme="minorHAnsi" w:hAnsiTheme="minorHAnsi" w:cstheme="minorHAnsi"/>
          <w:sz w:val="20"/>
          <w:szCs w:val="20"/>
        </w:rPr>
        <w:t xml:space="preserve"> </w:t>
      </w:r>
      <w:r w:rsidRPr="00EB2E7B">
        <w:rPr>
          <w:rFonts w:asciiTheme="minorHAnsi" w:hAnsiTheme="minorHAnsi" w:cstheme="minorHAnsi"/>
          <w:sz w:val="20"/>
          <w:szCs w:val="20"/>
        </w:rPr>
        <w:t>dane pomiarowe tego samego dnia lub dnia następnego.</w:t>
      </w:r>
    </w:p>
    <w:p w14:paraId="17956CBD" w14:textId="45207D32" w:rsidR="007100B0"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Dane pomiarowe dotyczące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są udostępniane podmiotowi świadczącemu </w:t>
      </w:r>
      <w:r w:rsidR="00064935" w:rsidRPr="00EB2E7B">
        <w:rPr>
          <w:rFonts w:asciiTheme="minorHAnsi" w:hAnsiTheme="minorHAnsi" w:cstheme="minorHAnsi"/>
          <w:sz w:val="20"/>
          <w:szCs w:val="20"/>
        </w:rPr>
        <w:t>usługę IRP lub usługę IZP</w:t>
      </w:r>
      <w:r w:rsidRPr="00EB2E7B">
        <w:rPr>
          <w:rFonts w:asciiTheme="minorHAnsi" w:hAnsiTheme="minorHAnsi" w:cstheme="minorHAnsi"/>
          <w:sz w:val="20"/>
          <w:szCs w:val="20"/>
        </w:rPr>
        <w:t xml:space="preserve"> wyłącznie przez OSP.</w:t>
      </w:r>
    </w:p>
    <w:p w14:paraId="420D4276" w14:textId="4F1290D3" w:rsidR="00C45E53" w:rsidRPr="00EB2E7B" w:rsidRDefault="00C45E53" w:rsidP="0024189C">
      <w:pPr>
        <w:pStyle w:val="ANagwek2"/>
        <w:rPr>
          <w:rFonts w:asciiTheme="minorHAnsi" w:hAnsiTheme="minorHAnsi" w:cstheme="minorHAnsi"/>
          <w:sz w:val="20"/>
          <w:szCs w:val="20"/>
        </w:rPr>
      </w:pPr>
      <w:bookmarkStart w:id="505" w:name="_Ref190114260"/>
      <w:bookmarkStart w:id="506" w:name="_Toc239333377"/>
      <w:r w:rsidRPr="00EB2E7B">
        <w:rPr>
          <w:rFonts w:asciiTheme="minorHAnsi" w:hAnsiTheme="minorHAnsi" w:cstheme="minorHAnsi"/>
          <w:sz w:val="20"/>
          <w:szCs w:val="20"/>
        </w:rPr>
        <w:t xml:space="preserve">ZASADY WSPÓŁPRACY DOTYCZĄCE </w:t>
      </w:r>
      <w:r w:rsidR="004070CC" w:rsidRPr="00EB2E7B">
        <w:rPr>
          <w:rFonts w:asciiTheme="minorHAnsi" w:hAnsiTheme="minorHAnsi" w:cstheme="minorHAnsi"/>
          <w:sz w:val="20"/>
          <w:szCs w:val="20"/>
        </w:rPr>
        <w:t>USŁUG BILANSUJĄCYCH</w:t>
      </w:r>
      <w:bookmarkEnd w:id="505"/>
      <w:bookmarkEnd w:id="506"/>
    </w:p>
    <w:p w14:paraId="190B6D34" w14:textId="1509BAD6" w:rsidR="00B21C88" w:rsidRPr="00EB2E7B" w:rsidRDefault="004528F5" w:rsidP="004854C6">
      <w:pPr>
        <w:pStyle w:val="ANagwek3Grubyy"/>
        <w:rPr>
          <w:rFonts w:asciiTheme="minorHAnsi" w:hAnsiTheme="minorHAnsi" w:cstheme="minorHAnsi"/>
          <w:sz w:val="20"/>
          <w:szCs w:val="20"/>
        </w:rPr>
      </w:pPr>
      <w:bookmarkStart w:id="507" w:name="_Ref190094361"/>
      <w:r w:rsidRPr="00EB2E7B">
        <w:rPr>
          <w:rFonts w:asciiTheme="minorHAnsi" w:hAnsiTheme="minorHAnsi" w:cstheme="minorHAnsi"/>
          <w:sz w:val="20"/>
          <w:szCs w:val="20"/>
        </w:rPr>
        <w:t>Wymagania ogólne</w:t>
      </w:r>
      <w:bookmarkEnd w:id="507"/>
    </w:p>
    <w:p w14:paraId="294F2A47" w14:textId="77777777"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DUB może być podmiot, który ma zawartą umowę przesyłową, na mocy której, z wykorzystaniem zasobu albo zasobów:</w:t>
      </w:r>
    </w:p>
    <w:p w14:paraId="5D15A841" w14:textId="77777777" w:rsidR="00CD7B36" w:rsidRPr="00EB2E7B" w:rsidRDefault="00CD7B36" w:rsidP="00CE3881">
      <w:pPr>
        <w:pStyle w:val="1przed"/>
        <w:numPr>
          <w:ilvl w:val="0"/>
          <w:numId w:val="255"/>
        </w:numPr>
        <w:ind w:left="1701" w:hanging="567"/>
        <w:rPr>
          <w:rFonts w:asciiTheme="minorHAnsi" w:hAnsiTheme="minorHAnsi" w:cstheme="minorHAnsi"/>
          <w:sz w:val="20"/>
          <w:szCs w:val="20"/>
        </w:rPr>
      </w:pPr>
      <w:r w:rsidRPr="00EB2E7B">
        <w:rPr>
          <w:rFonts w:asciiTheme="minorHAnsi" w:hAnsiTheme="minorHAnsi" w:cstheme="minorHAnsi"/>
          <w:sz w:val="20"/>
          <w:szCs w:val="20"/>
        </w:rPr>
        <w:t>których jest właścicielem, przy czym w uzasadnionych sytuacjach zamiast właściciela może działać użytkownik systemu, który dysponuje innym niż własność tytułem prawnym do zasobu albo zasobów, lub</w:t>
      </w:r>
    </w:p>
    <w:p w14:paraId="22E4A3E0" w14:textId="77777777" w:rsidR="00CD7B36" w:rsidRPr="00EB2E7B" w:rsidRDefault="00CD7B36" w:rsidP="00CE3881">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 odniesieniu do których został umocowany przez ich właścicieli do korzystania i rozporządzania w zakresie niezbędnym do świadczenia usług bilansujących</w:t>
      </w:r>
    </w:p>
    <w:p w14:paraId="386F8F2F" w14:textId="77777777" w:rsidR="00CD7B36" w:rsidRPr="00EB2E7B" w:rsidRDefault="00CD7B36" w:rsidP="00CE1D38">
      <w:pPr>
        <w:ind w:left="1134"/>
        <w:rPr>
          <w:rFonts w:asciiTheme="minorHAnsi" w:hAnsiTheme="minorHAnsi" w:cstheme="minorHAnsi"/>
          <w:sz w:val="20"/>
          <w:szCs w:val="20"/>
        </w:rPr>
      </w:pPr>
      <w:r w:rsidRPr="00EB2E7B">
        <w:rPr>
          <w:rFonts w:asciiTheme="minorHAnsi" w:hAnsiTheme="minorHAnsi" w:cstheme="minorHAnsi"/>
          <w:sz w:val="20"/>
          <w:szCs w:val="20"/>
        </w:rPr>
        <w:t>świadczy usługi bilansujące oraz podlega rozliczeniom w zakresie energii bilansującej, mocy bilansujących oraz rezerwy operacyjnej, zgodnie z zasadami określonymi w WDB.</w:t>
      </w:r>
    </w:p>
    <w:p w14:paraId="2AD4CA81" w14:textId="646A098B"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Świadczenie przez DUB usług bilansujących na rzecz OSP, z wykorzystaniem zasobów URD przyłączonych do sieci dystrybucyjnej ACPRO lub zasobów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przyłączonych do sieci dystrybucyjnej OSDn odbywa się zgodnie z WDB oraz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406974D4" w14:textId="2BA8DEF3"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Warunkiem świadczenia tych usług jest zawarcie przez DUB z ACPRO umowy, o</w:t>
      </w:r>
      <w:r w:rsidR="00DC001E" w:rsidRPr="00EB2E7B">
        <w:rPr>
          <w:rFonts w:asciiTheme="minorHAnsi" w:hAnsiTheme="minorHAnsi" w:cstheme="minorHAnsi"/>
          <w:sz w:val="20"/>
          <w:szCs w:val="20"/>
        </w:rPr>
        <w:t> </w:t>
      </w:r>
      <w:r w:rsidRPr="00EB2E7B">
        <w:rPr>
          <w:rFonts w:asciiTheme="minorHAnsi" w:hAnsiTheme="minorHAnsi" w:cstheme="minorHAnsi"/>
          <w:sz w:val="20"/>
          <w:szCs w:val="20"/>
        </w:rPr>
        <w:t xml:space="preserve">której mowa w pkt </w:t>
      </w:r>
      <w:r w:rsidR="007424F5" w:rsidRPr="00EB2E7B">
        <w:rPr>
          <w:rFonts w:asciiTheme="minorHAnsi" w:hAnsiTheme="minorHAnsi" w:cstheme="minorHAnsi"/>
          <w:sz w:val="20"/>
          <w:szCs w:val="20"/>
        </w:rPr>
        <w:fldChar w:fldCharType="begin"/>
      </w:r>
      <w:r w:rsidR="007424F5" w:rsidRPr="00EB2E7B">
        <w:rPr>
          <w:rFonts w:asciiTheme="minorHAnsi" w:hAnsiTheme="minorHAnsi" w:cstheme="minorHAnsi"/>
          <w:sz w:val="20"/>
          <w:szCs w:val="20"/>
        </w:rPr>
        <w:instrText xml:space="preserve"> REF _Ref190114318 \w \h  \* MERGEFORMAT </w:instrText>
      </w:r>
      <w:r w:rsidR="007424F5" w:rsidRPr="00EB2E7B">
        <w:rPr>
          <w:rFonts w:asciiTheme="minorHAnsi" w:hAnsiTheme="minorHAnsi" w:cstheme="minorHAnsi"/>
          <w:sz w:val="20"/>
          <w:szCs w:val="20"/>
        </w:rPr>
      </w:r>
      <w:r w:rsidR="007424F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A.4.3.11</w:t>
      </w:r>
      <w:r w:rsidR="007424F5"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8B3CB2C" w14:textId="1B55028B"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DUB może świadczyć usługi bilansujące po utworzeniu JG oraz po ukończeniu procesu kwalifikacji wstępnej zgodnie z WDB. Proces kwalifikacji wstępnej prowadzi OSP na wniosek URD będącego właścicielem zasobu albo podmiotu umocowanego przez właściciela zasobu do korzystania i rozporządzania zasobem w</w:t>
      </w:r>
      <w:r w:rsidR="00286217" w:rsidRPr="00EB2E7B">
        <w:rPr>
          <w:rFonts w:asciiTheme="minorHAnsi" w:hAnsiTheme="minorHAnsi" w:cstheme="minorHAnsi"/>
          <w:sz w:val="20"/>
          <w:szCs w:val="20"/>
        </w:rPr>
        <w:t> </w:t>
      </w:r>
      <w:r w:rsidRPr="00EB2E7B">
        <w:rPr>
          <w:rFonts w:asciiTheme="minorHAnsi" w:hAnsiTheme="minorHAnsi" w:cstheme="minorHAnsi"/>
          <w:sz w:val="20"/>
          <w:szCs w:val="20"/>
        </w:rPr>
        <w:t>zakresie niezbędnym do świadczenia usług bilansujących z wykorzystaniem tego zasobu.</w:t>
      </w:r>
    </w:p>
    <w:p w14:paraId="14862EE1" w14:textId="6B51EE6E"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Dla potrzeb świadczenia usług bilansujących przyporządkowanie do JG zasobów URD przyłączonych do sieci dystrybucyjnej </w:t>
      </w:r>
      <w:proofErr w:type="spellStart"/>
      <w:r w:rsidRPr="00EB2E7B" w:rsidDel="00FA76E3">
        <w:rPr>
          <w:rFonts w:asciiTheme="minorHAnsi" w:hAnsiTheme="minorHAnsi" w:cstheme="minorHAnsi"/>
          <w:sz w:val="20"/>
          <w:szCs w:val="20"/>
        </w:rPr>
        <w:t>OSDp</w:t>
      </w:r>
      <w:proofErr w:type="spellEnd"/>
      <w:r w:rsidRPr="00EB2E7B" w:rsidDel="00FA76E3">
        <w:rPr>
          <w:rFonts w:asciiTheme="minorHAnsi" w:hAnsiTheme="minorHAnsi" w:cstheme="minorHAnsi"/>
          <w:sz w:val="20"/>
          <w:szCs w:val="20"/>
        </w:rPr>
        <w:t xml:space="preserve"> </w:t>
      </w:r>
      <w:r w:rsidRPr="00EB2E7B">
        <w:rPr>
          <w:rFonts w:asciiTheme="minorHAnsi" w:hAnsiTheme="minorHAnsi" w:cstheme="minorHAnsi"/>
          <w:sz w:val="20"/>
          <w:szCs w:val="20"/>
        </w:rPr>
        <w:t xml:space="preserve">lub zasobów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przyłączonych do sieci dystrybucyjnej OSDn jest realizowane:</w:t>
      </w:r>
    </w:p>
    <w:p w14:paraId="7AC123AF" w14:textId="77777777" w:rsidR="00CD7B36" w:rsidRPr="00EB2E7B" w:rsidRDefault="00CD7B36" w:rsidP="00C817EA">
      <w:pPr>
        <w:pStyle w:val="1przed"/>
        <w:numPr>
          <w:ilvl w:val="0"/>
          <w:numId w:val="256"/>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przypadku zasobu przyłączonego do podstawowego lub rozszerzonego obszaru RB – poprzez przyporządkowanie </w:t>
      </w:r>
      <w:r w:rsidRPr="00EB2E7B">
        <w:rPr>
          <w:rFonts w:asciiTheme="minorHAnsi" w:hAnsiTheme="minorHAnsi" w:cstheme="minorHAnsi"/>
          <w:sz w:val="20"/>
          <w:szCs w:val="20"/>
          <w:vertAlign w:val="subscript"/>
        </w:rPr>
        <w:t>FZ</w:t>
      </w:r>
      <w:r w:rsidRPr="00EB2E7B">
        <w:rPr>
          <w:rFonts w:asciiTheme="minorHAnsi" w:hAnsiTheme="minorHAnsi" w:cstheme="minorHAnsi"/>
          <w:sz w:val="20"/>
          <w:szCs w:val="20"/>
        </w:rPr>
        <w:t xml:space="preserve">MB reprezentujących dostawy energii elektrycznej tego </w:t>
      </w:r>
      <w:r w:rsidRPr="00EB2E7B">
        <w:rPr>
          <w:rFonts w:asciiTheme="minorHAnsi" w:hAnsiTheme="minorHAnsi" w:cstheme="minorHAnsi"/>
          <w:sz w:val="20"/>
          <w:szCs w:val="20"/>
        </w:rPr>
        <w:lastRenderedPageBreak/>
        <w:t>zasobu, do określonej JG, bez zmiany przyporządkowania tego zasobu do określonej JB na potrzeby bilansowania handlowego na RB,</w:t>
      </w:r>
    </w:p>
    <w:p w14:paraId="5E82E862" w14:textId="60775EFC" w:rsidR="00CD7B36" w:rsidRPr="00EB2E7B" w:rsidRDefault="00CD7B36" w:rsidP="00C817EA">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pozostałych przypadkach – poprzez wprowadzenie odpowiednich typów </w:t>
      </w:r>
      <w:r w:rsidRPr="00EB2E7B">
        <w:rPr>
          <w:rFonts w:asciiTheme="minorHAnsi" w:hAnsiTheme="minorHAnsi" w:cstheme="minorHAnsi"/>
          <w:sz w:val="20"/>
          <w:szCs w:val="20"/>
          <w:vertAlign w:val="subscript"/>
        </w:rPr>
        <w:t>AFD</w:t>
      </w:r>
      <w:r w:rsidRPr="00EB2E7B">
        <w:rPr>
          <w:rFonts w:asciiTheme="minorHAnsi" w:hAnsiTheme="minorHAnsi" w:cstheme="minorHAnsi"/>
          <w:sz w:val="20"/>
          <w:szCs w:val="20"/>
        </w:rPr>
        <w:t>MB, o których mowa w pkt.</w:t>
      </w:r>
      <w:r w:rsidR="00192496" w:rsidRPr="00EB2E7B">
        <w:rPr>
          <w:rFonts w:asciiTheme="minorHAnsi" w:hAnsiTheme="minorHAnsi" w:cstheme="minorHAnsi"/>
          <w:sz w:val="20"/>
          <w:szCs w:val="20"/>
        </w:rPr>
        <w:t xml:space="preserve"> </w:t>
      </w:r>
      <w:r w:rsidR="00192496" w:rsidRPr="00EB2E7B">
        <w:rPr>
          <w:rFonts w:asciiTheme="minorHAnsi" w:hAnsiTheme="minorHAnsi" w:cstheme="minorHAnsi"/>
          <w:sz w:val="20"/>
          <w:szCs w:val="20"/>
        </w:rPr>
        <w:fldChar w:fldCharType="begin"/>
      </w:r>
      <w:r w:rsidR="00192496" w:rsidRPr="00EB2E7B">
        <w:rPr>
          <w:rFonts w:asciiTheme="minorHAnsi" w:hAnsiTheme="minorHAnsi" w:cstheme="minorHAnsi"/>
          <w:sz w:val="20"/>
          <w:szCs w:val="20"/>
        </w:rPr>
        <w:instrText xml:space="preserve"> REF _Ref184543846 \r \h </w:instrText>
      </w:r>
      <w:r w:rsidR="001C2237" w:rsidRPr="00EB2E7B">
        <w:rPr>
          <w:rFonts w:asciiTheme="minorHAnsi" w:hAnsiTheme="minorHAnsi" w:cstheme="minorHAnsi"/>
          <w:sz w:val="20"/>
          <w:szCs w:val="20"/>
        </w:rPr>
        <w:instrText xml:space="preserve"> \* MERGEFORMAT </w:instrText>
      </w:r>
      <w:r w:rsidR="00192496" w:rsidRPr="00EB2E7B">
        <w:rPr>
          <w:rFonts w:asciiTheme="minorHAnsi" w:hAnsiTheme="minorHAnsi" w:cstheme="minorHAnsi"/>
          <w:sz w:val="20"/>
          <w:szCs w:val="20"/>
        </w:rPr>
      </w:r>
      <w:r w:rsidR="0019249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A.3.4</w:t>
      </w:r>
      <w:r w:rsidR="0019249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reprezentujących dostawy energii elektrycznej tego zasobu oraz ich przyporządkowanie do określonej JG, bez zmiany przyporządkowania tego zasobu do określonej JB na potrzeby bilansowania handlowego na RB,</w:t>
      </w:r>
    </w:p>
    <w:p w14:paraId="5F19E286"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przy czym każde PPE lub zbiór PPE definiujący pojedynczy zasób może być przyporządkowany tylko do jednej JG.</w:t>
      </w:r>
    </w:p>
    <w:p w14:paraId="7F14103C" w14:textId="77777777"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ACPRO:</w:t>
      </w:r>
    </w:p>
    <w:p w14:paraId="3969091D" w14:textId="77777777" w:rsidR="00CD7B36" w:rsidRPr="00EB2E7B" w:rsidRDefault="00CD7B36" w:rsidP="00853A7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współpracuje z OSP i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procesie kwalifikacji wstępnej prowadzonym dla zasobów przyłączonych do sieci dystrybucyjnej ACPRO,</w:t>
      </w:r>
    </w:p>
    <w:p w14:paraId="0D8F72F5" w14:textId="77777777" w:rsidR="00CD7B36" w:rsidRPr="00EB2E7B" w:rsidRDefault="00CD7B36" w:rsidP="00853A78">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zapewnia właściwe przyporządkowanie do JB i JG zasobów przyłączonych do sieci dystrybucyjnej ACPRO, w szczególności w zakresie danych pomiarowych.</w:t>
      </w:r>
    </w:p>
    <w:p w14:paraId="5339D72D" w14:textId="77777777" w:rsidR="00CD7B36" w:rsidRPr="00EB2E7B" w:rsidRDefault="00CD7B36" w:rsidP="004854C6">
      <w:pPr>
        <w:pStyle w:val="ANagwek3Grubyy"/>
        <w:rPr>
          <w:rFonts w:asciiTheme="minorHAnsi" w:hAnsiTheme="minorHAnsi" w:cstheme="minorHAnsi"/>
          <w:sz w:val="20"/>
          <w:szCs w:val="20"/>
        </w:rPr>
      </w:pPr>
      <w:r w:rsidRPr="00EB2E7B">
        <w:rPr>
          <w:rFonts w:asciiTheme="minorHAnsi" w:hAnsiTheme="minorHAnsi" w:cstheme="minorHAnsi"/>
          <w:sz w:val="20"/>
          <w:szCs w:val="20"/>
        </w:rPr>
        <w:t>Zasady kwalifikacji do świadczenia usług bilansujących</w:t>
      </w:r>
    </w:p>
    <w:p w14:paraId="6D00BFB3" w14:textId="77777777"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Proces kwalifikacji do świadczenia usług bilansujących prowadzony jest przez OSP w trybie określonym w WDB.</w:t>
      </w:r>
    </w:p>
    <w:p w14:paraId="50C71483"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ACPRO uczestniczy w procesie kwalifikacji w zakresie zasobów URD przyłączonych do sieci dystrybucyjnej ACPRO lub zasobów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przyłączonych do sieci dystrybucyjnej OSDn.</w:t>
      </w:r>
    </w:p>
    <w:p w14:paraId="006AC162" w14:textId="75FE1F62"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Dokumenty i informacje przekazywane pomiędzy podmiotami uczestniczącymi w</w:t>
      </w:r>
      <w:r w:rsidR="00DC001E" w:rsidRPr="00EB2E7B">
        <w:rPr>
          <w:rFonts w:asciiTheme="minorHAnsi" w:hAnsiTheme="minorHAnsi" w:cstheme="minorHAnsi"/>
          <w:sz w:val="20"/>
          <w:szCs w:val="20"/>
        </w:rPr>
        <w:t> </w:t>
      </w:r>
      <w:r w:rsidRPr="00EB2E7B">
        <w:rPr>
          <w:rFonts w:asciiTheme="minorHAnsi" w:hAnsiTheme="minorHAnsi" w:cstheme="minorHAnsi"/>
          <w:sz w:val="20"/>
          <w:szCs w:val="20"/>
        </w:rPr>
        <w:t>procesie kwalifikacji, w tym pomiędzy ACPRO a OSDn, powinny być przekazywane w formie elektronicznej opatrzonej kwalifikowanym podpisem elektronicznym.</w:t>
      </w:r>
    </w:p>
    <w:p w14:paraId="1A896D46" w14:textId="77777777" w:rsidR="00CD7B36" w:rsidRPr="00EB2E7B" w:rsidRDefault="00CD7B36" w:rsidP="009A432E">
      <w:pPr>
        <w:pStyle w:val="ANagwek4"/>
        <w:rPr>
          <w:rFonts w:asciiTheme="minorHAnsi" w:hAnsiTheme="minorHAnsi" w:cstheme="minorHAnsi"/>
          <w:sz w:val="20"/>
          <w:szCs w:val="20"/>
        </w:rPr>
      </w:pPr>
      <w:bookmarkStart w:id="508" w:name="_Ref173228595"/>
      <w:r w:rsidRPr="00EB2E7B">
        <w:rPr>
          <w:rFonts w:asciiTheme="minorHAnsi" w:hAnsiTheme="minorHAnsi" w:cstheme="minorHAnsi"/>
          <w:sz w:val="20"/>
          <w:szCs w:val="20"/>
        </w:rPr>
        <w:t>OSP po otrzymaniu wniosku dotyczącego przystąpienia do kwalifikacji usług bilansujących w terminach określonych w WDB, dokonuje weryfikacji możliwości świadczenia usług bilansujących poprzez zasób lub grupę zasobów w zakresie wynikającym z Załącznika nr 2 do WDB.</w:t>
      </w:r>
      <w:bookmarkEnd w:id="508"/>
    </w:p>
    <w:p w14:paraId="2531D167" w14:textId="01A62ABA" w:rsidR="00CD7B36" w:rsidRPr="00EB2E7B" w:rsidRDefault="00CD7B36" w:rsidP="009A432E">
      <w:pPr>
        <w:pStyle w:val="ANagwek4"/>
        <w:rPr>
          <w:rFonts w:asciiTheme="minorHAnsi" w:hAnsiTheme="minorHAnsi" w:cstheme="minorHAnsi"/>
          <w:sz w:val="20"/>
          <w:szCs w:val="20"/>
        </w:rPr>
      </w:pPr>
      <w:bookmarkStart w:id="509" w:name="_Ref173228604"/>
      <w:r w:rsidRPr="00EB2E7B">
        <w:rPr>
          <w:rFonts w:asciiTheme="minorHAnsi" w:hAnsiTheme="minorHAnsi" w:cstheme="minorHAnsi"/>
          <w:sz w:val="20"/>
          <w:szCs w:val="20"/>
        </w:rPr>
        <w:t xml:space="preserve">W przypadku zasobu lub grupy zasobów przyłączonych do sieci dystrybucyjnej ACPRO lub do sieci dystrybucyjnej OSDn połączonej z siecią dystrybucyjną ACPRO, OSP w ramach weryfikacji, o której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_Ref173228595 \r \h </w:instrText>
      </w:r>
      <w:r w:rsidR="007526F0"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A.10.2.2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przesyła wniosek dotyczący przystąpienia do kwalifikacji usług bilansujących do ACPRO, w celu weryfikacji możliwości świadczenia usług bilansujących poprzez dany zasób lub grupę zasobów.</w:t>
      </w:r>
      <w:bookmarkEnd w:id="509"/>
    </w:p>
    <w:p w14:paraId="033B1987" w14:textId="49E6A3C3"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ACPRO, we współpracy z OSDn, w terminie 4 tygodni od otrzymania od OSP wniosku,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_Ref173228604 \r \h </w:instrText>
      </w:r>
      <w:r w:rsidR="00293B82"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A.10.2.3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dokonuje weryfikacji możliwości świadczenia usług bilansujących poprzez zasób lub grupę zasobów w zakresie:</w:t>
      </w:r>
    </w:p>
    <w:p w14:paraId="0D4EF540" w14:textId="77777777" w:rsidR="00CD7B36" w:rsidRPr="00EB2E7B" w:rsidRDefault="00CD7B36" w:rsidP="00C61E03">
      <w:pPr>
        <w:pStyle w:val="1przed"/>
        <w:numPr>
          <w:ilvl w:val="0"/>
          <w:numId w:val="258"/>
        </w:numPr>
        <w:ind w:left="1701" w:hanging="567"/>
        <w:rPr>
          <w:rFonts w:asciiTheme="minorHAnsi" w:hAnsiTheme="minorHAnsi" w:cstheme="minorHAnsi"/>
          <w:sz w:val="20"/>
          <w:szCs w:val="20"/>
        </w:rPr>
      </w:pPr>
      <w:r w:rsidRPr="00EB2E7B">
        <w:rPr>
          <w:rFonts w:asciiTheme="minorHAnsi" w:hAnsiTheme="minorHAnsi" w:cstheme="minorHAnsi"/>
          <w:sz w:val="20"/>
          <w:szCs w:val="20"/>
        </w:rPr>
        <w:t>wielkości mocy wskazanych usług bilansujących, z prawem do ograniczenia wielkości mocy tych usług lub wyłączenia możliwości ich świadczenia przez zasoby przyłączone do sieci dystrybucyjnej ze względów technicznych, uwzględniając położenie geograficzne zasobów,</w:t>
      </w:r>
    </w:p>
    <w:p w14:paraId="29233FA1" w14:textId="77777777" w:rsidR="00CD7B36" w:rsidRPr="00EB2E7B" w:rsidRDefault="00CD7B36" w:rsidP="00C61E0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wskazanych koncesji lub wpisów do rejestru, jeżeli działalność gospodarcza dotycząca zasobu wskazanego we wniosku wymaga, zgodnie z Ustawą, koncesji albo wpisu do rejestru,</w:t>
      </w:r>
    </w:p>
    <w:p w14:paraId="484CCC1F" w14:textId="77777777" w:rsidR="00CD7B36" w:rsidRPr="00EB2E7B" w:rsidRDefault="00CD7B36" w:rsidP="00C61E0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zapewnienia zgodności układów pomiarowo-rozliczeniowych z wymaganiami technicznymi określonymi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w szczególności z uwzględnieniem, że układ ten:</w:t>
      </w:r>
    </w:p>
    <w:p w14:paraId="453FA2E5" w14:textId="77777777" w:rsidR="00CD7B36" w:rsidRPr="00EB2E7B" w:rsidRDefault="00CD7B36" w:rsidP="00757B6D">
      <w:pPr>
        <w:pStyle w:val="apo"/>
        <w:numPr>
          <w:ilvl w:val="0"/>
          <w:numId w:val="259"/>
        </w:numPr>
        <w:ind w:left="2268" w:hanging="567"/>
        <w:rPr>
          <w:rFonts w:asciiTheme="minorHAnsi" w:hAnsiTheme="minorHAnsi" w:cstheme="minorHAnsi"/>
          <w:sz w:val="20"/>
          <w:szCs w:val="20"/>
        </w:rPr>
      </w:pPr>
      <w:r w:rsidRPr="00EB2E7B">
        <w:rPr>
          <w:rFonts w:asciiTheme="minorHAnsi" w:hAnsiTheme="minorHAnsi" w:cstheme="minorHAnsi"/>
          <w:sz w:val="20"/>
          <w:szCs w:val="20"/>
        </w:rPr>
        <w:t>jest wyposażony w LZO, rejestrujący dane pomiarowe w okresach zgodnych z OREB,</w:t>
      </w:r>
    </w:p>
    <w:p w14:paraId="3558F8AB" w14:textId="77777777" w:rsidR="00CD7B36" w:rsidRPr="00EB2E7B" w:rsidRDefault="00CD7B36" w:rsidP="00757B6D">
      <w:pPr>
        <w:pStyle w:val="apo"/>
        <w:numPr>
          <w:ilvl w:val="0"/>
          <w:numId w:val="259"/>
        </w:numPr>
        <w:ind w:left="2268" w:hanging="567"/>
        <w:rPr>
          <w:rFonts w:asciiTheme="minorHAnsi" w:hAnsiTheme="minorHAnsi" w:cstheme="minorHAnsi"/>
          <w:sz w:val="20"/>
          <w:szCs w:val="20"/>
        </w:rPr>
      </w:pPr>
      <w:r w:rsidRPr="00EB2E7B">
        <w:rPr>
          <w:rFonts w:asciiTheme="minorHAnsi" w:hAnsiTheme="minorHAnsi" w:cstheme="minorHAnsi"/>
          <w:sz w:val="20"/>
          <w:szCs w:val="20"/>
        </w:rPr>
        <w:t>umożliwia pozyskanie danych pomiarowych w trybie dobowym do systemu zdalnego odczytu ACPRO, do którego sieci zasób jest przyłączony,</w:t>
      </w:r>
    </w:p>
    <w:p w14:paraId="31488AEB" w14:textId="77777777" w:rsidR="00CD7B36" w:rsidRPr="00EB2E7B" w:rsidRDefault="00CD7B36" w:rsidP="00C61E0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weryfikacji zgodności wskazanego we wniosku kodu zasobu z kodem nadanym w procesie zgłaszania danych rejestracyjnych zasobu w bazie danych OSP; w przypadku gdy nie dokonano zgłoszenia zasobu do bazy danych OSP, ACPRO, do którego sieci zasób jest przyłączony, ma obowiązek rozpocząć proces rejestracji tego zasobu,</w:t>
      </w:r>
    </w:p>
    <w:p w14:paraId="47062832" w14:textId="77777777" w:rsidR="00CD7B36" w:rsidRPr="00EB2E7B" w:rsidRDefault="00CD7B36" w:rsidP="00C61E03">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weryfikacji proponowanego składu JG w odniesieniu do miejsca przyłączenia poszczególnych zasobów mających tworzyć JG w zakresie spełnienia kryteriów bezpieczeństwa pracy sieci.</w:t>
      </w:r>
    </w:p>
    <w:p w14:paraId="5240E34D" w14:textId="77777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OSDn dokonuje weryfikacji możliwości świadczenia usług bilansujących poprzez zasób lub grupę zasobów w zakresie wskazanym powyżej, w odniesieniu do zasobu lub grupy zasobów przyłączonych do sieci dystrybucyjnej OSDn.</w:t>
      </w:r>
    </w:p>
    <w:p w14:paraId="1E5CD259" w14:textId="205A9777"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ACPRO może wystąpić z wnioskiem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wydłużenie czasu weryfikacji wniosku,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_Ref173228604 \r \h </w:instrText>
      </w:r>
      <w:r w:rsidR="00293B82"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A.10.2.3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69FE5DD9" w14:textId="3C1264B0"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ACPRO przekazuje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oraz </w:t>
      </w:r>
      <w:r w:rsidR="00911026" w:rsidRPr="00EB2E7B">
        <w:rPr>
          <w:rFonts w:asciiTheme="minorHAnsi" w:hAnsiTheme="minorHAnsi" w:cstheme="minorHAnsi"/>
          <w:sz w:val="20"/>
          <w:szCs w:val="20"/>
        </w:rPr>
        <w:t>właściwego</w:t>
      </w:r>
      <w:r w:rsidR="00E108B0" w:rsidRPr="00EB2E7B">
        <w:rPr>
          <w:rFonts w:asciiTheme="minorHAnsi" w:hAnsiTheme="minorHAnsi" w:cstheme="minorHAnsi"/>
          <w:sz w:val="20"/>
          <w:szCs w:val="20"/>
        </w:rPr>
        <w:t xml:space="preserve"> </w:t>
      </w:r>
      <w:r w:rsidRPr="00EB2E7B">
        <w:rPr>
          <w:rFonts w:asciiTheme="minorHAnsi" w:hAnsiTheme="minorHAnsi" w:cstheme="minorHAnsi"/>
          <w:sz w:val="20"/>
          <w:szCs w:val="20"/>
        </w:rPr>
        <w:t>OSDn wynik weryfikacji.</w:t>
      </w:r>
    </w:p>
    <w:p w14:paraId="5E632C8A" w14:textId="6DCDB9D2" w:rsidR="00CD7B36" w:rsidRPr="00EB2E7B" w:rsidRDefault="00CD7B36" w:rsidP="00CE1D38">
      <w:pPr>
        <w:ind w:left="1134" w:firstLine="0"/>
        <w:rPr>
          <w:rFonts w:asciiTheme="minorHAnsi" w:hAnsiTheme="minorHAnsi" w:cstheme="minorHAnsi"/>
          <w:sz w:val="20"/>
          <w:szCs w:val="20"/>
        </w:rPr>
      </w:pPr>
      <w:r w:rsidRPr="00EB2E7B">
        <w:rPr>
          <w:rFonts w:asciiTheme="minorHAnsi" w:hAnsiTheme="minorHAnsi" w:cstheme="minorHAnsi"/>
          <w:sz w:val="20"/>
          <w:szCs w:val="20"/>
        </w:rPr>
        <w:t>W wyniku weryfikacji ACPRO</w:t>
      </w:r>
      <w:r w:rsidR="00301F1C" w:rsidRPr="00EB2E7B">
        <w:rPr>
          <w:rFonts w:asciiTheme="minorHAnsi" w:hAnsiTheme="minorHAnsi" w:cstheme="minorHAnsi"/>
          <w:sz w:val="20"/>
          <w:szCs w:val="20"/>
        </w:rPr>
        <w:t xml:space="preserve"> </w:t>
      </w:r>
      <w:r w:rsidRPr="00EB2E7B">
        <w:rPr>
          <w:rFonts w:asciiTheme="minorHAnsi" w:hAnsiTheme="minorHAnsi" w:cstheme="minorHAnsi"/>
          <w:sz w:val="20"/>
          <w:szCs w:val="20"/>
        </w:rPr>
        <w:t>wskazuje, uwzględniając postanowienia art. 182 ust. 4 SO GL, wielkości mocy, które mogą być kwalifikowane do świadczenia usług bilansujących ze względu na bezpieczeństwo pracy sieci dystrybucyjnej, oraz wskazuje kody węzłów odwzorowania zasobu lub grupy zasobów w poszczególnych węzłach sieci dystrybucyjnej. Wielkości mocy przekazane przez ACPRO, o których mowa w zdaniu poprzednim, mogą być niższe od wnioskowanych wielkości mocy kwalifikowanych lub możliwość świadczenia danej usługi bilansującej może zostać wyłączona. W takich przypadkach ACPRO przekazuje analizę uzasadniającą wynik weryfikacji.</w:t>
      </w:r>
    </w:p>
    <w:p w14:paraId="1DB09AC1" w14:textId="7094B6B5"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Po zakończeniu przez OSP weryfikacji wniosku,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_Ref173228604 \r \h </w:instrText>
      </w:r>
      <w:r w:rsidR="00293B82"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A.10.2.3</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OSP przesyła</w:t>
      </w:r>
      <w:r w:rsidR="002B51FD" w:rsidRPr="00EB2E7B">
        <w:rPr>
          <w:rFonts w:asciiTheme="minorHAnsi" w:hAnsiTheme="minorHAnsi" w:cstheme="minorHAnsi"/>
          <w:sz w:val="20"/>
          <w:szCs w:val="20"/>
        </w:rPr>
        <w:t xml:space="preserve"> </w:t>
      </w:r>
      <w:r w:rsidRPr="00EB2E7B">
        <w:rPr>
          <w:rFonts w:asciiTheme="minorHAnsi" w:hAnsiTheme="minorHAnsi" w:cstheme="minorHAnsi"/>
          <w:sz w:val="20"/>
          <w:szCs w:val="20"/>
        </w:rPr>
        <w:t>ACPRO dokumenty, o których mowa w Załączniku nr 2 do WDB.</w:t>
      </w:r>
    </w:p>
    <w:p w14:paraId="3E3FBF24" w14:textId="6BE670CE"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OSP realizuje proces kwalifikacji do świadczenia usług bilansujących zgodnie z</w:t>
      </w:r>
      <w:r w:rsidR="00C25AC2" w:rsidRPr="00EB2E7B">
        <w:rPr>
          <w:rFonts w:asciiTheme="minorHAnsi" w:hAnsiTheme="minorHAnsi" w:cstheme="minorHAnsi"/>
          <w:sz w:val="20"/>
          <w:szCs w:val="20"/>
        </w:rPr>
        <w:t> </w:t>
      </w:r>
      <w:r w:rsidRPr="00EB2E7B">
        <w:rPr>
          <w:rFonts w:asciiTheme="minorHAnsi" w:hAnsiTheme="minorHAnsi" w:cstheme="minorHAnsi"/>
          <w:sz w:val="20"/>
          <w:szCs w:val="20"/>
        </w:rPr>
        <w:t>WDB. W ramach realizacji procesu OSP przesyła ACPRO dokumenty, o których mowa w Załączniku nr 2 do WDB.</w:t>
      </w:r>
    </w:p>
    <w:p w14:paraId="2E94951B" w14:textId="77777777" w:rsidR="00CD7B36" w:rsidRPr="00EB2E7B" w:rsidRDefault="00CD7B36" w:rsidP="004854C6">
      <w:pPr>
        <w:pStyle w:val="ANagwek3Grubyy"/>
        <w:rPr>
          <w:rFonts w:asciiTheme="minorHAnsi" w:hAnsiTheme="minorHAnsi" w:cstheme="minorHAnsi"/>
          <w:sz w:val="20"/>
          <w:szCs w:val="20"/>
        </w:rPr>
      </w:pPr>
      <w:bookmarkStart w:id="510" w:name="_Ref173227222"/>
      <w:r w:rsidRPr="00EB2E7B">
        <w:rPr>
          <w:rFonts w:asciiTheme="minorHAnsi" w:hAnsiTheme="minorHAnsi" w:cstheme="minorHAnsi"/>
          <w:sz w:val="20"/>
          <w:szCs w:val="20"/>
        </w:rPr>
        <w:t>Zasady przekazywania danych pomiarowych dla potrzeb usług bilansujących</w:t>
      </w:r>
      <w:bookmarkEnd w:id="510"/>
    </w:p>
    <w:p w14:paraId="1528FC29" w14:textId="624F8210"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Przekazywanie OSP danych pomiarowych dla zasobów URD lub grupy zasobów URD realizowane jest na zasadach określonych w niniejszym punkcie, z</w:t>
      </w:r>
      <w:r w:rsidR="00C25AC2" w:rsidRPr="00EB2E7B">
        <w:rPr>
          <w:rFonts w:asciiTheme="minorHAnsi" w:hAnsiTheme="minorHAnsi" w:cstheme="minorHAnsi"/>
          <w:sz w:val="20"/>
          <w:szCs w:val="20"/>
        </w:rPr>
        <w:t> </w:t>
      </w:r>
      <w:r w:rsidRPr="00EB2E7B">
        <w:rPr>
          <w:rFonts w:asciiTheme="minorHAnsi" w:hAnsiTheme="minorHAnsi" w:cstheme="minorHAnsi"/>
          <w:sz w:val="20"/>
          <w:szCs w:val="20"/>
        </w:rPr>
        <w:t xml:space="preserve">uwzględnieniem zapisów rozdziału </w:t>
      </w:r>
      <w:r w:rsidR="008425CC" w:rsidRPr="00EB2E7B">
        <w:rPr>
          <w:rFonts w:asciiTheme="minorHAnsi" w:hAnsiTheme="minorHAnsi" w:cstheme="minorHAnsi"/>
          <w:sz w:val="20"/>
          <w:szCs w:val="20"/>
        </w:rPr>
        <w:fldChar w:fldCharType="begin"/>
      </w:r>
      <w:r w:rsidR="008425CC" w:rsidRPr="00EB2E7B">
        <w:rPr>
          <w:rFonts w:asciiTheme="minorHAnsi" w:hAnsiTheme="minorHAnsi" w:cstheme="minorHAnsi"/>
          <w:sz w:val="20"/>
          <w:szCs w:val="20"/>
        </w:rPr>
        <w:instrText xml:space="preserve"> REF _Ref190170102 \w \h  \* MERGEFORMAT </w:instrText>
      </w:r>
      <w:r w:rsidR="008425CC" w:rsidRPr="00EB2E7B">
        <w:rPr>
          <w:rFonts w:asciiTheme="minorHAnsi" w:hAnsiTheme="minorHAnsi" w:cstheme="minorHAnsi"/>
          <w:sz w:val="20"/>
          <w:szCs w:val="20"/>
        </w:rPr>
      </w:r>
      <w:r w:rsidR="008425C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w:t>
      </w:r>
      <w:r w:rsidR="008425CC"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605E7215" w14:textId="76D0956E"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ACPRO przekazuje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dane pomiarowe dla przedziałów czasowych zgodnych z OREB, poprzez system WIRE na zasadach i w terminach określonych w WDB oraz w umowie przesyłowej. Dane te są przekazywane w</w:t>
      </w:r>
      <w:r w:rsidR="00CD2684" w:rsidRPr="00EB2E7B">
        <w:rPr>
          <w:rFonts w:asciiTheme="minorHAnsi" w:hAnsiTheme="minorHAnsi" w:cstheme="minorHAnsi"/>
          <w:sz w:val="20"/>
          <w:szCs w:val="20"/>
        </w:rPr>
        <w:t> </w:t>
      </w:r>
      <w:r w:rsidRPr="00EB2E7B">
        <w:rPr>
          <w:rFonts w:asciiTheme="minorHAnsi" w:hAnsiTheme="minorHAnsi" w:cstheme="minorHAnsi"/>
          <w:sz w:val="20"/>
          <w:szCs w:val="20"/>
        </w:rPr>
        <w:t>odniesieniu do zasobów URD uczestniczących w świadczeniu usług bilansujących.</w:t>
      </w:r>
    </w:p>
    <w:p w14:paraId="224B6A85" w14:textId="77777777"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 xml:space="preserve">Dopuszcza się możliwość korygowania przekazanych przez ACPRO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danych pomiarowych zgodnie z WDB.</w:t>
      </w:r>
    </w:p>
    <w:p w14:paraId="42423075" w14:textId="77777777"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lastRenderedPageBreak/>
        <w:t xml:space="preserve">Dane pomiarowe dotyczące zasobów URD przyłączonych do sieci dystrybucyjnej ACPRO lub zasobów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przyłączonych do sieci dystrybucyjnej OSDn są udostępniane DUB wyłącznie przez OSP.</w:t>
      </w:r>
    </w:p>
    <w:p w14:paraId="0049BE91" w14:textId="16DAD18A" w:rsidR="00CD7B36" w:rsidRPr="00EB2E7B" w:rsidRDefault="00CD7B36" w:rsidP="009A432E">
      <w:pPr>
        <w:pStyle w:val="ANagwek4"/>
        <w:rPr>
          <w:rFonts w:asciiTheme="minorHAnsi" w:hAnsiTheme="minorHAnsi" w:cstheme="minorHAnsi"/>
          <w:sz w:val="20"/>
          <w:szCs w:val="20"/>
        </w:rPr>
      </w:pPr>
      <w:r w:rsidRPr="00EB2E7B">
        <w:rPr>
          <w:rFonts w:asciiTheme="minorHAnsi" w:hAnsiTheme="minorHAnsi" w:cstheme="minorHAnsi"/>
          <w:sz w:val="20"/>
          <w:szCs w:val="20"/>
        </w:rPr>
        <w:t>OSDn, którego sieć jest połączona z siecią ACPRO, zobowiązany jest do przekazywania ACPRO danych pomiarowych, zgodnie z OREB, dotyczących zasobów przyłączonych do jego sieci tworzących JG, w zakresie i w terminach określonych w umowie, o której mowa w pkt.</w:t>
      </w:r>
      <w:r w:rsidR="00B7635A" w:rsidRPr="00EB2E7B">
        <w:rPr>
          <w:rFonts w:asciiTheme="minorHAnsi" w:hAnsiTheme="minorHAnsi" w:cstheme="minorHAnsi"/>
          <w:sz w:val="20"/>
          <w:szCs w:val="20"/>
        </w:rPr>
        <w:t xml:space="preserve"> </w:t>
      </w:r>
      <w:r w:rsidR="00743A5D" w:rsidRPr="00EB2E7B">
        <w:rPr>
          <w:rFonts w:asciiTheme="minorHAnsi" w:hAnsiTheme="minorHAnsi" w:cstheme="minorHAnsi"/>
          <w:sz w:val="20"/>
          <w:szCs w:val="20"/>
        </w:rPr>
        <w:fldChar w:fldCharType="begin"/>
      </w:r>
      <w:r w:rsidR="00743A5D" w:rsidRPr="00EB2E7B">
        <w:rPr>
          <w:rFonts w:asciiTheme="minorHAnsi" w:hAnsiTheme="minorHAnsi" w:cstheme="minorHAnsi"/>
          <w:sz w:val="20"/>
          <w:szCs w:val="20"/>
        </w:rPr>
        <w:instrText xml:space="preserve"> REF _Ref184493574 \r \h </w:instrText>
      </w:r>
      <w:r w:rsidR="00B271E6" w:rsidRPr="00EB2E7B">
        <w:rPr>
          <w:rFonts w:asciiTheme="minorHAnsi" w:hAnsiTheme="minorHAnsi" w:cstheme="minorHAnsi"/>
          <w:sz w:val="20"/>
          <w:szCs w:val="20"/>
        </w:rPr>
        <w:instrText xml:space="preserve"> \* MERGEFORMAT </w:instrText>
      </w:r>
      <w:r w:rsidR="00743A5D" w:rsidRPr="00EB2E7B">
        <w:rPr>
          <w:rFonts w:asciiTheme="minorHAnsi" w:hAnsiTheme="minorHAnsi" w:cstheme="minorHAnsi"/>
          <w:sz w:val="20"/>
          <w:szCs w:val="20"/>
        </w:rPr>
      </w:r>
      <w:r w:rsidR="00743A5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A.4.3.7</w:t>
      </w:r>
      <w:r w:rsidR="00743A5D" w:rsidRPr="00EB2E7B">
        <w:rPr>
          <w:rFonts w:asciiTheme="minorHAnsi" w:hAnsiTheme="minorHAnsi" w:cstheme="minorHAnsi"/>
          <w:sz w:val="20"/>
          <w:szCs w:val="20"/>
        </w:rPr>
        <w:fldChar w:fldCharType="end"/>
      </w:r>
    </w:p>
    <w:p w14:paraId="28206DC9" w14:textId="33806541" w:rsidR="00CD7B36" w:rsidRPr="00EB2E7B" w:rsidRDefault="00CD7B36" w:rsidP="005C4E79">
      <w:pPr>
        <w:ind w:left="1134" w:firstLine="0"/>
        <w:rPr>
          <w:rFonts w:asciiTheme="minorHAnsi" w:hAnsiTheme="minorHAnsi" w:cstheme="minorHAnsi"/>
          <w:sz w:val="20"/>
          <w:szCs w:val="20"/>
        </w:rPr>
      </w:pPr>
      <w:r w:rsidRPr="00EB2E7B">
        <w:rPr>
          <w:rFonts w:asciiTheme="minorHAnsi" w:hAnsiTheme="minorHAnsi" w:cstheme="minorHAnsi"/>
          <w:sz w:val="20"/>
          <w:szCs w:val="20"/>
        </w:rPr>
        <w:t>OSDn przekazuje ACPRO dane pomiarowe, dla przedziałów czasowych zgodnych z</w:t>
      </w:r>
      <w:r w:rsidR="008B2F31" w:rsidRPr="00EB2E7B">
        <w:rPr>
          <w:rFonts w:asciiTheme="minorHAnsi" w:hAnsiTheme="minorHAnsi" w:cstheme="minorHAnsi"/>
          <w:sz w:val="20"/>
          <w:szCs w:val="20"/>
        </w:rPr>
        <w:t> </w:t>
      </w:r>
      <w:r w:rsidRPr="00EB2E7B">
        <w:rPr>
          <w:rFonts w:asciiTheme="minorHAnsi" w:hAnsiTheme="minorHAnsi" w:cstheme="minorHAnsi"/>
          <w:sz w:val="20"/>
          <w:szCs w:val="20"/>
        </w:rPr>
        <w:t>OREB, na wskazany przez ACPRO dedykowany serwer. Dane te są przekazywane wraz ze statusami (0 - dana poprawna, 1 - dana niepoprawna) z dokładnością do 0,001 MWh.</w:t>
      </w:r>
    </w:p>
    <w:p w14:paraId="67D67B73" w14:textId="57276F75" w:rsidR="00CD7B36" w:rsidRPr="00EB2E7B" w:rsidRDefault="00CD7B36" w:rsidP="005C4E79">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Wymiana informacji i komunikatów dotyczących powyższych danych pomiarowych odbywa się wyłącznie w formie elektronicznej na adresy poczty elektronicznej lub serwery określone w umowie, o której mowa w pkt. </w:t>
      </w:r>
      <w:r w:rsidR="00550A68" w:rsidRPr="00EB2E7B">
        <w:rPr>
          <w:rFonts w:asciiTheme="minorHAnsi" w:hAnsiTheme="minorHAnsi" w:cstheme="minorHAnsi"/>
          <w:sz w:val="20"/>
          <w:szCs w:val="20"/>
        </w:rPr>
        <w:fldChar w:fldCharType="begin"/>
      </w:r>
      <w:r w:rsidR="00550A68" w:rsidRPr="00EB2E7B">
        <w:rPr>
          <w:rFonts w:asciiTheme="minorHAnsi" w:hAnsiTheme="minorHAnsi" w:cstheme="minorHAnsi"/>
          <w:sz w:val="20"/>
          <w:szCs w:val="20"/>
        </w:rPr>
        <w:instrText xml:space="preserve"> REF _Ref184493574 \r \h </w:instrText>
      </w:r>
      <w:r w:rsidR="00345EC7" w:rsidRPr="00EB2E7B">
        <w:rPr>
          <w:rFonts w:asciiTheme="minorHAnsi" w:hAnsiTheme="minorHAnsi" w:cstheme="minorHAnsi"/>
          <w:sz w:val="20"/>
          <w:szCs w:val="20"/>
        </w:rPr>
        <w:instrText xml:space="preserve"> \* MERGEFORMAT </w:instrText>
      </w:r>
      <w:r w:rsidR="00550A68" w:rsidRPr="00EB2E7B">
        <w:rPr>
          <w:rFonts w:asciiTheme="minorHAnsi" w:hAnsiTheme="minorHAnsi" w:cstheme="minorHAnsi"/>
          <w:sz w:val="20"/>
          <w:szCs w:val="20"/>
        </w:rPr>
      </w:r>
      <w:r w:rsidR="00550A6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A.4.3.7</w:t>
      </w:r>
      <w:r w:rsidR="00550A68" w:rsidRPr="00EB2E7B">
        <w:rPr>
          <w:rFonts w:asciiTheme="minorHAnsi" w:hAnsiTheme="minorHAnsi" w:cstheme="minorHAnsi"/>
          <w:sz w:val="20"/>
          <w:szCs w:val="20"/>
        </w:rPr>
        <w:fldChar w:fldCharType="end"/>
      </w:r>
    </w:p>
    <w:p w14:paraId="6B76C3D1" w14:textId="77777777" w:rsidR="009B3C6D" w:rsidRDefault="001F7378">
      <w:pPr>
        <w:pStyle w:val="ANagwek2"/>
        <w:rPr>
          <w:rFonts w:asciiTheme="minorHAnsi" w:hAnsiTheme="minorHAnsi" w:cstheme="minorHAnsi"/>
          <w:sz w:val="20"/>
          <w:szCs w:val="20"/>
        </w:rPr>
      </w:pPr>
      <w:bookmarkStart w:id="511" w:name="_Toc239333378"/>
      <w:r>
        <w:rPr>
          <w:rFonts w:asciiTheme="minorHAnsi" w:hAnsiTheme="minorHAnsi" w:cstheme="minorHAnsi"/>
          <w:sz w:val="20"/>
          <w:szCs w:val="20"/>
        </w:rPr>
        <w:t>UWARUNKOWANIA ŚWIADCZENIA USŁUG BILANSUJĄCYCH</w:t>
      </w:r>
      <w:bookmarkEnd w:id="511"/>
    </w:p>
    <w:p w14:paraId="46430CA8"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ACPRO ma pierwszeństwo w korzystaniu z zasobów URD przyłączonych do sieci dystrybucyjnej ACPRO w stosunku do korzystania przez OSP z tych zasobów, w tym w ramach usług bilansujących. Zasada ta ma również zastosowanie do stosowanego przez ACPRO mechanizmu o charakterze interwencyjnym, o którym mowa w pkt IV.6.</w:t>
      </w:r>
    </w:p>
    <w:p w14:paraId="154959E2"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Powyższe w szczególności oznacza, że jeżeli ACPRO zamierza korzystać w danym OREB z usług (lub mechanizmu o charakterze interwencyjnym, o którym mowa powyżej) realizowanych przez zasoby URD, które składają się na JG na RB, to taki zasób URD nie powinien być uwzględniany do świadczenia usług na rzecz OSP, w tym usług bilansujących na RB, we wszystkich OREB, w których ACPRO korzysta z usług (mechanizmu) z wykorzystaniem tych zasobów.</w:t>
      </w:r>
    </w:p>
    <w:p w14:paraId="3A09E634"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DUB, który planuje dokonać zgłoszenia PPOSP i OZPG dotyczącego JG, w skład której wchodzi zasób URD, musi uwzględniać określone przez ACPRO bieżące uwarunkowania świadczenia usług bilansujących ze względu na warunki pracy sieci dystrybucyjnej ACPRO.</w:t>
      </w:r>
    </w:p>
    <w:p w14:paraId="28D12E16"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Zgłoszenia PPOSP i OZPG dotyczące JG, w odniesieniu do zasobu URD wchodzącego w skład tej JG, spełniają uwarunkowania świadczenia usług bilansujących w sieci dystrybucyjnej ACPRO, jeżeli:</w:t>
      </w:r>
    </w:p>
    <w:p w14:paraId="7BE1C99F"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moce bilansujące przypisane do zasobu URD nie przekraczają wielkości mocy bilansujących zakwalifikowanych w procesie kwalifikacji do świadczenia usług bilansujących, o którym mowa w pkt A.11.2.,</w:t>
      </w:r>
    </w:p>
    <w:p w14:paraId="2000CB7B"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moce bilansujące przypisane do zasobu URD nie przekraczają wielkości mocy przyłączeniowej oraz dopuszczalnych wielkości mocy czynnej wprowadzanej do sieci dystrybucyjnej ACPRO lub pobieranej z tej sieci wynikających z umowy dystrybucji albo umowy kompleksowej lub umowy o przyłączenie,</w:t>
      </w:r>
    </w:p>
    <w:p w14:paraId="598AE4C1"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3) URD spełnia wymagania określone w pkt A.12.6.</w:t>
      </w:r>
    </w:p>
    <w:p w14:paraId="4076AD5C"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 xml:space="preserve">DUB może uwzględnić dany zasób URD w zgłoszeniu PPOSP i OZPG, pod warunkiem spełniania wymagań odnoszących się do DUB i tego zasobu URD, określonych w WDB oraz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23E575D2"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ACPRO w dobie n-1 do godz. 14:00 przekazuje DUB informacje o zaplanowanych do ww. godziny:</w:t>
      </w:r>
    </w:p>
    <w:p w14:paraId="34E5B322"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zasobach URD, z których ACPRO zamierza w dobie n skorzystać do realizacji usług (mechanizmu) na rzecz ACPRO,</w:t>
      </w:r>
    </w:p>
    <w:p w14:paraId="6B1601E1"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lastRenderedPageBreak/>
        <w:t xml:space="preserve">2) zasobach URD, których DUB może wykorzystywać w ograniczonym zakresie lub nie powinien wykorzystywać do świadczenia usług na rzecz OSP, w przypadku, gdy ich wykorzystanie może prowadzić do wystąpienia przypadków, o których mowa w pkt A.12.8.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2) – 6).</w:t>
      </w:r>
    </w:p>
    <w:p w14:paraId="46530F79"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DUB w dobie n-1 do godz. 15:00 przekazuje ACPRO informacje dotyczące planowanego uwzględnienia przez DUB danego zasobu URD w świadczeniu usług bilansujących w dobie n, w odniesieniu do tych zasobów URD, które DUB planuje uwzględnić w JG, w zgłoszeniu PPOSP i OZPG zgodnie z WDB.</w:t>
      </w:r>
    </w:p>
    <w:p w14:paraId="7B855CCF"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DUB w dobie n-1 do godz. 16:00 przekazuje ACPRO informacje dotyczące uwzględnienia przez DUB danego zasobu URD w świadczeniu usług bilansujących w dobie n potwierdzone przez OSP.</w:t>
      </w:r>
    </w:p>
    <w:p w14:paraId="464678D2"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Ww. informacje obejmują w szczególności:</w:t>
      </w:r>
    </w:p>
    <w:p w14:paraId="1895E170"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a) wielkości mocy bilansujących,</w:t>
      </w:r>
    </w:p>
    <w:p w14:paraId="48F654A9"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b) określenie OREB, w których zasób URD będzie wykorzystywany do świadczenia usług bilansujących,</w:t>
      </w:r>
    </w:p>
    <w:p w14:paraId="2D1AC278"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c) lokalizację sieciową zasobu URD.</w:t>
      </w:r>
    </w:p>
    <w:p w14:paraId="76A33EB9"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DUB niezwłocznie przekazuje ACPRO aktualizację ww. informacji, w przypadku aktualizacji zgłoszeń PPOSP i OZPG zgodnie z WDB, zgłoszonych i przyjętych przez OSP po godz. 14:30 doby n-1.</w:t>
      </w:r>
    </w:p>
    <w:p w14:paraId="6FAA23D5"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Szczegółowy zakres i sposób przekazywania powyższych informacji określa umowa, o której mowa w pkt A.4.3.11.</w:t>
      </w:r>
    </w:p>
    <w:p w14:paraId="6D2DA07B"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URD będący właścicielem zasobu wykorzystywanego do świadczenia usług bilansujących musi spełniać również następujące wymagania:</w:t>
      </w:r>
    </w:p>
    <w:p w14:paraId="0A728380"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zapewnić wymianę danych czasu rzeczywistego z systemem SCADA ACPRO w zakresie pomiaru oraz kierunku przepływu mocy czynnej i biernej, a także napięcia w miejscu przyłączenia,</w:t>
      </w:r>
    </w:p>
    <w:p w14:paraId="662B7FDE"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2) zapewnić zdolność do regulacji mocy czynnej i biernej (oraz innych parametrów – w zależności od miejsca przyłączenia) w zakresie określonym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oraz Kodeksach sieci – wymaganie dla jednostek wytwórczych lub magazynów energii elektrycznej,</w:t>
      </w:r>
    </w:p>
    <w:p w14:paraId="2DD55498"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3) umożliwić przyjęcie sygnałów sterowniczych z systemu SCADA ACPRO za pomocą dedykowanego łącza teleinformatycznego – wymaganie dla jednostek wytwórczych lub magazynów energii elektrycznej.</w:t>
      </w:r>
    </w:p>
    <w:p w14:paraId="6C1B291A"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Wymagania, o których mowa w pkt A.12.6., powinny zostać potwierdzone testami sprawdzającymi. Wyniki testów sprawdzających URD przedkłada ACPRO, w terminie 45 dni kalendarzowych przed planowaną datą rozpoczęcia wykorzystywania danego zasobu URD do świadczenia usług bilansujących, w celu weryfikacji i potwierdzenia przez ACPRO spełniania tych wymagań.</w:t>
      </w:r>
    </w:p>
    <w:p w14:paraId="6904BB23"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W przypadku braku spełniania przez zasób URD wymagań, o których mowa w pkt A.12.6., dany zasób URD nie może być wykorzystywany do świadczenia usług bilansujących, a DUB nie może uwzględniać tego zasobu w zgłoszeniu PPOSP i OZPG. W takim przypadku ACPRO przekazuje OSP i DUB informację o niespełnianiu przez zasób URD tych wymagań. Powyższe ma również zastosowanie w przypadku, gdy dany zasób przestał spełniać wymagania, o których mowa w pkt A.12.6.</w:t>
      </w:r>
    </w:p>
    <w:p w14:paraId="758C0EBE"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ACPRO ma prawo wstrzymać, ograniczyć bądź odmówić wykorzystania danego zasobu URD do świadczenia usług bilansujących, w szczególności w następujących przypadkach:</w:t>
      </w:r>
    </w:p>
    <w:p w14:paraId="191E97D8"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lastRenderedPageBreak/>
        <w:t>1) korzystania przez ACPRO z zasobów URD zgodnie z pkt A.12.1.,</w:t>
      </w:r>
    </w:p>
    <w:p w14:paraId="45B40705"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wystąpienia zagrożenia bezpieczeństwa pracy sieci dystrybucyjnej,</w:t>
      </w:r>
    </w:p>
    <w:p w14:paraId="267E2495"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3) wstrzymania lub ograniczenia świadczenia przez ACPRO usług dystrybucji zgodnie z zapisami umowy dystrybucji albo umowy kompleksowej zawartej z URD,</w:t>
      </w:r>
    </w:p>
    <w:p w14:paraId="504E32D5"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4) stanu pracy sieci dystrybucyjnej, w tym stanów n-1, w których możliwości wprowadzenia mocy czynnej (stosownie do wielkości mocy bilansujących) do sieci dystrybucyjnej ACPRO lub pobierania mocy czynnej z tej sieci będą ograniczone,</w:t>
      </w:r>
    </w:p>
    <w:p w14:paraId="6300F2E3"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5) przekroczenia dopuszczalnych obciążeń prądowych elementów infrastruktury sieciowej ACPRO,</w:t>
      </w:r>
    </w:p>
    <w:p w14:paraId="3672E2AE"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6) pogorszenia warunków pracy sieci dystrybucyjnej w zakresie napięć w poszczególnych węzłach sieci,</w:t>
      </w:r>
    </w:p>
    <w:p w14:paraId="706EFC7C"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(obowiązuje do dnia wejścia w życie rozporządzenia ministra właściwego do spraw energii w sprawie szczegółowych warunków funkcjonowania systemu elektroenergetycznego, wydanego na podstawie art. 9 ust. 3 i 4 Ustawy) ACPRO rekompensuje wynikające z WDB koszty DUB związane ze świadczeniem usług bilansujących z wykorzystaniem danego zasobu URD, w przypadku, gdy ich powstanie wynika z korzystania z prawa pierwszeństwa, o którym mowa w pkt A.12.1. Rekompensata kosztów nie obejmuje przypadków, gdy powstanie kosztów jest skutkiem:</w:t>
      </w:r>
    </w:p>
    <w:p w14:paraId="6CD901A1"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1) korzystania z usług (lub mechanizmu o charakterze interwencyjnym), o których mowa w pkt A.12.1., w odniesieniu do zasobów URD, dla których ACPRO przekazał DUB informacje, o których mowa w pkt A.12.5.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1) lub 2), lub</w:t>
      </w:r>
    </w:p>
    <w:p w14:paraId="5C205C92"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2) przypadków, o których mowa w pkt A.12.8.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2) – 6).</w:t>
      </w:r>
    </w:p>
    <w:p w14:paraId="608C3A35"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Szczegółowe zasady ww. rekompensaty kosztów określa umowa, o której mowa w pkt A.4.3.11.</w:t>
      </w:r>
    </w:p>
    <w:p w14:paraId="3593796B" w14:textId="5DC33A26" w:rsidR="002803DF" w:rsidRPr="00EB2E7B" w:rsidRDefault="00FE71C9" w:rsidP="00A42849">
      <w:pPr>
        <w:pStyle w:val="Nagwek1"/>
        <w:numPr>
          <w:ilvl w:val="0"/>
          <w:numId w:val="85"/>
        </w:numPr>
        <w:rPr>
          <w:rFonts w:asciiTheme="minorHAnsi" w:eastAsiaTheme="minorEastAsia" w:hAnsiTheme="minorHAnsi" w:cstheme="minorHAnsi"/>
          <w:sz w:val="20"/>
          <w:szCs w:val="20"/>
        </w:rPr>
      </w:pPr>
      <w:bookmarkStart w:id="512" w:name="_Toc239333379"/>
      <w:r w:rsidRPr="00EB2E7B">
        <w:rPr>
          <w:rFonts w:asciiTheme="minorHAnsi" w:eastAsiaTheme="minorEastAsia" w:hAnsiTheme="minorHAnsi" w:cstheme="minorHAnsi"/>
          <w:sz w:val="20"/>
          <w:szCs w:val="20"/>
        </w:rPr>
        <w:t>ZASADY ZAWIERANIA UMÓW DYSTRYBUCJI Z URD</w:t>
      </w:r>
      <w:bookmarkEnd w:id="512"/>
    </w:p>
    <w:p w14:paraId="092C34DB" w14:textId="66596B38" w:rsidR="00064935" w:rsidRPr="00EB2E7B" w:rsidRDefault="0077111A" w:rsidP="0024189C">
      <w:pPr>
        <w:pStyle w:val="ANagwek2"/>
        <w:rPr>
          <w:rFonts w:asciiTheme="minorHAnsi" w:hAnsiTheme="minorHAnsi" w:cstheme="minorHAnsi"/>
          <w:b w:val="0"/>
          <w:sz w:val="20"/>
          <w:szCs w:val="20"/>
        </w:rPr>
      </w:pPr>
      <w:bookmarkStart w:id="513" w:name="_Toc189833762"/>
      <w:bookmarkStart w:id="514" w:name="_Ref190114905"/>
      <w:bookmarkStart w:id="515" w:name="_Ref190115975"/>
      <w:bookmarkStart w:id="516" w:name="_Toc239333380"/>
      <w:bookmarkStart w:id="517" w:name="_Ref75525442"/>
      <w:r w:rsidRPr="00EB2E7B">
        <w:rPr>
          <w:rFonts w:asciiTheme="minorHAnsi" w:hAnsiTheme="minorHAnsi" w:cstheme="minorHAnsi"/>
          <w:b w:val="0"/>
          <w:sz w:val="20"/>
          <w:szCs w:val="20"/>
        </w:rPr>
        <w:t xml:space="preserve">Umowa </w:t>
      </w:r>
      <w:r w:rsidR="00064935" w:rsidRPr="00EB2E7B">
        <w:rPr>
          <w:rFonts w:asciiTheme="minorHAnsi" w:hAnsiTheme="minorHAnsi" w:cstheme="minorHAnsi"/>
          <w:b w:val="0"/>
          <w:sz w:val="20"/>
          <w:szCs w:val="20"/>
        </w:rPr>
        <w:t>dystrybucji zawierana jest na wniosek URD</w:t>
      </w:r>
      <w:r w:rsidR="00064935" w:rsidRPr="00EB2E7B">
        <w:rPr>
          <w:rFonts w:asciiTheme="minorHAnsi" w:hAnsiTheme="minorHAnsi" w:cstheme="minorHAnsi"/>
          <w:b w:val="0"/>
          <w:sz w:val="20"/>
          <w:szCs w:val="20"/>
          <w:vertAlign w:val="subscript"/>
        </w:rPr>
        <w:t>O</w:t>
      </w:r>
      <w:r w:rsidR="00064935" w:rsidRPr="00EB2E7B">
        <w:rPr>
          <w:rFonts w:asciiTheme="minorHAnsi" w:hAnsiTheme="minorHAnsi" w:cstheme="minorHAnsi"/>
          <w:b w:val="0"/>
          <w:sz w:val="20"/>
          <w:szCs w:val="20"/>
        </w:rPr>
        <w:t>, URD</w:t>
      </w:r>
      <w:r w:rsidR="00064935" w:rsidRPr="00EB2E7B">
        <w:rPr>
          <w:rFonts w:asciiTheme="minorHAnsi" w:hAnsiTheme="minorHAnsi" w:cstheme="minorHAnsi"/>
          <w:b w:val="0"/>
          <w:sz w:val="20"/>
          <w:szCs w:val="20"/>
          <w:vertAlign w:val="subscript"/>
        </w:rPr>
        <w:t>W</w:t>
      </w:r>
      <w:r w:rsidR="00064935" w:rsidRPr="00EB2E7B">
        <w:rPr>
          <w:rFonts w:asciiTheme="minorHAnsi" w:hAnsiTheme="minorHAnsi" w:cstheme="minorHAnsi"/>
          <w:b w:val="0"/>
          <w:sz w:val="20"/>
          <w:szCs w:val="20"/>
        </w:rPr>
        <w:t xml:space="preserve"> oraz URD</w:t>
      </w:r>
      <w:r w:rsidR="00064935" w:rsidRPr="00EB2E7B">
        <w:rPr>
          <w:rFonts w:asciiTheme="minorHAnsi" w:hAnsiTheme="minorHAnsi" w:cstheme="minorHAnsi"/>
          <w:b w:val="0"/>
          <w:sz w:val="20"/>
          <w:szCs w:val="20"/>
          <w:vertAlign w:val="subscript"/>
        </w:rPr>
        <w:t>ME</w:t>
      </w:r>
      <w:r w:rsidR="00064935" w:rsidRPr="00EB2E7B">
        <w:rPr>
          <w:rFonts w:asciiTheme="minorHAnsi" w:hAnsiTheme="minorHAnsi" w:cstheme="minorHAnsi"/>
          <w:b w:val="0"/>
          <w:sz w:val="20"/>
          <w:szCs w:val="20"/>
        </w:rPr>
        <w:t xml:space="preserve"> lub podmiotu przyłączanego do sieci dystrybucyjnej ACPRO.</w:t>
      </w:r>
      <w:bookmarkEnd w:id="513"/>
      <w:bookmarkEnd w:id="514"/>
      <w:bookmarkEnd w:id="515"/>
      <w:bookmarkEnd w:id="516"/>
    </w:p>
    <w:bookmarkEnd w:id="517"/>
    <w:p w14:paraId="23421BA1" w14:textId="7CA34B41" w:rsidR="00064935" w:rsidRPr="00EB2E7B" w:rsidRDefault="00064935" w:rsidP="005C4E79">
      <w:pPr>
        <w:ind w:left="1134" w:firstLine="0"/>
        <w:rPr>
          <w:rFonts w:asciiTheme="minorHAnsi" w:hAnsiTheme="minorHAnsi" w:cstheme="minorHAnsi"/>
          <w:sz w:val="20"/>
          <w:szCs w:val="20"/>
        </w:rPr>
      </w:pPr>
      <w:r w:rsidRPr="00EB2E7B">
        <w:rPr>
          <w:rFonts w:asciiTheme="minorHAnsi" w:hAnsiTheme="minorHAnsi" w:cstheme="minorHAnsi"/>
          <w:sz w:val="20"/>
          <w:szCs w:val="20"/>
        </w:rPr>
        <w:t>Umowa dystrybucji może być zawierana wyłącznie z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nie będącymi URD</w:t>
      </w:r>
      <w:r w:rsidRPr="00EB2E7B">
        <w:rPr>
          <w:rFonts w:asciiTheme="minorHAnsi" w:hAnsiTheme="minorHAnsi" w:cstheme="minorHAnsi"/>
          <w:sz w:val="20"/>
          <w:szCs w:val="20"/>
          <w:vertAlign w:val="subscript"/>
        </w:rPr>
        <w:t xml:space="preserve">O </w:t>
      </w:r>
      <w:r w:rsidRPr="00EB2E7B">
        <w:rPr>
          <w:rFonts w:asciiTheme="minorHAnsi" w:hAnsiTheme="minorHAnsi" w:cstheme="minorHAnsi"/>
          <w:sz w:val="20"/>
          <w:szCs w:val="20"/>
        </w:rPr>
        <w:t>w</w:t>
      </w:r>
      <w:r w:rsidR="008B2F31" w:rsidRPr="00EB2E7B">
        <w:rPr>
          <w:rFonts w:asciiTheme="minorHAnsi" w:hAnsiTheme="minorHAnsi" w:cstheme="minorHAnsi"/>
          <w:sz w:val="20"/>
          <w:szCs w:val="20"/>
        </w:rPr>
        <w:t> </w:t>
      </w:r>
      <w:r w:rsidRPr="00EB2E7B">
        <w:rPr>
          <w:rFonts w:asciiTheme="minorHAnsi" w:hAnsiTheme="minorHAnsi" w:cstheme="minorHAnsi"/>
          <w:sz w:val="20"/>
          <w:szCs w:val="20"/>
        </w:rPr>
        <w:t>gospodarstwie domowym.</w:t>
      </w:r>
    </w:p>
    <w:p w14:paraId="63CDD77C" w14:textId="0342E1E1" w:rsidR="00473957" w:rsidRPr="00EB2E7B" w:rsidRDefault="00064935" w:rsidP="005C4E79">
      <w:pPr>
        <w:ind w:left="1134" w:firstLine="0"/>
        <w:rPr>
          <w:rFonts w:asciiTheme="minorHAnsi" w:hAnsiTheme="minorHAnsi" w:cstheme="minorHAnsi"/>
          <w:sz w:val="20"/>
          <w:szCs w:val="20"/>
        </w:rPr>
      </w:pPr>
      <w:r w:rsidRPr="00EB2E7B">
        <w:rPr>
          <w:rFonts w:asciiTheme="minorHAnsi" w:hAnsiTheme="minorHAnsi" w:cstheme="minorHAnsi"/>
          <w:sz w:val="20"/>
          <w:szCs w:val="20"/>
        </w:rPr>
        <w:t>Wzory wniosków opracowuje ACPRO i publikuje na stronie internetowej ACPRO.</w:t>
      </w:r>
      <w:r w:rsidR="0077111A" w:rsidRPr="00EB2E7B">
        <w:rPr>
          <w:rFonts w:asciiTheme="minorHAnsi" w:hAnsiTheme="minorHAnsi" w:cstheme="minorHAnsi"/>
          <w:sz w:val="20"/>
          <w:szCs w:val="20"/>
        </w:rPr>
        <w:t xml:space="preserve"> </w:t>
      </w:r>
    </w:p>
    <w:p w14:paraId="6C6784C1" w14:textId="5300697E" w:rsidR="00846E2E" w:rsidRPr="00EB2E7B" w:rsidRDefault="00846E2E" w:rsidP="0024189C">
      <w:pPr>
        <w:pStyle w:val="ANagwek2"/>
        <w:rPr>
          <w:rFonts w:asciiTheme="minorHAnsi" w:hAnsiTheme="minorHAnsi" w:cstheme="minorHAnsi"/>
          <w:b w:val="0"/>
          <w:sz w:val="20"/>
          <w:szCs w:val="20"/>
        </w:rPr>
      </w:pPr>
      <w:bookmarkStart w:id="518" w:name="_Toc189833763"/>
      <w:bookmarkStart w:id="519" w:name="_Ref190115043"/>
      <w:bookmarkStart w:id="520" w:name="_Ref190115230"/>
      <w:bookmarkStart w:id="521" w:name="_Ref190116416"/>
      <w:bookmarkStart w:id="522" w:name="_Ref190119466"/>
      <w:bookmarkStart w:id="523" w:name="_Toc239333381"/>
      <w:bookmarkStart w:id="524" w:name="_Ref75525192"/>
      <w:r w:rsidRPr="00EB2E7B">
        <w:rPr>
          <w:rFonts w:asciiTheme="minorHAnsi" w:hAnsiTheme="minorHAnsi" w:cstheme="minorHAnsi"/>
          <w:b w:val="0"/>
          <w:sz w:val="20"/>
          <w:szCs w:val="20"/>
        </w:rPr>
        <w:t>Dla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posiadającego umowę</w:t>
      </w:r>
      <w:r w:rsidR="002A448D" w:rsidRPr="00EB2E7B">
        <w:rPr>
          <w:rFonts w:asciiTheme="minorHAnsi" w:hAnsiTheme="minorHAnsi" w:cstheme="minorHAnsi"/>
          <w:b w:val="0"/>
          <w:sz w:val="20"/>
          <w:szCs w:val="20"/>
        </w:rPr>
        <w:t xml:space="preserve"> kompleksową</w:t>
      </w:r>
      <w:r w:rsidR="004359E7" w:rsidRPr="00EB2E7B">
        <w:rPr>
          <w:rFonts w:asciiTheme="minorHAnsi" w:hAnsiTheme="minorHAnsi" w:cstheme="minorHAnsi"/>
          <w:b w:val="0"/>
          <w:sz w:val="20"/>
          <w:szCs w:val="20"/>
        </w:rPr>
        <w:t xml:space="preserve"> nie będącego </w:t>
      </w:r>
      <w:r w:rsidR="0008321A" w:rsidRPr="00EB2E7B">
        <w:rPr>
          <w:rFonts w:asciiTheme="minorHAnsi" w:hAnsiTheme="minorHAnsi" w:cstheme="minorHAnsi"/>
          <w:b w:val="0"/>
          <w:sz w:val="20"/>
          <w:szCs w:val="20"/>
        </w:rPr>
        <w:t>URD</w:t>
      </w:r>
      <w:r w:rsidR="0008321A" w:rsidRPr="00EB2E7B">
        <w:rPr>
          <w:rFonts w:asciiTheme="minorHAnsi" w:hAnsiTheme="minorHAnsi" w:cstheme="minorHAnsi"/>
          <w:b w:val="0"/>
          <w:sz w:val="20"/>
          <w:szCs w:val="20"/>
          <w:vertAlign w:val="subscript"/>
        </w:rPr>
        <w:t>O</w:t>
      </w:r>
      <w:r w:rsidR="0008321A" w:rsidRPr="00EB2E7B">
        <w:rPr>
          <w:rFonts w:asciiTheme="minorHAnsi" w:hAnsiTheme="minorHAnsi" w:cstheme="minorHAnsi"/>
          <w:b w:val="0"/>
          <w:sz w:val="20"/>
          <w:szCs w:val="20"/>
        </w:rPr>
        <w:t xml:space="preserve"> w gospodarstwie domowym</w:t>
      </w:r>
      <w:r w:rsidRPr="00EB2E7B">
        <w:rPr>
          <w:rFonts w:asciiTheme="minorHAnsi" w:hAnsiTheme="minorHAnsi" w:cstheme="minorHAnsi"/>
          <w:b w:val="0"/>
          <w:sz w:val="20"/>
          <w:szCs w:val="20"/>
        </w:rPr>
        <w:t>, który chce zawrzeć umowę dystrybucji, dopuszcza się zawarcie umowy dystrybucji poprzez złożenie przez upoważnionego sprzedawcę działającego w imieniu i na rzecz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wraz z powiadomieniem, o którym mowa w pkt </w:t>
      </w:r>
      <w:r w:rsidR="00824608" w:rsidRPr="00EB2E7B">
        <w:rPr>
          <w:rFonts w:asciiTheme="minorHAnsi" w:hAnsiTheme="minorHAnsi" w:cstheme="minorHAnsi"/>
          <w:b w:val="0"/>
          <w:sz w:val="20"/>
          <w:szCs w:val="20"/>
        </w:rPr>
        <w:fldChar w:fldCharType="begin"/>
      </w:r>
      <w:r w:rsidR="00824608" w:rsidRPr="00EB2E7B">
        <w:rPr>
          <w:rFonts w:asciiTheme="minorHAnsi" w:hAnsiTheme="minorHAnsi" w:cstheme="minorHAnsi"/>
          <w:b w:val="0"/>
          <w:sz w:val="20"/>
          <w:szCs w:val="20"/>
        </w:rPr>
        <w:instrText xml:space="preserve"> REF _Ref183180640 \w \h </w:instrText>
      </w:r>
      <w:r w:rsidR="00824608" w:rsidRPr="00EB2E7B">
        <w:rPr>
          <w:rFonts w:asciiTheme="minorHAnsi" w:hAnsiTheme="minorHAnsi" w:cstheme="minorHAnsi"/>
          <w:b w:val="0"/>
          <w:bCs w:val="0"/>
          <w:sz w:val="20"/>
          <w:szCs w:val="20"/>
        </w:rPr>
        <w:instrText xml:space="preserve"> \* MERGEFORMAT </w:instrText>
      </w:r>
      <w:r w:rsidR="00824608" w:rsidRPr="00EB2E7B">
        <w:rPr>
          <w:rFonts w:asciiTheme="minorHAnsi" w:hAnsiTheme="minorHAnsi" w:cstheme="minorHAnsi"/>
          <w:b w:val="0"/>
          <w:sz w:val="20"/>
          <w:szCs w:val="20"/>
        </w:rPr>
      </w:r>
      <w:r w:rsidR="00824608"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D.2.1</w:t>
      </w:r>
      <w:r w:rsidR="00824608"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oświadczenia o posiadaniu oświadczenia woli tego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(według wzoru zamieszczonego na stronie internetowej ACPRO lub udostępnionego w siedzibie ACPRO) obejmującego zgodę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na zawarcie umowy dystrybucji z ACPRO, na warunkach wynikających z</w:t>
      </w:r>
      <w:bookmarkEnd w:id="518"/>
      <w:bookmarkEnd w:id="519"/>
      <w:bookmarkEnd w:id="520"/>
      <w:bookmarkEnd w:id="521"/>
      <w:bookmarkEnd w:id="522"/>
      <w:bookmarkEnd w:id="523"/>
    </w:p>
    <w:p w14:paraId="5A5CCA49" w14:textId="21B2BE0B" w:rsidR="00846E2E" w:rsidRPr="00EB2E7B" w:rsidRDefault="00846E2E" w:rsidP="00846E2E">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bookmarkStart w:id="525" w:name="_Ref75525336"/>
      <w:r w:rsidRPr="00EB2E7B">
        <w:rPr>
          <w:rFonts w:asciiTheme="minorHAnsi" w:hAnsiTheme="minorHAnsi" w:cstheme="minorHAnsi"/>
          <w:sz w:val="20"/>
          <w:szCs w:val="20"/>
        </w:rPr>
        <w:t>wzoru umowy dystrybucji zamieszczonego na stronie internetowej ACPRO i stanowiącego integralną część wzoru oświadczenia,</w:t>
      </w:r>
      <w:bookmarkEnd w:id="525"/>
      <w:r w:rsidRPr="00EB2E7B">
        <w:rPr>
          <w:rFonts w:asciiTheme="minorHAnsi" w:hAnsiTheme="minorHAnsi" w:cstheme="minorHAnsi"/>
          <w:sz w:val="20"/>
          <w:szCs w:val="20"/>
        </w:rPr>
        <w:t xml:space="preserve"> </w:t>
      </w:r>
    </w:p>
    <w:p w14:paraId="34C93B32" w14:textId="78CBE268" w:rsidR="00846E2E" w:rsidRPr="00EB2E7B" w:rsidRDefault="00846E2E" w:rsidP="00846E2E">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Taryfy ACPRO oraz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zamieszczonych na stronie internetowej ACPRO, </w:t>
      </w:r>
    </w:p>
    <w:p w14:paraId="26F0BD7D" w14:textId="7F2FEB92" w:rsidR="00846E2E" w:rsidRPr="00EB2E7B" w:rsidRDefault="00846E2E" w:rsidP="00846E2E">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dotychczasowej umowy kompleksowej w zakresie warunków technicznych świadczenia usług dystrybucji, grupy taryfowej oraz okresu rozliczeniowego, o ile postanowienia umowy </w:t>
      </w:r>
      <w:r w:rsidRPr="00EB2E7B">
        <w:rPr>
          <w:rFonts w:asciiTheme="minorHAnsi" w:hAnsiTheme="minorHAnsi" w:cstheme="minorHAnsi"/>
          <w:sz w:val="20"/>
          <w:szCs w:val="20"/>
        </w:rPr>
        <w:lastRenderedPageBreak/>
        <w:t>kompleksowej w tym zakresie nie są sprzeczne z Taryfą ACPRO oraz wzorem umowy, o którym mowa w lit. </w:t>
      </w:r>
      <w:r w:rsidR="00997ED6" w:rsidRPr="00EB2E7B">
        <w:rPr>
          <w:rFonts w:asciiTheme="minorHAnsi" w:hAnsiTheme="minorHAnsi" w:cstheme="minorHAnsi"/>
          <w:sz w:val="20"/>
          <w:szCs w:val="20"/>
        </w:rPr>
        <w:fldChar w:fldCharType="begin"/>
      </w:r>
      <w:r w:rsidR="00997ED6" w:rsidRPr="00EB2E7B">
        <w:rPr>
          <w:rFonts w:asciiTheme="minorHAnsi" w:hAnsiTheme="minorHAnsi" w:cstheme="minorHAnsi"/>
          <w:sz w:val="20"/>
          <w:szCs w:val="20"/>
        </w:rPr>
        <w:instrText xml:space="preserve"> REF _Ref75525336 \w \h  \* MERGEFORMAT </w:instrText>
      </w:r>
      <w:r w:rsidR="00997ED6" w:rsidRPr="00EB2E7B">
        <w:rPr>
          <w:rFonts w:asciiTheme="minorHAnsi" w:hAnsiTheme="minorHAnsi" w:cstheme="minorHAnsi"/>
          <w:sz w:val="20"/>
          <w:szCs w:val="20"/>
        </w:rPr>
      </w:r>
      <w:r w:rsidR="00997ED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B.2.a)</w:t>
      </w:r>
      <w:r w:rsidR="00997ED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31583656" w14:textId="43B6CA63" w:rsidR="002861A7" w:rsidRPr="00EB2E7B" w:rsidRDefault="00202F16" w:rsidP="00C973C5">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o którym mowa w zdaniu pierwszym, sprzedawca, który nie dysponuje oświadczeniem, o którym mowa powyżej, nie może dokonać powiadomienia o zawarciu umowy sprzedaży zgodnie z pkt</w:t>
      </w:r>
      <w:r w:rsidR="00046EB7" w:rsidRPr="00EB2E7B">
        <w:rPr>
          <w:rFonts w:asciiTheme="minorHAnsi" w:hAnsiTheme="minorHAnsi" w:cstheme="minorHAnsi"/>
          <w:sz w:val="20"/>
          <w:szCs w:val="20"/>
        </w:rPr>
        <w:t xml:space="preserve"> </w:t>
      </w:r>
      <w:r w:rsidR="00046EB7" w:rsidRPr="00EB2E7B">
        <w:rPr>
          <w:rFonts w:asciiTheme="minorHAnsi" w:hAnsiTheme="minorHAnsi" w:cstheme="minorHAnsi"/>
          <w:sz w:val="20"/>
          <w:szCs w:val="20"/>
        </w:rPr>
        <w:fldChar w:fldCharType="begin"/>
      </w:r>
      <w:r w:rsidR="00046EB7" w:rsidRPr="00EB2E7B">
        <w:rPr>
          <w:rFonts w:asciiTheme="minorHAnsi" w:hAnsiTheme="minorHAnsi" w:cstheme="minorHAnsi"/>
          <w:sz w:val="20"/>
          <w:szCs w:val="20"/>
        </w:rPr>
        <w:instrText xml:space="preserve"> REF _Ref183180640 \w \h  \* MERGEFORMAT </w:instrText>
      </w:r>
      <w:r w:rsidR="00046EB7" w:rsidRPr="00EB2E7B">
        <w:rPr>
          <w:rFonts w:asciiTheme="minorHAnsi" w:hAnsiTheme="minorHAnsi" w:cstheme="minorHAnsi"/>
          <w:sz w:val="20"/>
          <w:szCs w:val="20"/>
        </w:rPr>
      </w:r>
      <w:r w:rsidR="00046EB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046EB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Pod warunkiem złożenia przez sprzedawcę oświadczenia, o którym mowa w zdaniu pierwszym, zawarcie umowy dystrybucji pomiędzy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a ACPRO następuje, bez konieczności składania dodatkowych oświadczeń, z dniem rozpoczęcia realizacji umowy sprzedaży zgłoszonej zgodnie z pkt</w:t>
      </w:r>
      <w:r w:rsidR="00DA33F3" w:rsidRPr="00EB2E7B">
        <w:rPr>
          <w:rFonts w:asciiTheme="minorHAnsi" w:hAnsiTheme="minorHAnsi" w:cstheme="minorHAnsi"/>
          <w:sz w:val="20"/>
          <w:szCs w:val="20"/>
        </w:rPr>
        <w:t xml:space="preserve"> </w:t>
      </w:r>
      <w:r w:rsidR="00F31DE3" w:rsidRPr="00EB2E7B">
        <w:rPr>
          <w:rFonts w:asciiTheme="minorHAnsi" w:hAnsiTheme="minorHAnsi" w:cstheme="minorHAnsi"/>
          <w:color w:val="auto"/>
          <w:sz w:val="20"/>
          <w:szCs w:val="20"/>
        </w:rPr>
        <w:fldChar w:fldCharType="begin"/>
      </w:r>
      <w:r w:rsidR="00F31DE3" w:rsidRPr="00EB2E7B">
        <w:rPr>
          <w:rFonts w:asciiTheme="minorHAnsi" w:hAnsiTheme="minorHAnsi" w:cstheme="minorHAnsi"/>
          <w:color w:val="auto"/>
          <w:sz w:val="20"/>
          <w:szCs w:val="20"/>
        </w:rPr>
        <w:instrText xml:space="preserve"> REF _Ref189086193 \r \h </w:instrText>
      </w:r>
      <w:r w:rsidR="00827F21" w:rsidRPr="00EB2E7B">
        <w:rPr>
          <w:rFonts w:asciiTheme="minorHAnsi" w:hAnsiTheme="minorHAnsi" w:cstheme="minorHAnsi"/>
          <w:color w:val="auto"/>
          <w:sz w:val="20"/>
          <w:szCs w:val="20"/>
        </w:rPr>
        <w:instrText xml:space="preserve"> \* MERGEFORMAT </w:instrText>
      </w:r>
      <w:r w:rsidR="00F31DE3" w:rsidRPr="00EB2E7B">
        <w:rPr>
          <w:rFonts w:asciiTheme="minorHAnsi" w:hAnsiTheme="minorHAnsi" w:cstheme="minorHAnsi"/>
          <w:color w:val="auto"/>
          <w:sz w:val="20"/>
          <w:szCs w:val="20"/>
        </w:rPr>
      </w:r>
      <w:r w:rsidR="00F31DE3" w:rsidRPr="00EB2E7B">
        <w:rPr>
          <w:rFonts w:asciiTheme="minorHAnsi" w:hAnsiTheme="minorHAnsi" w:cstheme="minorHAnsi"/>
          <w:color w:val="auto"/>
          <w:sz w:val="20"/>
          <w:szCs w:val="20"/>
        </w:rPr>
        <w:fldChar w:fldCharType="separate"/>
      </w:r>
      <w:r w:rsidR="006A408D">
        <w:rPr>
          <w:rFonts w:asciiTheme="minorHAnsi" w:hAnsiTheme="minorHAnsi" w:cstheme="minorHAnsi"/>
          <w:color w:val="auto"/>
          <w:sz w:val="20"/>
          <w:szCs w:val="20"/>
        </w:rPr>
        <w:t>D.2</w:t>
      </w:r>
      <w:r w:rsidR="00F31DE3" w:rsidRPr="00EB2E7B">
        <w:rPr>
          <w:rFonts w:asciiTheme="minorHAnsi" w:hAnsiTheme="minorHAnsi" w:cstheme="minorHAnsi"/>
          <w:color w:val="auto"/>
          <w:sz w:val="20"/>
          <w:szCs w:val="20"/>
        </w:rPr>
        <w:fldChar w:fldCharType="end"/>
      </w:r>
      <w:r w:rsidR="001205AC" w:rsidRPr="00EB2E7B">
        <w:rPr>
          <w:rFonts w:asciiTheme="minorHAnsi" w:hAnsiTheme="minorHAnsi" w:cstheme="minorHAnsi"/>
          <w:color w:val="auto"/>
          <w:sz w:val="20"/>
          <w:szCs w:val="20"/>
        </w:rPr>
        <w:t xml:space="preserve"> i </w:t>
      </w:r>
      <w:r w:rsidR="001205AC" w:rsidRPr="00EB2E7B">
        <w:rPr>
          <w:rFonts w:asciiTheme="minorHAnsi" w:hAnsiTheme="minorHAnsi" w:cstheme="minorHAnsi"/>
          <w:color w:val="auto"/>
          <w:sz w:val="20"/>
          <w:szCs w:val="20"/>
        </w:rPr>
        <w:fldChar w:fldCharType="begin"/>
      </w:r>
      <w:r w:rsidR="001205AC" w:rsidRPr="00EB2E7B">
        <w:rPr>
          <w:rFonts w:asciiTheme="minorHAnsi" w:hAnsiTheme="minorHAnsi" w:cstheme="minorHAnsi"/>
          <w:color w:val="auto"/>
          <w:sz w:val="20"/>
          <w:szCs w:val="20"/>
        </w:rPr>
        <w:instrText xml:space="preserve"> REF _Ref189087240 \r \h </w:instrText>
      </w:r>
      <w:r w:rsidR="005E3FEE" w:rsidRPr="00EB2E7B">
        <w:rPr>
          <w:rFonts w:asciiTheme="minorHAnsi" w:hAnsiTheme="minorHAnsi" w:cstheme="minorHAnsi"/>
          <w:color w:val="auto"/>
          <w:sz w:val="20"/>
          <w:szCs w:val="20"/>
        </w:rPr>
        <w:instrText xml:space="preserve"> \* MERGEFORMAT </w:instrText>
      </w:r>
      <w:r w:rsidR="001205AC" w:rsidRPr="00EB2E7B">
        <w:rPr>
          <w:rFonts w:asciiTheme="minorHAnsi" w:hAnsiTheme="minorHAnsi" w:cstheme="minorHAnsi"/>
          <w:color w:val="auto"/>
          <w:sz w:val="20"/>
          <w:szCs w:val="20"/>
        </w:rPr>
      </w:r>
      <w:r w:rsidR="001205AC" w:rsidRPr="00EB2E7B">
        <w:rPr>
          <w:rFonts w:asciiTheme="minorHAnsi" w:hAnsiTheme="minorHAnsi" w:cstheme="minorHAnsi"/>
          <w:color w:val="auto"/>
          <w:sz w:val="20"/>
          <w:szCs w:val="20"/>
        </w:rPr>
        <w:fldChar w:fldCharType="separate"/>
      </w:r>
      <w:r w:rsidR="006A408D">
        <w:rPr>
          <w:rFonts w:asciiTheme="minorHAnsi" w:hAnsiTheme="minorHAnsi" w:cstheme="minorHAnsi"/>
          <w:color w:val="auto"/>
          <w:sz w:val="20"/>
          <w:szCs w:val="20"/>
        </w:rPr>
        <w:t>D.3</w:t>
      </w:r>
      <w:r w:rsidR="001205AC" w:rsidRPr="00EB2E7B">
        <w:rPr>
          <w:rFonts w:asciiTheme="minorHAnsi" w:hAnsiTheme="minorHAnsi" w:cstheme="minorHAnsi"/>
          <w:color w:val="auto"/>
          <w:sz w:val="20"/>
          <w:szCs w:val="20"/>
        </w:rPr>
        <w:fldChar w:fldCharType="end"/>
      </w:r>
      <w:r w:rsidRPr="00EB2E7B">
        <w:rPr>
          <w:rFonts w:asciiTheme="minorHAnsi" w:hAnsiTheme="minorHAnsi" w:cstheme="minorHAnsi"/>
          <w:color w:val="auto"/>
          <w:sz w:val="20"/>
          <w:szCs w:val="20"/>
        </w:rPr>
        <w:t xml:space="preserve">. </w:t>
      </w:r>
      <w:r w:rsidRPr="00EB2E7B">
        <w:rPr>
          <w:rFonts w:asciiTheme="minorHAnsi" w:hAnsiTheme="minorHAnsi" w:cstheme="minorHAnsi"/>
          <w:sz w:val="20"/>
          <w:szCs w:val="20"/>
        </w:rPr>
        <w:t>W terminie 14 dni kalendarzowych od dnia jej zawarcia, ACPRO wysyła do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potwierdzenie treści zawartej umowy dystrybucji. </w:t>
      </w:r>
    </w:p>
    <w:p w14:paraId="71670AF1" w14:textId="145F915C" w:rsidR="00202F16" w:rsidRPr="00EB2E7B" w:rsidRDefault="00202F16" w:rsidP="00C973C5">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gdy oświadczenie, o którym mowa powyżej, dotyczy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będącego konsumentem lub osobą fizyczną, o której mowa w art. 7aa ustawy o prawach konsumenta tj. zawierającą umowę dystrybucji bezpośrednio związaną z jej działalnością gospodarczą, gdy ta umowa nie posiada dla tej osoby charakteru zawodowego, wówczas złożenie przez sprzedawcę tego oświadczenia jest równoznaczne z dysponowaniem przez sprzedawcę oświadczeniem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będącego konsumentem lub ww. osobą fizyczną, że ten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żąda rozpoczęcia świadczenia przez ACPRO usług dystrybucji energii elektrycznej przed upływem terminu 14 dni kalendarzowych na odstąpienie od umowy dystrybucji zawartej na odległość albo poza lokalem ACPRO, liczonego od dnia jej zawarcia.</w:t>
      </w:r>
    </w:p>
    <w:p w14:paraId="191BB9D6" w14:textId="77777777" w:rsidR="00202F16" w:rsidRPr="00EB2E7B" w:rsidRDefault="00202F16" w:rsidP="00C973C5">
      <w:pPr>
        <w:ind w:left="1134" w:firstLine="0"/>
        <w:rPr>
          <w:rFonts w:asciiTheme="minorHAnsi" w:hAnsiTheme="minorHAnsi" w:cstheme="minorHAnsi"/>
          <w:sz w:val="20"/>
          <w:szCs w:val="20"/>
        </w:rPr>
      </w:pPr>
      <w:r w:rsidRPr="00EB2E7B">
        <w:rPr>
          <w:rFonts w:asciiTheme="minorHAnsi" w:hAnsiTheme="minorHAnsi" w:cstheme="minorHAnsi"/>
          <w:sz w:val="20"/>
          <w:szCs w:val="20"/>
        </w:rPr>
        <w:t>Oświadczenie złożone przez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zgodnie ze wzorem, o którym mowa powyżej, może być także złożone za pomocą środków bezpośredniego porozumienia się na odległość. Na każde uzasadnione żądanie ACPRO, sprzedawca jest zobowiązany do przekazania ACPRO oświadczenia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albo kopii tego oświadczenia notarialnie poświadczonej za zgodność z oryginałem albo kopii tego oświadczenia poświadczonej za zgodność z oryginałem przez pełnomocnika sprzedawcy, nie później niż w terminie do 7 dni kalendarzowych od otrzymania żądania, w formie w jakiej to oświadczenie zostało złożone sprzedawcy.</w:t>
      </w:r>
    </w:p>
    <w:p w14:paraId="57B50B00" w14:textId="77777777" w:rsidR="00202F16" w:rsidRPr="00EB2E7B" w:rsidRDefault="00202F16" w:rsidP="00C973C5">
      <w:pPr>
        <w:ind w:left="1134" w:firstLine="0"/>
        <w:rPr>
          <w:rFonts w:asciiTheme="minorHAnsi" w:hAnsiTheme="minorHAnsi" w:cstheme="minorHAnsi"/>
          <w:sz w:val="20"/>
          <w:szCs w:val="20"/>
        </w:rPr>
      </w:pPr>
      <w:r w:rsidRPr="00EB2E7B">
        <w:rPr>
          <w:rFonts w:asciiTheme="minorHAnsi" w:hAnsiTheme="minorHAnsi" w:cstheme="minorHAnsi"/>
          <w:sz w:val="20"/>
          <w:szCs w:val="20"/>
        </w:rPr>
        <w:t>Przedłożenie może nastąpić za pośrednictwem operatora pocztowego, przesyłką kurierską lub w inny sposób ustalony między ACPRO a sprzedawcą.</w:t>
      </w:r>
    </w:p>
    <w:p w14:paraId="5773EB0C" w14:textId="77777777" w:rsidR="00202F16" w:rsidRPr="00EB2E7B" w:rsidRDefault="00202F16" w:rsidP="00C973C5">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ACPRO informuje sprzedawców posiadających zawarte GUD o zmianie wzoru oświadczenia wraz z odnośnikiem do miejsca jego opublikowania na stronie internetowej ACPRO, z co najmniej 10-dniowym wyprzedzeniem przed datą początku obowiązywania zmienionego wzoru oświadczenia. Informacja taka jest przekazywana na adres poczty elektronicznej sprzedawcy, wskazany w GUD. Zmiana wzoru oświadczenia przez ACPRO nie wymaga zmiany uzyskanych wcześniej oświadczeń, które pozostają nadal w mocy. Powyższe nie dotyczy przypadków wynikających ze zmian obowiązującego prawa. W razie rozbieżności pomiędzy treścią wzoru oświadczenia opublikowanego na stronie internetowej ACPRO, a treścią oświadczenia przekazanego sprzedawcy, sprzedawca pozyskuje od URD oświadczenie o treści zgodnej ze wzorem przekazanym sprzedawcy przez ACPRO. </w:t>
      </w:r>
    </w:p>
    <w:p w14:paraId="37B41AB5"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dla URDO posiadającego umowę kompleksową niebędącego URDO w gospodarstwie domowym oraz dla URDO w gospodarstwie domowym w przypadku, o którym mowa w pkt A.3.16., który chce zawrzeć umowę dystrybucji, dopuszcza się zawarcie umowy dystrybucji poprzez złożenie przez upoważnionego sprzedawcę działającego w imieniu i na rzecz URDO — wraz z powiadomieniem CSIRE o zawarciu umowy sprzedaży, o którym mowa w pkt D.2.4. — oświadczenia o posiadaniu oświadczenia woli tego URDO (według wzoru zamieszczonego na stronie internetowej ACPRO) obejmującego zgodę URDO na zawarcie umowy dystrybucji z ACPRO, na warunkach wynikających z:</w:t>
      </w:r>
    </w:p>
    <w:p w14:paraId="13716F9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lastRenderedPageBreak/>
        <w:t>a) wzoru umowy dystrybucji zamieszczonego na stronie internetowej ACPRO i stanowiącego integralną część wzoru oświadczenia,</w:t>
      </w:r>
    </w:p>
    <w:p w14:paraId="01D1D10A"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b) Taryfy ACPRO oraz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zamieszczonych na stronie internetowej ACPRO,</w:t>
      </w:r>
    </w:p>
    <w:p w14:paraId="694D2B6C"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c) dotychczasowej umowy kompleksowej w zakresie warunków technicznych świadczenia usług dystrybucji, grupy taryfowej oraz okresu rozliczeniowego, o ile postanowienia umowy kompleksowej w tym zakresie nie są sprzeczne z Taryfą ACPRO oraz wzorem umowy, o którym mowa w lit. a).</w:t>
      </w:r>
    </w:p>
    <w:p w14:paraId="5087B051"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W przypadku, o którym mowa w zdaniu pierwszym, sprzedawca, który nie dysponuje oświadczeniem, o którym mowa powyżej, nie może dokonać powiadomienia CSIRE o zawarciu umowy sprzedaży zgodnie z pkt D.2.4. Pod warunkiem złożenia przez sprzedawcę oświadczenia, o którym mowa w zdaniu pierwszym, zawarcie umowy dystrybucji pomiędzy URDO a ACPRO następuje, bez konieczności składania dodatkowych oświadczeń, z dniem przypisania w CSIRE do PPE umowy sprzedaży zgłoszonej zgodnie z pkt D.2.</w:t>
      </w:r>
    </w:p>
    <w:p w14:paraId="0083FB5B"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W terminie 14 dni kalendarzowych od dnia jej zawarcia ACPRO wysyła do URDO potwierdzenie treści zawartej umowy dystrybucji.</w:t>
      </w:r>
    </w:p>
    <w:p w14:paraId="624E830F"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W przypadku, gdy oświadczenie, o którym mowa powyżej, dotyczy URDO będącego konsumentem lub osobą fizyczną, o której mowa w art. 7aa ustawy o prawach konsumenta, tj. zawierającą umowę dystrybucji bezpośrednio związaną z jej działalnością gospodarczą, gdy ta umowa nie posiada dla tej osoby charakteru zawodowego, wówczas złożenie przez sprzedawcę tego oświadczenia jest równoznaczne z dysponowaniem przez sprzedawcę oświadczeniem URDO będącego konsumentem lub ww. osobą fizyczną, że ten URDO żąda rozpoczęcia świadczenia przez ACPRO usług dystrybucji energii elektrycznej przed upływem terminu 14 dni kalendarzowych na odstąpienie od umowy dystrybucji zawartej na odległość albo poza lokalem ACPRO, liczonego od dnia jej zawarcia.</w:t>
      </w:r>
    </w:p>
    <w:p w14:paraId="7906CEB5"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Oświadczenie złożone przez URDO zgodnie ze wzorem, o którym mowa powyżej, może być także złożone za pomocą środków bezpośredniego porozumiewania się na odległość. Na każde uzasadnione żądanie ACPRO sprzedawca jest zobowiązany do przekazania ACPRO oświadczenia URDO albo kopii tego oświadczenia notarialnie poświadczonej za zgodność z oryginałem, albo kopii poświadczonej za zgodność z oryginałem przez pełnomocnika sprzedawcy, nie później niż w terminie do 7 dni kalendarzowych od otrzymania żądania, w formie w jakiej to oświadczenie zostało złożone sprzedawcy. Przedłożenie może nastąpić za pośrednictwem operatora pocztowego, przesyłką kurierską lub w inny sposób ustalony między ACPRO a sprzedawcą.</w:t>
      </w:r>
    </w:p>
    <w:p w14:paraId="1534EF84"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ACPRO informuje sprzedawców posiadających zawarte GUD o zmianie wzoru oświadczenia wraz z odnośnikiem do miejsca jego opublikowania na stronie internetowej ACPRO, z co najmniej 10-dniowym wyprzedzeniem przed datą początku obowiązywania zmienionego wzoru oświadczenia. Informacja taka jest przekazywana na adres poczty elektronicznej sprzedawcy wskazany w GUD. Zmiana wzoru oświadczenia przez ACPRO nie wymaga zmiany uzyskanych wcześniej oświadczeń, które pozostają nadal w mocy. Powyższe nie dotyczy przypadków wynikających ze zmian obowiązującego prawa. W razie rozbieżności pomiędzy treścią wzoru oświadczenia opublikowanego na stronie internetowej ACPRO a treścią oświadczenia przekazanego sprzedawcy, sprzedawca pozyskuje od URD oświadczenie o treści zgodnej ze wzorem przekazanym sprzedawcy przez ACPRO.</w:t>
      </w:r>
    </w:p>
    <w:p w14:paraId="2FE17FEE" w14:textId="668CBE78" w:rsidR="00831C7F" w:rsidRPr="00EB2E7B" w:rsidRDefault="00831C7F" w:rsidP="0024189C">
      <w:pPr>
        <w:pStyle w:val="ANagwek2"/>
        <w:rPr>
          <w:rFonts w:asciiTheme="minorHAnsi" w:hAnsiTheme="minorHAnsi" w:cstheme="minorHAnsi"/>
          <w:b w:val="0"/>
          <w:sz w:val="20"/>
          <w:szCs w:val="20"/>
        </w:rPr>
      </w:pPr>
      <w:bookmarkStart w:id="526" w:name="_Toc189833764"/>
      <w:bookmarkStart w:id="527" w:name="_Toc239333382"/>
      <w:r w:rsidRPr="00EB2E7B">
        <w:rPr>
          <w:rFonts w:asciiTheme="minorHAnsi" w:hAnsiTheme="minorHAnsi" w:cstheme="minorHAnsi"/>
          <w:b w:val="0"/>
          <w:sz w:val="20"/>
          <w:szCs w:val="20"/>
        </w:rPr>
        <w:t xml:space="preserve">W przypadku </w:t>
      </w:r>
      <w:proofErr w:type="spellStart"/>
      <w:r w:rsidRPr="00EB2E7B">
        <w:rPr>
          <w:rFonts w:asciiTheme="minorHAnsi" w:hAnsiTheme="minorHAnsi" w:cstheme="minorHAnsi"/>
          <w:b w:val="0"/>
          <w:sz w:val="20"/>
          <w:szCs w:val="20"/>
        </w:rPr>
        <w:t>URDw</w:t>
      </w:r>
      <w:proofErr w:type="spellEnd"/>
      <w:r w:rsidRPr="00EB2E7B">
        <w:rPr>
          <w:rFonts w:asciiTheme="minorHAnsi" w:hAnsiTheme="minorHAnsi" w:cstheme="minorHAnsi"/>
          <w:b w:val="0"/>
          <w:sz w:val="20"/>
          <w:szCs w:val="20"/>
        </w:rPr>
        <w:t xml:space="preserve">, umowa dystrybucji jest zawierana na wniosek, złożony na wzorze, o którym mowa w pkt. </w:t>
      </w:r>
      <w:r w:rsidR="00CD51A1" w:rsidRPr="00EB2E7B">
        <w:rPr>
          <w:rFonts w:asciiTheme="minorHAnsi" w:hAnsiTheme="minorHAnsi" w:cstheme="minorHAnsi"/>
          <w:b w:val="0"/>
          <w:sz w:val="20"/>
          <w:szCs w:val="20"/>
        </w:rPr>
        <w:fldChar w:fldCharType="begin"/>
      </w:r>
      <w:r w:rsidR="00CD51A1" w:rsidRPr="00EB2E7B">
        <w:rPr>
          <w:rFonts w:asciiTheme="minorHAnsi" w:hAnsiTheme="minorHAnsi" w:cstheme="minorHAnsi"/>
          <w:b w:val="0"/>
          <w:sz w:val="20"/>
          <w:szCs w:val="20"/>
        </w:rPr>
        <w:instrText xml:space="preserve"> REF _Ref190114905 \w \h </w:instrText>
      </w:r>
      <w:r w:rsidR="004F4931" w:rsidRPr="00EB2E7B">
        <w:rPr>
          <w:rFonts w:asciiTheme="minorHAnsi" w:hAnsiTheme="minorHAnsi" w:cstheme="minorHAnsi"/>
          <w:b w:val="0"/>
          <w:bCs w:val="0"/>
          <w:sz w:val="20"/>
          <w:szCs w:val="20"/>
        </w:rPr>
        <w:instrText xml:space="preserve"> \* MERGEFORMAT </w:instrText>
      </w:r>
      <w:r w:rsidR="00CD51A1" w:rsidRPr="00EB2E7B">
        <w:rPr>
          <w:rFonts w:asciiTheme="minorHAnsi" w:hAnsiTheme="minorHAnsi" w:cstheme="minorHAnsi"/>
          <w:b w:val="0"/>
          <w:sz w:val="20"/>
          <w:szCs w:val="20"/>
        </w:rPr>
      </w:r>
      <w:r w:rsidR="00CD51A1"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B.1</w:t>
      </w:r>
      <w:r w:rsidR="00CD51A1"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po wskazaniu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przez </w:t>
      </w:r>
      <w:proofErr w:type="spellStart"/>
      <w:r w:rsidRPr="00EB2E7B">
        <w:rPr>
          <w:rFonts w:asciiTheme="minorHAnsi" w:hAnsiTheme="minorHAnsi" w:cstheme="minorHAnsi"/>
          <w:b w:val="0"/>
          <w:sz w:val="20"/>
          <w:szCs w:val="20"/>
        </w:rPr>
        <w:t>URDw</w:t>
      </w:r>
      <w:proofErr w:type="spellEnd"/>
      <w:r w:rsidRPr="00EB2E7B">
        <w:rPr>
          <w:rFonts w:asciiTheme="minorHAnsi" w:hAnsiTheme="minorHAnsi" w:cstheme="minorHAnsi"/>
          <w:b w:val="0"/>
          <w:sz w:val="20"/>
          <w:szCs w:val="20"/>
        </w:rPr>
        <w:t>.</w:t>
      </w:r>
      <w:bookmarkEnd w:id="526"/>
      <w:bookmarkEnd w:id="527"/>
    </w:p>
    <w:p w14:paraId="1CEE962A" w14:textId="38E6B54A" w:rsidR="00831C7F" w:rsidRPr="00EB2E7B" w:rsidRDefault="00831C7F" w:rsidP="00442E76">
      <w:pPr>
        <w:ind w:left="1134"/>
        <w:rPr>
          <w:rFonts w:asciiTheme="minorHAnsi" w:hAnsiTheme="minorHAnsi" w:cstheme="minorHAnsi"/>
          <w:sz w:val="20"/>
          <w:szCs w:val="20"/>
        </w:rPr>
      </w:pPr>
      <w:r w:rsidRPr="00EB2E7B">
        <w:rPr>
          <w:rFonts w:asciiTheme="minorHAnsi" w:hAnsiTheme="minorHAnsi" w:cstheme="minorHAnsi"/>
          <w:sz w:val="20"/>
          <w:szCs w:val="20"/>
        </w:rPr>
        <w:lastRenderedPageBreak/>
        <w:t>Wskazanie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następuje zgodnie z zapisami rozdziału </w:t>
      </w:r>
      <w:r w:rsidR="004F4931" w:rsidRPr="00EB2E7B">
        <w:rPr>
          <w:rFonts w:asciiTheme="minorHAnsi" w:hAnsiTheme="minorHAnsi" w:cstheme="minorHAnsi"/>
          <w:sz w:val="20"/>
          <w:szCs w:val="20"/>
        </w:rPr>
        <w:fldChar w:fldCharType="begin"/>
      </w:r>
      <w:r w:rsidR="004F4931" w:rsidRPr="00EB2E7B">
        <w:rPr>
          <w:rFonts w:asciiTheme="minorHAnsi" w:hAnsiTheme="minorHAnsi" w:cstheme="minorHAnsi"/>
          <w:sz w:val="20"/>
          <w:szCs w:val="20"/>
        </w:rPr>
        <w:instrText xml:space="preserve"> REF _Ref190114964 \w \h  \* MERGEFORMAT </w:instrText>
      </w:r>
      <w:r w:rsidR="004F4931" w:rsidRPr="00EB2E7B">
        <w:rPr>
          <w:rFonts w:asciiTheme="minorHAnsi" w:hAnsiTheme="minorHAnsi" w:cstheme="minorHAnsi"/>
          <w:sz w:val="20"/>
          <w:szCs w:val="20"/>
        </w:rPr>
      </w:r>
      <w:r w:rsidR="004F493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E</w:t>
      </w:r>
      <w:r w:rsidR="004F4931"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6AD09F17" w14:textId="09F57244" w:rsidR="002916CC" w:rsidRPr="00EB2E7B" w:rsidRDefault="00112E75" w:rsidP="0024189C">
      <w:pPr>
        <w:pStyle w:val="ANagwek2"/>
        <w:rPr>
          <w:rFonts w:asciiTheme="minorHAnsi" w:hAnsiTheme="minorHAnsi" w:cstheme="minorHAnsi"/>
          <w:b w:val="0"/>
          <w:sz w:val="20"/>
          <w:szCs w:val="20"/>
        </w:rPr>
      </w:pPr>
      <w:bookmarkStart w:id="528" w:name="_Toc239333383"/>
      <w:bookmarkStart w:id="529" w:name="_Toc189833765"/>
      <w:bookmarkStart w:id="530" w:name="_Ref190116439"/>
      <w:r w:rsidRPr="00EB2E7B">
        <w:rPr>
          <w:rFonts w:asciiTheme="minorHAnsi" w:hAnsiTheme="minorHAnsi" w:cstheme="minorHAnsi"/>
          <w:b w:val="0"/>
          <w:sz w:val="20"/>
          <w:szCs w:val="20"/>
        </w:rPr>
        <w:t>W przypadku złożenia przez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wniosku opisanego w pkt </w:t>
      </w:r>
      <w:r w:rsidR="004F4931" w:rsidRPr="00EB2E7B">
        <w:rPr>
          <w:rFonts w:asciiTheme="minorHAnsi" w:hAnsiTheme="minorHAnsi" w:cstheme="minorHAnsi"/>
          <w:b w:val="0"/>
          <w:bCs w:val="0"/>
          <w:sz w:val="20"/>
          <w:szCs w:val="20"/>
        </w:rPr>
        <w:fldChar w:fldCharType="begin"/>
      </w:r>
      <w:r w:rsidR="004F4931" w:rsidRPr="00EB2E7B">
        <w:rPr>
          <w:rFonts w:asciiTheme="minorHAnsi" w:hAnsiTheme="minorHAnsi" w:cstheme="minorHAnsi"/>
          <w:b w:val="0"/>
          <w:bCs w:val="0"/>
          <w:sz w:val="20"/>
          <w:szCs w:val="20"/>
        </w:rPr>
        <w:instrText xml:space="preserve"> REF _Ref190114905 \w \h  \* MERGEFORMAT </w:instrText>
      </w:r>
      <w:r w:rsidR="004F4931" w:rsidRPr="00EB2E7B">
        <w:rPr>
          <w:rFonts w:asciiTheme="minorHAnsi" w:hAnsiTheme="minorHAnsi" w:cstheme="minorHAnsi"/>
          <w:b w:val="0"/>
          <w:bCs w:val="0"/>
          <w:sz w:val="20"/>
          <w:szCs w:val="20"/>
        </w:rPr>
      </w:r>
      <w:r w:rsidR="004F4931"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B.1</w:t>
      </w:r>
      <w:r w:rsidR="004F4931" w:rsidRPr="00EB2E7B">
        <w:rPr>
          <w:rFonts w:asciiTheme="minorHAnsi" w:hAnsiTheme="minorHAnsi" w:cstheme="minorHAnsi"/>
          <w:b w:val="0"/>
          <w:bCs w:val="0"/>
          <w:sz w:val="20"/>
          <w:szCs w:val="20"/>
        </w:rPr>
        <w:fldChar w:fldCharType="end"/>
      </w:r>
      <w:r w:rsidRPr="00EB2E7B">
        <w:rPr>
          <w:rFonts w:asciiTheme="minorHAnsi" w:hAnsiTheme="minorHAnsi" w:cstheme="minorHAnsi"/>
          <w:b w:val="0"/>
          <w:sz w:val="20"/>
          <w:szCs w:val="20"/>
        </w:rPr>
        <w:t xml:space="preserve">. </w:t>
      </w:r>
      <w:r w:rsidR="00232DA9" w:rsidRPr="00EB2E7B">
        <w:rPr>
          <w:rFonts w:asciiTheme="minorHAnsi" w:hAnsiTheme="minorHAnsi" w:cstheme="minorHAnsi"/>
          <w:b w:val="0"/>
          <w:sz w:val="20"/>
          <w:szCs w:val="20"/>
        </w:rPr>
        <w:t>ACPRO</w:t>
      </w:r>
      <w:r w:rsidR="0077111A" w:rsidRPr="00EB2E7B">
        <w:rPr>
          <w:rFonts w:asciiTheme="minorHAnsi" w:hAnsiTheme="minorHAnsi" w:cstheme="minorHAnsi"/>
          <w:b w:val="0"/>
          <w:sz w:val="20"/>
          <w:szCs w:val="20"/>
        </w:rPr>
        <w:t xml:space="preserve"> w terminie:</w:t>
      </w:r>
      <w:bookmarkEnd w:id="524"/>
      <w:bookmarkEnd w:id="528"/>
      <w:r w:rsidR="0077111A" w:rsidRPr="00EB2E7B">
        <w:rPr>
          <w:rFonts w:asciiTheme="minorHAnsi" w:hAnsiTheme="minorHAnsi" w:cstheme="minorHAnsi"/>
          <w:b w:val="0"/>
          <w:sz w:val="20"/>
          <w:szCs w:val="20"/>
        </w:rPr>
        <w:t xml:space="preserve"> </w:t>
      </w:r>
      <w:bookmarkEnd w:id="529"/>
      <w:bookmarkEnd w:id="530"/>
    </w:p>
    <w:p w14:paraId="60742200" w14:textId="29C6CA96" w:rsidR="00473957" w:rsidRPr="00EB2E7B" w:rsidRDefault="00064935" w:rsidP="00864306">
      <w:pPr>
        <w:pStyle w:val="1przed"/>
        <w:numPr>
          <w:ilvl w:val="0"/>
          <w:numId w:val="287"/>
        </w:numPr>
        <w:ind w:left="1701" w:hanging="567"/>
        <w:rPr>
          <w:rFonts w:asciiTheme="minorHAnsi" w:hAnsiTheme="minorHAnsi" w:cstheme="minorHAnsi"/>
          <w:sz w:val="20"/>
          <w:szCs w:val="20"/>
        </w:rPr>
      </w:pPr>
      <w:bookmarkStart w:id="531" w:name="_Ref75525122"/>
      <w:r w:rsidRPr="00EB2E7B">
        <w:rPr>
          <w:rFonts w:asciiTheme="minorHAnsi" w:hAnsiTheme="minorHAnsi" w:cstheme="minorHAnsi"/>
          <w:sz w:val="20"/>
          <w:szCs w:val="20"/>
        </w:rPr>
        <w:t>do 14 dni kalendarzowych od dnia złożenia wniosku o zawarcie umowy – dla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zakwalifikowanych do V grupy przyłączeniowej</w:t>
      </w:r>
      <w:r w:rsidR="0077111A" w:rsidRPr="00EB2E7B">
        <w:rPr>
          <w:rFonts w:asciiTheme="minorHAnsi" w:hAnsiTheme="minorHAnsi" w:cstheme="minorHAnsi"/>
          <w:sz w:val="20"/>
          <w:szCs w:val="20"/>
        </w:rPr>
        <w:t>,</w:t>
      </w:r>
      <w:bookmarkEnd w:id="531"/>
      <w:r w:rsidR="0077111A" w:rsidRPr="00EB2E7B">
        <w:rPr>
          <w:rFonts w:asciiTheme="minorHAnsi" w:hAnsiTheme="minorHAnsi" w:cstheme="minorHAnsi"/>
          <w:sz w:val="20"/>
          <w:szCs w:val="20"/>
        </w:rPr>
        <w:t xml:space="preserve"> </w:t>
      </w:r>
    </w:p>
    <w:p w14:paraId="62494286" w14:textId="6C8D52D9" w:rsidR="002916CC" w:rsidRPr="00EB2E7B" w:rsidRDefault="00064935" w:rsidP="00864306">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do 21 dni kalendarzowych od dnia złożenia wniosku o zawarcie umowy – dla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innych niż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95206A" w:rsidRPr="00EB2E7B">
        <w:rPr>
          <w:rFonts w:asciiTheme="minorHAnsi" w:hAnsiTheme="minorHAnsi" w:cstheme="minorHAnsi"/>
          <w:sz w:val="20"/>
          <w:szCs w:val="20"/>
        </w:rPr>
        <w:fldChar w:fldCharType="begin"/>
      </w:r>
      <w:r w:rsidR="0095206A" w:rsidRPr="00EB2E7B">
        <w:rPr>
          <w:rFonts w:asciiTheme="minorHAnsi" w:hAnsiTheme="minorHAnsi" w:cstheme="minorHAnsi"/>
          <w:sz w:val="20"/>
          <w:szCs w:val="20"/>
        </w:rPr>
        <w:instrText xml:space="preserve"> REF _Ref75525122 \w \h  \* MERGEFORMAT </w:instrText>
      </w:r>
      <w:r w:rsidR="0095206A" w:rsidRPr="00EB2E7B">
        <w:rPr>
          <w:rFonts w:asciiTheme="minorHAnsi" w:hAnsiTheme="minorHAnsi" w:cstheme="minorHAnsi"/>
          <w:sz w:val="20"/>
          <w:szCs w:val="20"/>
        </w:rPr>
      </w:r>
      <w:r w:rsidR="0095206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95206A" w:rsidRPr="00EB2E7B">
        <w:rPr>
          <w:rFonts w:asciiTheme="minorHAnsi" w:hAnsiTheme="minorHAnsi" w:cstheme="minorHAnsi"/>
          <w:sz w:val="20"/>
          <w:szCs w:val="20"/>
        </w:rPr>
        <w:fldChar w:fldCharType="end"/>
      </w:r>
    </w:p>
    <w:p w14:paraId="2F89F76E" w14:textId="77777777" w:rsidR="00473957" w:rsidRPr="00EB2E7B" w:rsidRDefault="0077111A" w:rsidP="005C4E79">
      <w:pPr>
        <w:ind w:left="1134"/>
        <w:rPr>
          <w:rFonts w:asciiTheme="minorHAnsi" w:hAnsiTheme="minorHAnsi" w:cstheme="minorHAnsi"/>
          <w:sz w:val="20"/>
          <w:szCs w:val="20"/>
        </w:rPr>
      </w:pPr>
      <w:r w:rsidRPr="00EB2E7B">
        <w:rPr>
          <w:rFonts w:asciiTheme="minorHAnsi" w:hAnsiTheme="minorHAnsi" w:cstheme="minorHAnsi"/>
          <w:sz w:val="20"/>
          <w:szCs w:val="20"/>
        </w:rPr>
        <w:t xml:space="preserve">wysyła: </w:t>
      </w:r>
    </w:p>
    <w:p w14:paraId="5AE60E40" w14:textId="2757F1F9" w:rsidR="002916CC" w:rsidRPr="00EB2E7B" w:rsidRDefault="00064935" w:rsidP="000E40AE">
      <w:pPr>
        <w:pStyle w:val="apo"/>
        <w:numPr>
          <w:ilvl w:val="0"/>
          <w:numId w:val="288"/>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parafowaną umowę dystrybucji w formie papierowej, na adres wskazany przez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we wniosku o zawarcie umowy, albo</w:t>
      </w:r>
    </w:p>
    <w:p w14:paraId="00ADC4F2" w14:textId="1500A910" w:rsidR="007F095B" w:rsidRPr="00EB2E7B" w:rsidRDefault="00064935" w:rsidP="000E40AE">
      <w:pPr>
        <w:pStyle w:val="apo"/>
        <w:numPr>
          <w:ilvl w:val="0"/>
          <w:numId w:val="288"/>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umowę dystrybucji w formie elektronicznej na adres poczty elektronicznej wskazany przez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we wniosku o zawarcie umowy.</w:t>
      </w:r>
      <w:r w:rsidR="0077111A" w:rsidRPr="00EB2E7B">
        <w:rPr>
          <w:rFonts w:asciiTheme="minorHAnsi" w:hAnsiTheme="minorHAnsi" w:cstheme="minorHAnsi"/>
          <w:sz w:val="20"/>
          <w:szCs w:val="20"/>
        </w:rPr>
        <w:t xml:space="preserve"> </w:t>
      </w:r>
    </w:p>
    <w:p w14:paraId="1097EEFC" w14:textId="048BF81F" w:rsidR="00F25B06" w:rsidRPr="00EB2E7B" w:rsidRDefault="00F043D2" w:rsidP="005C4E79">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złożenia wniosku o zawarcie umowy przez </w:t>
      </w:r>
      <w:proofErr w:type="spellStart"/>
      <w:r w:rsidRPr="00EB2E7B">
        <w:rPr>
          <w:rFonts w:asciiTheme="minorHAnsi" w:hAnsiTheme="minorHAnsi" w:cstheme="minorHAnsi"/>
          <w:sz w:val="20"/>
          <w:szCs w:val="20"/>
        </w:rPr>
        <w:t>URD</w:t>
      </w:r>
      <w:r w:rsidR="005C4E79" w:rsidRPr="00EB2E7B">
        <w:rPr>
          <w:rFonts w:asciiTheme="minorHAnsi" w:hAnsiTheme="minorHAnsi" w:cstheme="minorHAnsi"/>
          <w:sz w:val="20"/>
          <w:szCs w:val="20"/>
        </w:rPr>
        <w:t>o</w:t>
      </w:r>
      <w:proofErr w:type="spellEnd"/>
      <w:r w:rsidRPr="00EB2E7B">
        <w:rPr>
          <w:rFonts w:asciiTheme="minorHAnsi" w:hAnsiTheme="minorHAnsi" w:cstheme="minorHAnsi"/>
          <w:sz w:val="20"/>
          <w:szCs w:val="20"/>
        </w:rPr>
        <w:t xml:space="preserve"> w gospodarstwie domowym, w tym przez Prosumenta, Prosumenta zbiorowego lub Prosumenta wirtualnego będącego </w:t>
      </w:r>
      <w:proofErr w:type="spellStart"/>
      <w:r w:rsidRPr="00EB2E7B">
        <w:rPr>
          <w:rFonts w:asciiTheme="minorHAnsi" w:hAnsiTheme="minorHAnsi" w:cstheme="minorHAnsi"/>
          <w:sz w:val="20"/>
          <w:szCs w:val="20"/>
        </w:rPr>
        <w:t>URD</w:t>
      </w:r>
      <w:r w:rsidR="005C4E79" w:rsidRPr="00EB2E7B">
        <w:rPr>
          <w:rFonts w:asciiTheme="minorHAnsi" w:hAnsiTheme="minorHAnsi" w:cstheme="minorHAnsi"/>
          <w:sz w:val="20"/>
          <w:szCs w:val="20"/>
        </w:rPr>
        <w:t>o</w:t>
      </w:r>
      <w:proofErr w:type="spellEnd"/>
      <w:r w:rsidRPr="00EB2E7B">
        <w:rPr>
          <w:rFonts w:asciiTheme="minorHAnsi" w:hAnsiTheme="minorHAnsi" w:cstheme="minorHAnsi"/>
          <w:sz w:val="20"/>
          <w:szCs w:val="20"/>
        </w:rPr>
        <w:t xml:space="preserve"> w gospodarstwie domowym, ACPRO w terminie 14 dni kalendarzowych od dnia złożenia tego wniosku wysyła informację o negatywnej weryfikacji na adres wskazany we wniosku. </w:t>
      </w:r>
    </w:p>
    <w:p w14:paraId="7164CC20" w14:textId="7048764E" w:rsidR="00107F90" w:rsidRPr="00EB2E7B" w:rsidRDefault="00107F90" w:rsidP="005C4E79">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Podpisana jednostronnie przez </w:t>
      </w:r>
      <w:proofErr w:type="spellStart"/>
      <w:r w:rsidRPr="00EB2E7B">
        <w:rPr>
          <w:rFonts w:asciiTheme="minorHAnsi" w:hAnsiTheme="minorHAnsi" w:cstheme="minorHAnsi"/>
          <w:sz w:val="20"/>
          <w:szCs w:val="20"/>
        </w:rPr>
        <w:t>URD</w:t>
      </w:r>
      <w:r w:rsidR="005C4E79" w:rsidRPr="00EB2E7B">
        <w:rPr>
          <w:rFonts w:asciiTheme="minorHAnsi" w:hAnsiTheme="minorHAnsi" w:cstheme="minorHAnsi"/>
          <w:sz w:val="20"/>
          <w:szCs w:val="20"/>
        </w:rPr>
        <w:t>o</w:t>
      </w:r>
      <w:proofErr w:type="spellEnd"/>
      <w:r w:rsidRPr="00EB2E7B">
        <w:rPr>
          <w:rFonts w:asciiTheme="minorHAnsi" w:hAnsiTheme="minorHAnsi" w:cstheme="minorHAnsi"/>
          <w:sz w:val="20"/>
          <w:szCs w:val="20"/>
        </w:rPr>
        <w:t xml:space="preserve"> umowa dystrybucji, w treści wysłanej przez ACPRO i uzgodnionej przez ACPRO i </w:t>
      </w:r>
      <w:proofErr w:type="spellStart"/>
      <w:r w:rsidRPr="00EB2E7B">
        <w:rPr>
          <w:rFonts w:asciiTheme="minorHAnsi" w:hAnsiTheme="minorHAnsi" w:cstheme="minorHAnsi"/>
          <w:sz w:val="20"/>
          <w:szCs w:val="20"/>
        </w:rPr>
        <w:t>URD</w:t>
      </w:r>
      <w:r w:rsidR="005C4E79" w:rsidRPr="00EB2E7B">
        <w:rPr>
          <w:rFonts w:asciiTheme="minorHAnsi" w:hAnsiTheme="minorHAnsi" w:cstheme="minorHAnsi"/>
          <w:sz w:val="20"/>
          <w:szCs w:val="20"/>
        </w:rPr>
        <w:t>o</w:t>
      </w:r>
      <w:proofErr w:type="spellEnd"/>
      <w:r w:rsidRPr="00EB2E7B">
        <w:rPr>
          <w:rFonts w:asciiTheme="minorHAnsi" w:hAnsiTheme="minorHAnsi" w:cstheme="minorHAnsi"/>
          <w:sz w:val="20"/>
          <w:szCs w:val="20"/>
        </w:rPr>
        <w:t xml:space="preserve">, powinna być dostarczona ACPRO nie później niż do dnia otrzymania przez ACPRO powiadomienia, o którym mowa w pkt </w:t>
      </w:r>
      <w:r w:rsidR="0095206A" w:rsidRPr="00EB2E7B">
        <w:rPr>
          <w:rFonts w:asciiTheme="minorHAnsi" w:hAnsiTheme="minorHAnsi" w:cstheme="minorHAnsi"/>
          <w:sz w:val="20"/>
          <w:szCs w:val="20"/>
        </w:rPr>
        <w:fldChar w:fldCharType="begin"/>
      </w:r>
      <w:r w:rsidR="0095206A" w:rsidRPr="00EB2E7B">
        <w:rPr>
          <w:rFonts w:asciiTheme="minorHAnsi" w:hAnsiTheme="minorHAnsi" w:cstheme="minorHAnsi"/>
          <w:sz w:val="20"/>
          <w:szCs w:val="20"/>
        </w:rPr>
        <w:instrText xml:space="preserve"> REF _Ref183180640 \w \h  \* MERGEFORMAT </w:instrText>
      </w:r>
      <w:r w:rsidR="0095206A" w:rsidRPr="00EB2E7B">
        <w:rPr>
          <w:rFonts w:asciiTheme="minorHAnsi" w:hAnsiTheme="minorHAnsi" w:cstheme="minorHAnsi"/>
          <w:sz w:val="20"/>
          <w:szCs w:val="20"/>
        </w:rPr>
      </w:r>
      <w:r w:rsidR="0095206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95206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z</w:t>
      </w:r>
      <w:r w:rsidR="008B2F31" w:rsidRPr="00EB2E7B">
        <w:rPr>
          <w:rFonts w:asciiTheme="minorHAnsi" w:hAnsiTheme="minorHAnsi" w:cstheme="minorHAnsi"/>
          <w:sz w:val="20"/>
          <w:szCs w:val="20"/>
        </w:rPr>
        <w:t> </w:t>
      </w:r>
      <w:r w:rsidRPr="00EB2E7B">
        <w:rPr>
          <w:rFonts w:asciiTheme="minorHAnsi" w:hAnsiTheme="minorHAnsi" w:cstheme="minorHAnsi"/>
          <w:sz w:val="20"/>
          <w:szCs w:val="20"/>
        </w:rPr>
        <w:t xml:space="preserve">zastrzeżeniem pkt </w:t>
      </w:r>
      <w:r w:rsidR="0095206A" w:rsidRPr="00EB2E7B">
        <w:rPr>
          <w:rFonts w:asciiTheme="minorHAnsi" w:hAnsiTheme="minorHAnsi" w:cstheme="minorHAnsi"/>
          <w:sz w:val="20"/>
          <w:szCs w:val="20"/>
        </w:rPr>
        <w:fldChar w:fldCharType="begin"/>
      </w:r>
      <w:r w:rsidR="0095206A" w:rsidRPr="00EB2E7B">
        <w:rPr>
          <w:rFonts w:asciiTheme="minorHAnsi" w:hAnsiTheme="minorHAnsi" w:cstheme="minorHAnsi"/>
          <w:sz w:val="20"/>
          <w:szCs w:val="20"/>
        </w:rPr>
        <w:instrText xml:space="preserve"> REF _Ref190115043 \w \h  \* MERGEFORMAT </w:instrText>
      </w:r>
      <w:r w:rsidR="0095206A" w:rsidRPr="00EB2E7B">
        <w:rPr>
          <w:rFonts w:asciiTheme="minorHAnsi" w:hAnsiTheme="minorHAnsi" w:cstheme="minorHAnsi"/>
          <w:sz w:val="20"/>
          <w:szCs w:val="20"/>
        </w:rPr>
      </w:r>
      <w:r w:rsidR="0095206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B.2</w:t>
      </w:r>
      <w:r w:rsidR="0095206A"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AD554E0"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podpisana jednostronnie przez URDO umowa dystrybucji, w treści wysłanej przez ACPRO i uzgodnionej przez ACPRO i URDO, powinna być dostarczona do ACPRO przed zgłoszeniem przez sprzedawcę umowy sprzedaży do CSIRE.</w:t>
      </w:r>
    </w:p>
    <w:p w14:paraId="7D551A15" w14:textId="0F55C4C9" w:rsidR="00107F90" w:rsidRPr="00EB2E7B" w:rsidRDefault="00107F90" w:rsidP="005C4E79">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gdy Prosument, Prosument zbiorowy lub Prosument wirtualny nie będący </w:t>
      </w:r>
      <w:proofErr w:type="spellStart"/>
      <w:r w:rsidRPr="00EB2E7B">
        <w:rPr>
          <w:rFonts w:asciiTheme="minorHAnsi" w:hAnsiTheme="minorHAnsi" w:cstheme="minorHAnsi"/>
          <w:sz w:val="20"/>
          <w:szCs w:val="20"/>
        </w:rPr>
        <w:t>URD</w:t>
      </w:r>
      <w:r w:rsidR="005C4E79" w:rsidRPr="00EB2E7B">
        <w:rPr>
          <w:rFonts w:asciiTheme="minorHAnsi" w:hAnsiTheme="minorHAnsi" w:cstheme="minorHAnsi"/>
          <w:sz w:val="20"/>
          <w:szCs w:val="20"/>
        </w:rPr>
        <w:t>o</w:t>
      </w:r>
      <w:proofErr w:type="spellEnd"/>
      <w:r w:rsidRPr="00EB2E7B">
        <w:rPr>
          <w:rFonts w:asciiTheme="minorHAnsi" w:hAnsiTheme="minorHAnsi" w:cstheme="minorHAnsi"/>
          <w:sz w:val="20"/>
          <w:szCs w:val="20"/>
        </w:rPr>
        <w:t xml:space="preserve"> w gospodarstwie domowym zawrze umowę sprzedaży ze sprzedawcą, o którym mowa w art. 40 ust. 1a Ustawy OZE, ACPRO zawrze z tym prosumentem umowę dystrybucji lub dokona zmiany zawartej umowy dystrybucji w terminie 21 dni kalendarzowych od dnia złożenia przez ww. prosumenta wniosku o zawarcie lub zmianę umowy dystrybucji.</w:t>
      </w:r>
    </w:p>
    <w:p w14:paraId="5525D883"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w przypadku, gdy Prosument, Prosument zbiorowy lub Prosument wirtualny niebędący URDO w gospodarstwie domowym, albo będący URDO w gospodarstwie domowym w przypadku, o którym mowa w pkt A.3.16., zawrze umowę sprzedaży ze sprzedawcą, o którym mowa w art. 40 ust. 1a Ustawy OZE, ACPRO zawrze z tym prosumentem umowę dystrybucji lub dokona zmiany zawartej umowy dystrybucji w terminie 21 dni kalendarzowych od dnia złożenia przez ww. prosumenta wniosku o zawarcie lub zmianę umowy dystrybucji.</w:t>
      </w:r>
    </w:p>
    <w:p w14:paraId="5376EBB6" w14:textId="4FE5AE53" w:rsidR="00473957" w:rsidRPr="00EB2E7B" w:rsidRDefault="0077111A" w:rsidP="0024189C">
      <w:pPr>
        <w:pStyle w:val="ANagwek2"/>
        <w:rPr>
          <w:rFonts w:asciiTheme="minorHAnsi" w:hAnsiTheme="minorHAnsi" w:cstheme="minorHAnsi"/>
          <w:b w:val="0"/>
          <w:sz w:val="20"/>
          <w:szCs w:val="20"/>
        </w:rPr>
      </w:pPr>
      <w:bookmarkStart w:id="532" w:name="_Toc189833766"/>
      <w:bookmarkStart w:id="533" w:name="_Ref190115300"/>
      <w:bookmarkStart w:id="534" w:name="_Toc239333384"/>
      <w:r w:rsidRPr="00EB2E7B">
        <w:rPr>
          <w:rFonts w:asciiTheme="minorHAnsi" w:hAnsiTheme="minorHAnsi" w:cstheme="minorHAnsi"/>
          <w:b w:val="0"/>
          <w:sz w:val="20"/>
          <w:szCs w:val="20"/>
        </w:rPr>
        <w:t xml:space="preserve">Umowa dystrybucji wchodzi w życie w dniu rozpoczęcia sprzedaży energii przez sprzedawcę </w:t>
      </w:r>
      <w:r w:rsidR="00D51E5F" w:rsidRPr="00EB2E7B">
        <w:rPr>
          <w:rFonts w:asciiTheme="minorHAnsi" w:hAnsiTheme="minorHAnsi" w:cstheme="minorHAnsi"/>
          <w:b w:val="0"/>
          <w:sz w:val="20"/>
          <w:szCs w:val="20"/>
        </w:rPr>
        <w:t xml:space="preserve"> po wypełnieniu procedury, o której mowa w rozdziale </w:t>
      </w:r>
      <w:r w:rsidR="007C5FED" w:rsidRPr="00EB2E7B">
        <w:rPr>
          <w:rFonts w:asciiTheme="minorHAnsi" w:hAnsiTheme="minorHAnsi" w:cstheme="minorHAnsi"/>
          <w:b w:val="0"/>
          <w:sz w:val="20"/>
          <w:szCs w:val="20"/>
        </w:rPr>
        <w:fldChar w:fldCharType="begin"/>
      </w:r>
      <w:r w:rsidR="007C5FED" w:rsidRPr="00EB2E7B">
        <w:rPr>
          <w:rFonts w:asciiTheme="minorHAnsi" w:hAnsiTheme="minorHAnsi" w:cstheme="minorHAnsi"/>
          <w:b w:val="0"/>
          <w:sz w:val="20"/>
          <w:szCs w:val="20"/>
        </w:rPr>
        <w:instrText xml:space="preserve"> REF _Ref190115092 \w \h </w:instrText>
      </w:r>
      <w:r w:rsidR="007C5FED" w:rsidRPr="00EB2E7B">
        <w:rPr>
          <w:rFonts w:asciiTheme="minorHAnsi" w:hAnsiTheme="minorHAnsi" w:cstheme="minorHAnsi"/>
          <w:b w:val="0"/>
          <w:bCs w:val="0"/>
          <w:sz w:val="20"/>
          <w:szCs w:val="20"/>
        </w:rPr>
        <w:instrText xml:space="preserve"> \* MERGEFORMAT </w:instrText>
      </w:r>
      <w:r w:rsidR="007C5FED" w:rsidRPr="00EB2E7B">
        <w:rPr>
          <w:rFonts w:asciiTheme="minorHAnsi" w:hAnsiTheme="minorHAnsi" w:cstheme="minorHAnsi"/>
          <w:b w:val="0"/>
          <w:sz w:val="20"/>
          <w:szCs w:val="20"/>
        </w:rPr>
      </w:r>
      <w:r w:rsidR="007C5FED"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D</w:t>
      </w:r>
      <w:r w:rsidR="007C5FED" w:rsidRPr="00EB2E7B">
        <w:rPr>
          <w:rFonts w:asciiTheme="minorHAnsi" w:hAnsiTheme="minorHAnsi" w:cstheme="minorHAnsi"/>
          <w:b w:val="0"/>
          <w:sz w:val="20"/>
          <w:szCs w:val="20"/>
        </w:rPr>
        <w:fldChar w:fldCharType="end"/>
      </w:r>
      <w:r w:rsidR="00D51E5F" w:rsidRPr="00EB2E7B">
        <w:rPr>
          <w:rFonts w:asciiTheme="minorHAnsi" w:hAnsiTheme="minorHAnsi" w:cstheme="minorHAnsi"/>
          <w:b w:val="0"/>
          <w:sz w:val="20"/>
          <w:szCs w:val="20"/>
        </w:rPr>
        <w:t xml:space="preserve"> </w:t>
      </w:r>
      <w:r w:rsidRPr="00EB2E7B">
        <w:rPr>
          <w:rFonts w:asciiTheme="minorHAnsi" w:hAnsiTheme="minorHAnsi" w:cstheme="minorHAnsi"/>
          <w:b w:val="0"/>
          <w:sz w:val="20"/>
          <w:szCs w:val="20"/>
        </w:rPr>
        <w:t>lub w dniu rozpoczęcia sprzedaży rezerwowej, w przypadku gdy umowa sprzedaży energii zawarta przez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ze sprzedawcą nie będzie mogła być realizowana.</w:t>
      </w:r>
      <w:bookmarkEnd w:id="532"/>
      <w:bookmarkEnd w:id="533"/>
      <w:bookmarkEnd w:id="534"/>
      <w:r w:rsidRPr="00EB2E7B">
        <w:rPr>
          <w:rFonts w:asciiTheme="minorHAnsi" w:hAnsiTheme="minorHAnsi" w:cstheme="minorHAnsi"/>
          <w:b w:val="0"/>
          <w:sz w:val="20"/>
          <w:szCs w:val="20"/>
        </w:rPr>
        <w:t xml:space="preserve"> </w:t>
      </w:r>
    </w:p>
    <w:p w14:paraId="447257C0" w14:textId="77777777" w:rsidR="005C3CFA" w:rsidRPr="00EB2E7B" w:rsidRDefault="00A27F49" w:rsidP="0024189C">
      <w:pPr>
        <w:pStyle w:val="ANagwek2"/>
        <w:rPr>
          <w:rFonts w:asciiTheme="minorHAnsi" w:hAnsiTheme="minorHAnsi" w:cstheme="minorHAnsi"/>
          <w:b w:val="0"/>
          <w:sz w:val="20"/>
          <w:szCs w:val="20"/>
        </w:rPr>
      </w:pPr>
      <w:bookmarkStart w:id="535" w:name="_Ref190115466"/>
      <w:bookmarkStart w:id="536" w:name="_Toc239333385"/>
      <w:bookmarkStart w:id="537" w:name="_Toc189833767"/>
      <w:bookmarkStart w:id="538" w:name="_Ref75523066"/>
      <w:r w:rsidRPr="00EB2E7B">
        <w:rPr>
          <w:rFonts w:asciiTheme="minorHAnsi" w:hAnsiTheme="minorHAnsi" w:cstheme="minorHAnsi"/>
          <w:b w:val="0"/>
          <w:sz w:val="20"/>
          <w:szCs w:val="20"/>
        </w:rPr>
        <w:t>W przypadku zawarcia przez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z ACPRO umowy dystrybucji, z dniem rozpoczęcia świadczenia usługi dystrybucji w ramach tej umowy, dotychczasowa umowa kompleksowa przestaje być realizowana przez ACPRO</w:t>
      </w:r>
      <w:bookmarkEnd w:id="535"/>
      <w:bookmarkEnd w:id="536"/>
    </w:p>
    <w:p w14:paraId="5D91DBF0" w14:textId="511A8447" w:rsidR="00A27F49" w:rsidRPr="00EB2E7B" w:rsidRDefault="009C7885" w:rsidP="004D1C36">
      <w:pPr>
        <w:pStyle w:val="ANagwek2"/>
        <w:rPr>
          <w:rFonts w:asciiTheme="minorHAnsi" w:hAnsiTheme="minorHAnsi" w:cstheme="minorHAnsi"/>
          <w:b w:val="0"/>
          <w:sz w:val="20"/>
          <w:szCs w:val="20"/>
        </w:rPr>
      </w:pPr>
      <w:bookmarkStart w:id="539" w:name="_Toc239333386"/>
      <w:r w:rsidRPr="00EB2E7B">
        <w:rPr>
          <w:rFonts w:asciiTheme="minorHAnsi" w:hAnsiTheme="minorHAnsi" w:cstheme="minorHAnsi"/>
          <w:b w:val="0"/>
          <w:sz w:val="20"/>
          <w:szCs w:val="20"/>
        </w:rPr>
        <w:lastRenderedPageBreak/>
        <w:t>Zasady świadczenia usług dystrybucji przez ACPRO dla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posiadających zawarte umowy kompleksowe, określa się w umowie zawieranej pomiędzy ACPRO a sprzedawcą oraz w </w:t>
      </w:r>
      <w:proofErr w:type="spellStart"/>
      <w:r w:rsidRPr="00EB2E7B">
        <w:rPr>
          <w:rFonts w:asciiTheme="minorHAnsi" w:hAnsiTheme="minorHAnsi" w:cstheme="minorHAnsi"/>
          <w:b w:val="0"/>
          <w:sz w:val="20"/>
          <w:szCs w:val="20"/>
        </w:rPr>
        <w:t>IRiESD</w:t>
      </w:r>
      <w:proofErr w:type="spellEnd"/>
      <w:r w:rsidR="00A27F49" w:rsidRPr="00EB2E7B">
        <w:rPr>
          <w:rFonts w:asciiTheme="minorHAnsi" w:hAnsiTheme="minorHAnsi" w:cstheme="minorHAnsi"/>
          <w:b w:val="0"/>
          <w:sz w:val="20"/>
          <w:szCs w:val="20"/>
        </w:rPr>
        <w:t>.</w:t>
      </w:r>
      <w:bookmarkEnd w:id="537"/>
      <w:bookmarkEnd w:id="539"/>
    </w:p>
    <w:p w14:paraId="18027A3F" w14:textId="220A2569" w:rsidR="00473957" w:rsidRPr="00EB2E7B" w:rsidRDefault="0077111A" w:rsidP="0024189C">
      <w:pPr>
        <w:pStyle w:val="ANagwek2"/>
        <w:rPr>
          <w:rFonts w:asciiTheme="minorHAnsi" w:hAnsiTheme="minorHAnsi" w:cstheme="minorHAnsi"/>
          <w:b w:val="0"/>
          <w:sz w:val="20"/>
          <w:szCs w:val="20"/>
        </w:rPr>
      </w:pPr>
      <w:bookmarkStart w:id="540" w:name="_Ref184488960"/>
      <w:bookmarkStart w:id="541" w:name="_Toc189833768"/>
      <w:bookmarkStart w:id="542" w:name="_Toc239333387"/>
      <w:r w:rsidRPr="00EB2E7B">
        <w:rPr>
          <w:rFonts w:asciiTheme="minorHAnsi" w:hAnsiTheme="minorHAnsi" w:cstheme="minorHAnsi"/>
          <w:b w:val="0"/>
          <w:sz w:val="20"/>
          <w:szCs w:val="20"/>
        </w:rPr>
        <w:t>W przypadku zawarcia przez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z wybranym sprzedawcą umowy kompleksowej, z dniem rozpoczęcia świadczenia usługi kompleksowej zgodnie z</w:t>
      </w:r>
      <w:r w:rsidR="008B2F31" w:rsidRPr="00EB2E7B">
        <w:rPr>
          <w:rFonts w:asciiTheme="minorHAnsi" w:hAnsiTheme="minorHAnsi" w:cstheme="minorHAnsi"/>
          <w:b w:val="0"/>
          <w:sz w:val="20"/>
          <w:szCs w:val="20"/>
        </w:rPr>
        <w:t> </w:t>
      </w:r>
      <w:proofErr w:type="spellStart"/>
      <w:r w:rsidRPr="00EB2E7B">
        <w:rPr>
          <w:rFonts w:asciiTheme="minorHAnsi" w:hAnsiTheme="minorHAnsi" w:cstheme="minorHAnsi"/>
          <w:b w:val="0"/>
          <w:sz w:val="20"/>
          <w:szCs w:val="20"/>
        </w:rPr>
        <w:t>IRiESD</w:t>
      </w:r>
      <w:proofErr w:type="spellEnd"/>
      <w:r w:rsidRPr="00EB2E7B">
        <w:rPr>
          <w:rFonts w:asciiTheme="minorHAnsi" w:hAnsiTheme="minorHAnsi" w:cstheme="minorHAnsi"/>
          <w:b w:val="0"/>
          <w:sz w:val="20"/>
          <w:szCs w:val="20"/>
        </w:rPr>
        <w:t xml:space="preserve">-Bilansowanie, umowa ta w części dotyczącej świadczenia usług dystrybucji zastępuje dotychczasową umowę o świadczenie usług dystrybucji zawartą z </w:t>
      </w:r>
      <w:r w:rsidR="00232DA9"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której stroną był ten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Dotychczasowa umowa o</w:t>
      </w:r>
      <w:r w:rsidR="00351AC4" w:rsidRPr="00EB2E7B">
        <w:rPr>
          <w:rFonts w:asciiTheme="minorHAnsi" w:hAnsiTheme="minorHAnsi" w:cstheme="minorHAnsi"/>
          <w:b w:val="0"/>
          <w:sz w:val="20"/>
          <w:szCs w:val="20"/>
        </w:rPr>
        <w:t> </w:t>
      </w:r>
      <w:r w:rsidRPr="00EB2E7B">
        <w:rPr>
          <w:rFonts w:asciiTheme="minorHAnsi" w:hAnsiTheme="minorHAnsi" w:cstheme="minorHAnsi"/>
          <w:b w:val="0"/>
          <w:sz w:val="20"/>
          <w:szCs w:val="20"/>
        </w:rPr>
        <w:t>świadczenie usług dystrybucji ulega z tym dniem rozwiązaniu.</w:t>
      </w:r>
      <w:bookmarkEnd w:id="538"/>
      <w:bookmarkEnd w:id="540"/>
      <w:bookmarkEnd w:id="541"/>
      <w:bookmarkEnd w:id="542"/>
      <w:r w:rsidRPr="00EB2E7B">
        <w:rPr>
          <w:rFonts w:asciiTheme="minorHAnsi" w:hAnsiTheme="minorHAnsi" w:cstheme="minorHAnsi"/>
          <w:b w:val="0"/>
          <w:sz w:val="20"/>
          <w:szCs w:val="20"/>
        </w:rPr>
        <w:t xml:space="preserve"> </w:t>
      </w:r>
    </w:p>
    <w:p w14:paraId="27EFE9D7"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 xml:space="preserve">od dnia przystąpienia ACPRO do CSIRE — w przypadku zawarcia przez URDO z wybranym sprzedawcą umowy kompleksowej, z dniem rozpoczęcia świadczenia usługi kompleksowej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-Bilansowanie, umowa ta w części dotyczącej świadczenia usług dystrybucji zastępuje dotychczasową umowę dystrybucji zawartą z ACPRO, której stroną był ten URDO. Dotychczasowa umowa dystrybucji ulega z tym dniem rozwiązaniu.</w:t>
      </w:r>
    </w:p>
    <w:p w14:paraId="321876F7" w14:textId="7E6F5CFA" w:rsidR="00473957" w:rsidRPr="00EB2E7B" w:rsidRDefault="0077111A" w:rsidP="0024189C">
      <w:pPr>
        <w:pStyle w:val="ANagwek2"/>
        <w:rPr>
          <w:rFonts w:asciiTheme="minorHAnsi" w:hAnsiTheme="minorHAnsi" w:cstheme="minorHAnsi"/>
          <w:b w:val="0"/>
          <w:sz w:val="20"/>
          <w:szCs w:val="20"/>
        </w:rPr>
      </w:pPr>
      <w:bookmarkStart w:id="543" w:name="_Toc189833769"/>
      <w:bookmarkStart w:id="544" w:name="_Ref190115828"/>
      <w:bookmarkStart w:id="545" w:name="_Toc239333388"/>
      <w:r w:rsidRPr="00EB2E7B">
        <w:rPr>
          <w:rFonts w:asciiTheme="minorHAnsi" w:hAnsiTheme="minorHAnsi" w:cstheme="minorHAnsi"/>
          <w:b w:val="0"/>
          <w:sz w:val="20"/>
          <w:szCs w:val="20"/>
        </w:rPr>
        <w:t>Zasady zgłaszania umów sprzedaży energii elektrycznej oraz umów kompleksowych, w tym terminy rozpoczęcia sprzedaży energii lub świadczenia usługi kompleksowej, określa rozdział</w:t>
      </w:r>
      <w:r w:rsidR="008B5981" w:rsidRPr="00EB2E7B">
        <w:rPr>
          <w:rFonts w:asciiTheme="minorHAnsi" w:hAnsiTheme="minorHAnsi" w:cstheme="minorHAnsi"/>
          <w:b w:val="0"/>
          <w:bCs w:val="0"/>
          <w:sz w:val="20"/>
          <w:szCs w:val="20"/>
        </w:rPr>
        <w:t xml:space="preserve"> </w:t>
      </w:r>
      <w:r w:rsidR="00723FD9" w:rsidRPr="00EB2E7B">
        <w:rPr>
          <w:rFonts w:asciiTheme="minorHAnsi" w:hAnsiTheme="minorHAnsi" w:cstheme="minorHAnsi"/>
          <w:b w:val="0"/>
          <w:bCs w:val="0"/>
          <w:sz w:val="20"/>
          <w:szCs w:val="20"/>
        </w:rPr>
        <w:fldChar w:fldCharType="begin"/>
      </w:r>
      <w:r w:rsidR="00723FD9" w:rsidRPr="00EB2E7B">
        <w:rPr>
          <w:rFonts w:asciiTheme="minorHAnsi" w:hAnsiTheme="minorHAnsi" w:cstheme="minorHAnsi"/>
          <w:b w:val="0"/>
          <w:bCs w:val="0"/>
          <w:sz w:val="20"/>
          <w:szCs w:val="20"/>
        </w:rPr>
        <w:instrText xml:space="preserve"> REF _Ref190115092 \w \h  \* MERGEFORMAT </w:instrText>
      </w:r>
      <w:r w:rsidR="00723FD9" w:rsidRPr="00EB2E7B">
        <w:rPr>
          <w:rFonts w:asciiTheme="minorHAnsi" w:hAnsiTheme="minorHAnsi" w:cstheme="minorHAnsi"/>
          <w:b w:val="0"/>
          <w:bCs w:val="0"/>
          <w:sz w:val="20"/>
          <w:szCs w:val="20"/>
        </w:rPr>
      </w:r>
      <w:r w:rsidR="00723FD9"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D</w:t>
      </w:r>
      <w:r w:rsidR="00723FD9" w:rsidRPr="00EB2E7B">
        <w:rPr>
          <w:rFonts w:asciiTheme="minorHAnsi" w:hAnsiTheme="minorHAnsi" w:cstheme="minorHAnsi"/>
          <w:b w:val="0"/>
          <w:bCs w:val="0"/>
          <w:sz w:val="20"/>
          <w:szCs w:val="20"/>
        </w:rPr>
        <w:fldChar w:fldCharType="end"/>
      </w:r>
      <w:r w:rsidR="00755BA7" w:rsidRPr="00EB2E7B">
        <w:rPr>
          <w:rFonts w:asciiTheme="minorHAnsi" w:hAnsiTheme="minorHAnsi" w:cstheme="minorHAnsi"/>
          <w:b w:val="0"/>
          <w:bCs w:val="0"/>
          <w:sz w:val="20"/>
          <w:szCs w:val="20"/>
        </w:rPr>
        <w:t xml:space="preserve"> i </w:t>
      </w:r>
      <w:r w:rsidR="00755BA7" w:rsidRPr="00EB2E7B">
        <w:rPr>
          <w:rFonts w:asciiTheme="minorHAnsi" w:hAnsiTheme="minorHAnsi" w:cstheme="minorHAnsi"/>
          <w:b w:val="0"/>
          <w:sz w:val="20"/>
          <w:szCs w:val="20"/>
        </w:rPr>
        <w:fldChar w:fldCharType="begin"/>
      </w:r>
      <w:r w:rsidR="00755BA7" w:rsidRPr="00EB2E7B">
        <w:rPr>
          <w:rFonts w:asciiTheme="minorHAnsi" w:hAnsiTheme="minorHAnsi" w:cstheme="minorHAnsi"/>
          <w:b w:val="0"/>
          <w:sz w:val="20"/>
          <w:szCs w:val="20"/>
        </w:rPr>
        <w:instrText xml:space="preserve"> REF _Ref190334226 \r \h </w:instrText>
      </w:r>
      <w:r w:rsidR="00755BA7" w:rsidRPr="00EB2E7B">
        <w:rPr>
          <w:rFonts w:asciiTheme="minorHAnsi" w:hAnsiTheme="minorHAnsi" w:cstheme="minorHAnsi"/>
          <w:b w:val="0"/>
          <w:bCs w:val="0"/>
          <w:sz w:val="20"/>
          <w:szCs w:val="20"/>
        </w:rPr>
        <w:instrText xml:space="preserve"> \* MERGEFORMAT </w:instrText>
      </w:r>
      <w:r w:rsidR="00755BA7" w:rsidRPr="00EB2E7B">
        <w:rPr>
          <w:rFonts w:asciiTheme="minorHAnsi" w:hAnsiTheme="minorHAnsi" w:cstheme="minorHAnsi"/>
          <w:b w:val="0"/>
          <w:sz w:val="20"/>
          <w:szCs w:val="20"/>
        </w:rPr>
      </w:r>
      <w:r w:rsidR="00755BA7"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F</w:t>
      </w:r>
      <w:r w:rsidR="00755BA7"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w:t>
      </w:r>
      <w:bookmarkEnd w:id="543"/>
      <w:bookmarkEnd w:id="544"/>
      <w:bookmarkEnd w:id="545"/>
    </w:p>
    <w:p w14:paraId="3F49BCCE" w14:textId="1A59CFA7" w:rsidR="00FE46AC" w:rsidRPr="00EB2E7B" w:rsidRDefault="00FE46AC" w:rsidP="0024189C">
      <w:pPr>
        <w:pStyle w:val="ANagwek2"/>
        <w:rPr>
          <w:rFonts w:asciiTheme="minorHAnsi" w:hAnsiTheme="minorHAnsi" w:cstheme="minorHAnsi"/>
          <w:b w:val="0"/>
          <w:sz w:val="20"/>
          <w:szCs w:val="20"/>
        </w:rPr>
      </w:pPr>
      <w:bookmarkStart w:id="546" w:name="_Toc189833770"/>
      <w:bookmarkStart w:id="547" w:name="_Toc239333389"/>
      <w:bookmarkStart w:id="548" w:name="_Ref180152497"/>
      <w:r w:rsidRPr="00EB2E7B">
        <w:rPr>
          <w:rFonts w:asciiTheme="minorHAnsi" w:hAnsiTheme="minorHAnsi" w:cstheme="minorHAnsi"/>
          <w:b w:val="0"/>
          <w:sz w:val="20"/>
          <w:szCs w:val="20"/>
        </w:rPr>
        <w:t xml:space="preserve">Rozdzielenie umowy kompleksowej na umowę sprzedaży oraz umowę dystrybucji bez dokonywania zmiany sprzedawcy jest możliwe tylko dla URD nie będących URD w gospodarstwie domowym i wymaga zgłoszenia umowy sprzedaży na zasadach i w trybie określonym w </w:t>
      </w:r>
      <w:r w:rsidR="00982087" w:rsidRPr="00EB2E7B">
        <w:rPr>
          <w:rFonts w:asciiTheme="minorHAnsi" w:hAnsiTheme="minorHAnsi" w:cstheme="minorHAnsi"/>
          <w:b w:val="0"/>
          <w:sz w:val="20"/>
          <w:szCs w:val="20"/>
        </w:rPr>
        <w:t>rozdziale</w:t>
      </w:r>
      <w:r w:rsidRPr="00EB2E7B">
        <w:rPr>
          <w:rFonts w:asciiTheme="minorHAnsi" w:hAnsiTheme="minorHAnsi" w:cstheme="minorHAnsi"/>
          <w:b w:val="0"/>
          <w:sz w:val="20"/>
          <w:szCs w:val="20"/>
        </w:rPr>
        <w:t xml:space="preserve"> </w:t>
      </w:r>
      <w:r w:rsidR="00723FD9" w:rsidRPr="00EB2E7B">
        <w:rPr>
          <w:rFonts w:asciiTheme="minorHAnsi" w:hAnsiTheme="minorHAnsi" w:cstheme="minorHAnsi"/>
          <w:b w:val="0"/>
          <w:bCs w:val="0"/>
          <w:sz w:val="20"/>
          <w:szCs w:val="20"/>
        </w:rPr>
        <w:fldChar w:fldCharType="begin"/>
      </w:r>
      <w:r w:rsidR="00723FD9" w:rsidRPr="00EB2E7B">
        <w:rPr>
          <w:rFonts w:asciiTheme="minorHAnsi" w:hAnsiTheme="minorHAnsi" w:cstheme="minorHAnsi"/>
          <w:b w:val="0"/>
          <w:bCs w:val="0"/>
          <w:sz w:val="20"/>
          <w:szCs w:val="20"/>
        </w:rPr>
        <w:instrText xml:space="preserve"> REF _Ref190115092 \w \h  \* MERGEFORMAT </w:instrText>
      </w:r>
      <w:r w:rsidR="00723FD9" w:rsidRPr="00EB2E7B">
        <w:rPr>
          <w:rFonts w:asciiTheme="minorHAnsi" w:hAnsiTheme="minorHAnsi" w:cstheme="minorHAnsi"/>
          <w:b w:val="0"/>
          <w:bCs w:val="0"/>
          <w:sz w:val="20"/>
          <w:szCs w:val="20"/>
        </w:rPr>
      </w:r>
      <w:r w:rsidR="00723FD9"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D</w:t>
      </w:r>
      <w:r w:rsidR="00723FD9" w:rsidRPr="00EB2E7B">
        <w:rPr>
          <w:rFonts w:asciiTheme="minorHAnsi" w:hAnsiTheme="minorHAnsi" w:cstheme="minorHAnsi"/>
          <w:b w:val="0"/>
          <w:bCs w:val="0"/>
          <w:sz w:val="20"/>
          <w:szCs w:val="20"/>
        </w:rPr>
        <w:fldChar w:fldCharType="end"/>
      </w:r>
      <w:r w:rsidRPr="00EB2E7B">
        <w:rPr>
          <w:rFonts w:asciiTheme="minorHAnsi" w:hAnsiTheme="minorHAnsi" w:cstheme="minorHAnsi"/>
          <w:b w:val="0"/>
          <w:sz w:val="20"/>
          <w:szCs w:val="20"/>
        </w:rPr>
        <w:t>.</w:t>
      </w:r>
      <w:bookmarkEnd w:id="546"/>
      <w:bookmarkEnd w:id="547"/>
    </w:p>
    <w:p w14:paraId="46F02472" w14:textId="42829C77" w:rsidR="00997CDF" w:rsidRPr="00EB2E7B" w:rsidRDefault="00997CDF" w:rsidP="0024189C">
      <w:pPr>
        <w:pStyle w:val="ANagwek2"/>
        <w:rPr>
          <w:rFonts w:asciiTheme="minorHAnsi" w:hAnsiTheme="minorHAnsi" w:cstheme="minorHAnsi"/>
          <w:b w:val="0"/>
          <w:sz w:val="20"/>
          <w:szCs w:val="20"/>
        </w:rPr>
      </w:pPr>
      <w:bookmarkStart w:id="549" w:name="_Toc189833771"/>
      <w:bookmarkStart w:id="550" w:name="_Toc239333390"/>
      <w:r w:rsidRPr="00EB2E7B">
        <w:rPr>
          <w:rFonts w:asciiTheme="minorHAnsi" w:hAnsiTheme="minorHAnsi" w:cstheme="minorHAnsi"/>
          <w:b w:val="0"/>
          <w:sz w:val="20"/>
          <w:szCs w:val="20"/>
        </w:rPr>
        <w:t xml:space="preserve">W przypadku </w:t>
      </w:r>
      <w:proofErr w:type="spellStart"/>
      <w:r w:rsidRPr="00EB2E7B">
        <w:rPr>
          <w:rFonts w:asciiTheme="minorHAnsi" w:hAnsiTheme="minorHAnsi" w:cstheme="minorHAnsi"/>
          <w:b w:val="0"/>
          <w:sz w:val="20"/>
          <w:szCs w:val="20"/>
        </w:rPr>
        <w:t>URDo</w:t>
      </w:r>
      <w:proofErr w:type="spellEnd"/>
      <w:r w:rsidRPr="00EB2E7B">
        <w:rPr>
          <w:rFonts w:asciiTheme="minorHAnsi" w:hAnsiTheme="minorHAnsi" w:cstheme="minorHAnsi"/>
          <w:b w:val="0"/>
          <w:sz w:val="20"/>
          <w:szCs w:val="20"/>
        </w:rPr>
        <w:t xml:space="preserve"> przyłączanych do sieci dystrybucyjnej ACPRO lub zmiany URD</w:t>
      </w:r>
      <w:r w:rsidR="004C2F9F"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dla istniejącego PPE przyłączonego do sieci dystrybucyjnej ACPRO, zawieranie umowy dystrybucji odbywa się przy zachowaniu postanowień pkt. </w:t>
      </w:r>
      <w:r w:rsidR="00D8016B" w:rsidRPr="00EB2E7B">
        <w:rPr>
          <w:rFonts w:asciiTheme="minorHAnsi" w:hAnsiTheme="minorHAnsi" w:cstheme="minorHAnsi"/>
          <w:b w:val="0"/>
          <w:sz w:val="20"/>
          <w:szCs w:val="20"/>
        </w:rPr>
        <w:fldChar w:fldCharType="begin"/>
      </w:r>
      <w:r w:rsidR="00D8016B" w:rsidRPr="00EB2E7B">
        <w:rPr>
          <w:rFonts w:asciiTheme="minorHAnsi" w:hAnsiTheme="minorHAnsi" w:cstheme="minorHAnsi"/>
          <w:b w:val="0"/>
          <w:sz w:val="20"/>
          <w:szCs w:val="20"/>
        </w:rPr>
        <w:instrText xml:space="preserve"> REF _Ref190115230 \w \h </w:instrText>
      </w:r>
      <w:r w:rsidR="00D8016B" w:rsidRPr="00EB2E7B">
        <w:rPr>
          <w:rFonts w:asciiTheme="minorHAnsi" w:hAnsiTheme="minorHAnsi" w:cstheme="minorHAnsi"/>
          <w:b w:val="0"/>
          <w:bCs w:val="0"/>
          <w:sz w:val="20"/>
          <w:szCs w:val="20"/>
        </w:rPr>
        <w:instrText xml:space="preserve"> \* MERGEFORMAT </w:instrText>
      </w:r>
      <w:r w:rsidR="00D8016B" w:rsidRPr="00EB2E7B">
        <w:rPr>
          <w:rFonts w:asciiTheme="minorHAnsi" w:hAnsiTheme="minorHAnsi" w:cstheme="minorHAnsi"/>
          <w:b w:val="0"/>
          <w:sz w:val="20"/>
          <w:szCs w:val="20"/>
        </w:rPr>
      </w:r>
      <w:r w:rsidR="00D8016B"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B.2</w:t>
      </w:r>
      <w:r w:rsidR="00D8016B"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xml:space="preserve">. – </w:t>
      </w:r>
      <w:r w:rsidR="00B93429" w:rsidRPr="00EB2E7B">
        <w:rPr>
          <w:rFonts w:asciiTheme="minorHAnsi" w:hAnsiTheme="minorHAnsi" w:cstheme="minorHAnsi"/>
          <w:b w:val="0"/>
          <w:sz w:val="20"/>
          <w:szCs w:val="20"/>
        </w:rPr>
        <w:fldChar w:fldCharType="begin"/>
      </w:r>
      <w:r w:rsidR="00B93429" w:rsidRPr="00EB2E7B">
        <w:rPr>
          <w:rFonts w:asciiTheme="minorHAnsi" w:hAnsiTheme="minorHAnsi" w:cstheme="minorHAnsi"/>
          <w:b w:val="0"/>
          <w:sz w:val="20"/>
          <w:szCs w:val="20"/>
        </w:rPr>
        <w:instrText xml:space="preserve"> REF _Ref190115466 \w \h </w:instrText>
      </w:r>
      <w:r w:rsidR="0039151D" w:rsidRPr="00EB2E7B">
        <w:rPr>
          <w:rFonts w:asciiTheme="minorHAnsi" w:hAnsiTheme="minorHAnsi" w:cstheme="minorHAnsi"/>
          <w:b w:val="0"/>
          <w:bCs w:val="0"/>
          <w:sz w:val="20"/>
          <w:szCs w:val="20"/>
        </w:rPr>
        <w:instrText xml:space="preserve"> \* MERGEFORMAT </w:instrText>
      </w:r>
      <w:r w:rsidR="00B93429" w:rsidRPr="00EB2E7B">
        <w:rPr>
          <w:rFonts w:asciiTheme="minorHAnsi" w:hAnsiTheme="minorHAnsi" w:cstheme="minorHAnsi"/>
          <w:b w:val="0"/>
          <w:sz w:val="20"/>
          <w:szCs w:val="20"/>
        </w:rPr>
      </w:r>
      <w:r w:rsidR="00B93429"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B.6</w:t>
      </w:r>
      <w:r w:rsidR="00B93429" w:rsidRPr="00EB2E7B">
        <w:rPr>
          <w:rFonts w:asciiTheme="minorHAnsi" w:hAnsiTheme="minorHAnsi" w:cstheme="minorHAnsi"/>
          <w:b w:val="0"/>
          <w:sz w:val="20"/>
          <w:szCs w:val="20"/>
        </w:rPr>
        <w:fldChar w:fldCharType="end"/>
      </w:r>
      <w:r w:rsidR="0061192E" w:rsidRPr="00EB2E7B">
        <w:rPr>
          <w:rFonts w:asciiTheme="minorHAnsi" w:hAnsiTheme="minorHAnsi" w:cstheme="minorHAnsi"/>
          <w:b w:val="0"/>
          <w:sz w:val="20"/>
          <w:szCs w:val="20"/>
        </w:rPr>
        <w:t xml:space="preserve">, </w:t>
      </w:r>
      <w:r w:rsidR="00784668" w:rsidRPr="00EB2E7B">
        <w:rPr>
          <w:rFonts w:asciiTheme="minorHAnsi" w:hAnsiTheme="minorHAnsi" w:cstheme="minorHAnsi"/>
          <w:b w:val="0"/>
          <w:sz w:val="20"/>
          <w:szCs w:val="20"/>
        </w:rPr>
        <w:t xml:space="preserve"> </w:t>
      </w:r>
      <w:r w:rsidR="005970D3" w:rsidRPr="00EB2E7B">
        <w:rPr>
          <w:rFonts w:asciiTheme="minorHAnsi" w:hAnsiTheme="minorHAnsi" w:cstheme="minorHAnsi"/>
          <w:b w:val="0"/>
          <w:sz w:val="20"/>
          <w:szCs w:val="20"/>
        </w:rPr>
        <w:fldChar w:fldCharType="begin"/>
      </w:r>
      <w:r w:rsidR="005970D3" w:rsidRPr="00EB2E7B">
        <w:rPr>
          <w:rFonts w:asciiTheme="minorHAnsi" w:hAnsiTheme="minorHAnsi" w:cstheme="minorHAnsi"/>
          <w:b w:val="0"/>
          <w:sz w:val="20"/>
          <w:szCs w:val="20"/>
        </w:rPr>
        <w:instrText xml:space="preserve"> REF _Ref184488960 \w \h </w:instrText>
      </w:r>
      <w:r w:rsidR="0039151D" w:rsidRPr="00EB2E7B">
        <w:rPr>
          <w:rFonts w:asciiTheme="minorHAnsi" w:hAnsiTheme="minorHAnsi" w:cstheme="minorHAnsi"/>
          <w:b w:val="0"/>
          <w:bCs w:val="0"/>
          <w:sz w:val="20"/>
          <w:szCs w:val="20"/>
        </w:rPr>
        <w:instrText xml:space="preserve"> \* MERGEFORMAT </w:instrText>
      </w:r>
      <w:r w:rsidR="005970D3" w:rsidRPr="00EB2E7B">
        <w:rPr>
          <w:rFonts w:asciiTheme="minorHAnsi" w:hAnsiTheme="minorHAnsi" w:cstheme="minorHAnsi"/>
          <w:b w:val="0"/>
          <w:sz w:val="20"/>
          <w:szCs w:val="20"/>
        </w:rPr>
      </w:r>
      <w:r w:rsidR="005970D3"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B.8</w:t>
      </w:r>
      <w:r w:rsidR="005970D3" w:rsidRPr="00EB2E7B">
        <w:rPr>
          <w:rFonts w:asciiTheme="minorHAnsi" w:hAnsiTheme="minorHAnsi" w:cstheme="minorHAnsi"/>
          <w:b w:val="0"/>
          <w:sz w:val="20"/>
          <w:szCs w:val="20"/>
        </w:rPr>
        <w:fldChar w:fldCharType="end"/>
      </w:r>
      <w:r w:rsidR="005970D3" w:rsidRPr="00EB2E7B">
        <w:rPr>
          <w:rFonts w:asciiTheme="minorHAnsi" w:hAnsiTheme="minorHAnsi" w:cstheme="minorHAnsi"/>
          <w:b w:val="0"/>
          <w:sz w:val="20"/>
          <w:szCs w:val="20"/>
        </w:rPr>
        <w:t xml:space="preserve"> </w:t>
      </w:r>
      <w:r w:rsidR="007A44CE" w:rsidRPr="00EB2E7B">
        <w:rPr>
          <w:rFonts w:asciiTheme="minorHAnsi" w:hAnsiTheme="minorHAnsi" w:cstheme="minorHAnsi"/>
          <w:b w:val="0"/>
          <w:sz w:val="20"/>
          <w:szCs w:val="20"/>
        </w:rPr>
        <w:fldChar w:fldCharType="begin"/>
      </w:r>
      <w:r w:rsidR="007A44CE" w:rsidRPr="00EB2E7B">
        <w:rPr>
          <w:rFonts w:asciiTheme="minorHAnsi" w:hAnsiTheme="minorHAnsi" w:cstheme="minorHAnsi"/>
          <w:b w:val="0"/>
          <w:sz w:val="20"/>
          <w:szCs w:val="20"/>
        </w:rPr>
        <w:instrText xml:space="preserve"> REF _Ref190115828 \w \h  \* MERGEFORMAT </w:instrText>
      </w:r>
      <w:r w:rsidR="007A44CE" w:rsidRPr="00EB2E7B">
        <w:rPr>
          <w:rFonts w:asciiTheme="minorHAnsi" w:hAnsiTheme="minorHAnsi" w:cstheme="minorHAnsi"/>
          <w:b w:val="0"/>
          <w:sz w:val="20"/>
          <w:szCs w:val="20"/>
        </w:rPr>
      </w:r>
      <w:r w:rsidR="007A44CE"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B.9</w:t>
      </w:r>
      <w:r w:rsidR="007A44CE"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w:t>
      </w:r>
      <w:bookmarkEnd w:id="549"/>
      <w:bookmarkEnd w:id="550"/>
    </w:p>
    <w:p w14:paraId="39EB7885" w14:textId="4C9438CC" w:rsidR="0096010D" w:rsidRPr="00EB2E7B" w:rsidRDefault="0096010D" w:rsidP="0024189C">
      <w:pPr>
        <w:pStyle w:val="ANagwek2"/>
        <w:rPr>
          <w:rFonts w:asciiTheme="minorHAnsi" w:hAnsiTheme="minorHAnsi" w:cstheme="minorHAnsi"/>
          <w:b w:val="0"/>
          <w:sz w:val="20"/>
          <w:szCs w:val="20"/>
        </w:rPr>
      </w:pPr>
      <w:bookmarkStart w:id="551" w:name="_Toc189833772"/>
      <w:bookmarkStart w:id="552" w:name="_Ref190115903"/>
      <w:bookmarkStart w:id="553" w:name="_Ref190708561"/>
      <w:bookmarkStart w:id="554" w:name="_Toc239333391"/>
      <w:r w:rsidRPr="00EB2E7B">
        <w:rPr>
          <w:rFonts w:asciiTheme="minorHAnsi" w:hAnsiTheme="minorHAnsi" w:cstheme="minorHAnsi"/>
          <w:b w:val="0"/>
          <w:sz w:val="20"/>
          <w:szCs w:val="20"/>
        </w:rPr>
        <w:t>Sprzedawca zawiera umowę kompleksową z URD</w:t>
      </w:r>
      <w:r w:rsidR="004C2F9F"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na podstawie wydanego przez </w:t>
      </w:r>
      <w:r w:rsidR="00E83D94"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potwierdzenia możliwości świadczenia usługi dystrybucji energii</w:t>
      </w:r>
      <w:r w:rsidR="00E83D94" w:rsidRPr="00EB2E7B">
        <w:rPr>
          <w:rFonts w:asciiTheme="minorHAnsi" w:hAnsiTheme="minorHAnsi" w:cstheme="minorHAnsi"/>
          <w:b w:val="0"/>
          <w:sz w:val="20"/>
          <w:szCs w:val="20"/>
        </w:rPr>
        <w:t xml:space="preserve"> </w:t>
      </w:r>
      <w:r w:rsidRPr="00EB2E7B">
        <w:rPr>
          <w:rFonts w:asciiTheme="minorHAnsi" w:hAnsiTheme="minorHAnsi" w:cstheme="minorHAnsi"/>
          <w:b w:val="0"/>
          <w:sz w:val="20"/>
          <w:szCs w:val="20"/>
        </w:rPr>
        <w:t>elektrycznej i określenia parametrów dostaw.</w:t>
      </w:r>
      <w:bookmarkEnd w:id="551"/>
      <w:bookmarkEnd w:id="552"/>
      <w:bookmarkEnd w:id="553"/>
      <w:bookmarkEnd w:id="554"/>
    </w:p>
    <w:p w14:paraId="78F51414" w14:textId="0BDF1F1D" w:rsidR="00EE11AD" w:rsidRPr="00EB2E7B" w:rsidRDefault="00EE11AD" w:rsidP="0024189C">
      <w:pPr>
        <w:pStyle w:val="ANagwek2"/>
        <w:rPr>
          <w:rFonts w:asciiTheme="minorHAnsi" w:hAnsiTheme="minorHAnsi" w:cstheme="minorHAnsi"/>
          <w:b w:val="0"/>
          <w:sz w:val="20"/>
          <w:szCs w:val="20"/>
        </w:rPr>
      </w:pPr>
      <w:bookmarkStart w:id="555" w:name="_Toc189833773"/>
      <w:bookmarkStart w:id="556" w:name="_Toc239333392"/>
      <w:r w:rsidRPr="00EB2E7B">
        <w:rPr>
          <w:rFonts w:asciiTheme="minorHAnsi" w:hAnsiTheme="minorHAnsi" w:cstheme="minorHAnsi"/>
          <w:b w:val="0"/>
          <w:sz w:val="20"/>
          <w:szCs w:val="20"/>
        </w:rPr>
        <w:t>Potwierdzenie możliwości świadczenia usługi dystrybucji energii elektrycznej i</w:t>
      </w:r>
      <w:r w:rsidR="007E14D1" w:rsidRPr="00EB2E7B">
        <w:rPr>
          <w:rFonts w:asciiTheme="minorHAnsi" w:hAnsiTheme="minorHAnsi" w:cstheme="minorHAnsi"/>
          <w:b w:val="0"/>
          <w:sz w:val="20"/>
          <w:szCs w:val="20"/>
        </w:rPr>
        <w:t> </w:t>
      </w:r>
      <w:r w:rsidRPr="00EB2E7B">
        <w:rPr>
          <w:rFonts w:asciiTheme="minorHAnsi" w:hAnsiTheme="minorHAnsi" w:cstheme="minorHAnsi"/>
          <w:b w:val="0"/>
          <w:sz w:val="20"/>
          <w:szCs w:val="20"/>
        </w:rPr>
        <w:t xml:space="preserve">określenie parametrów dostaw, o których mowa w pkt. </w:t>
      </w:r>
      <w:r w:rsidR="009E7676" w:rsidRPr="00EB2E7B">
        <w:rPr>
          <w:rFonts w:asciiTheme="minorHAnsi" w:hAnsiTheme="minorHAnsi" w:cstheme="minorHAnsi"/>
          <w:b w:val="0"/>
          <w:sz w:val="20"/>
          <w:szCs w:val="20"/>
        </w:rPr>
        <w:fldChar w:fldCharType="begin"/>
      </w:r>
      <w:r w:rsidR="009E7676" w:rsidRPr="00EB2E7B">
        <w:rPr>
          <w:rFonts w:asciiTheme="minorHAnsi" w:hAnsiTheme="minorHAnsi" w:cstheme="minorHAnsi"/>
          <w:b w:val="0"/>
          <w:sz w:val="20"/>
          <w:szCs w:val="20"/>
        </w:rPr>
        <w:instrText xml:space="preserve"> REF _Ref190708561 \r \h  \* MERGEFORMAT </w:instrText>
      </w:r>
      <w:r w:rsidR="009E7676" w:rsidRPr="00EB2E7B">
        <w:rPr>
          <w:rFonts w:asciiTheme="minorHAnsi" w:hAnsiTheme="minorHAnsi" w:cstheme="minorHAnsi"/>
          <w:b w:val="0"/>
          <w:sz w:val="20"/>
          <w:szCs w:val="20"/>
        </w:rPr>
      </w:r>
      <w:r w:rsidR="009E7676"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B.12</w:t>
      </w:r>
      <w:r w:rsidR="009E7676"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ACPRO wydaje na wniosek Sprzedawcy w oparciu o dostarczone pełnomocnictwo URD</w:t>
      </w:r>
      <w:r w:rsidR="004C2F9F"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w:t>
      </w:r>
      <w:bookmarkEnd w:id="555"/>
      <w:bookmarkEnd w:id="556"/>
    </w:p>
    <w:p w14:paraId="530EBD5F" w14:textId="77777777" w:rsidR="001D3EA4" w:rsidRPr="00EB2E7B" w:rsidRDefault="001D3EA4" w:rsidP="0024189C">
      <w:pPr>
        <w:pStyle w:val="ANagwek2"/>
        <w:rPr>
          <w:rFonts w:asciiTheme="minorHAnsi" w:hAnsiTheme="minorHAnsi" w:cstheme="minorHAnsi"/>
          <w:b w:val="0"/>
          <w:sz w:val="20"/>
          <w:szCs w:val="20"/>
        </w:rPr>
      </w:pPr>
      <w:bookmarkStart w:id="557" w:name="_Toc239333393"/>
      <w:bookmarkStart w:id="558" w:name="_Toc189833774"/>
      <w:r w:rsidRPr="00EB2E7B">
        <w:rPr>
          <w:rFonts w:asciiTheme="minorHAnsi" w:hAnsiTheme="minorHAnsi" w:cstheme="minorHAnsi"/>
          <w:b w:val="0"/>
          <w:sz w:val="20"/>
          <w:szCs w:val="20"/>
        </w:rPr>
        <w:t>Świadczenie usług dystrybucji odbywa się na podstawie tylko jednej umowy tj. umowy dystrybucji albo umowy kompleksowej.</w:t>
      </w:r>
      <w:bookmarkEnd w:id="557"/>
      <w:r w:rsidRPr="00EB2E7B">
        <w:rPr>
          <w:rFonts w:asciiTheme="minorHAnsi" w:hAnsiTheme="minorHAnsi" w:cstheme="minorHAnsi"/>
          <w:b w:val="0"/>
          <w:sz w:val="20"/>
          <w:szCs w:val="20"/>
        </w:rPr>
        <w:t xml:space="preserve"> </w:t>
      </w:r>
      <w:bookmarkEnd w:id="558"/>
    </w:p>
    <w:p w14:paraId="7EA1F60A" w14:textId="77777777" w:rsidR="009B3C6D" w:rsidRDefault="001F7378">
      <w:pPr>
        <w:pStyle w:val="ANagwek2"/>
        <w:rPr>
          <w:rFonts w:asciiTheme="minorHAnsi" w:hAnsiTheme="minorHAnsi" w:cstheme="minorHAnsi"/>
          <w:b w:val="0"/>
          <w:bCs w:val="0"/>
          <w:sz w:val="20"/>
          <w:szCs w:val="20"/>
        </w:rPr>
      </w:pPr>
      <w:bookmarkStart w:id="559" w:name="_Toc239333394"/>
      <w:bookmarkStart w:id="560" w:name="_Toc189833775"/>
      <w:r>
        <w:rPr>
          <w:rFonts w:asciiTheme="minorHAnsi" w:hAnsiTheme="minorHAnsi" w:cstheme="minorHAnsi"/>
          <w:b w:val="0"/>
          <w:bCs w:val="0"/>
          <w:sz w:val="20"/>
          <w:szCs w:val="20"/>
        </w:rPr>
        <w:t>Świadczenie usług dystrybucji w zakresie energii pobranej z sieci dystrybucyjnej ACPRO oraz wprowadzonej do tej sieci, dla:</w:t>
      </w:r>
      <w:bookmarkEnd w:id="559"/>
    </w:p>
    <w:p w14:paraId="2668E854"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URD</w:t>
      </w:r>
      <w:r>
        <w:rPr>
          <w:rFonts w:asciiTheme="minorHAnsi" w:hAnsiTheme="minorHAnsi" w:cstheme="minorHAnsi"/>
          <w:sz w:val="20"/>
          <w:szCs w:val="20"/>
          <w:vertAlign w:val="subscript"/>
        </w:rPr>
        <w:t>W</w:t>
      </w:r>
      <w:r>
        <w:rPr>
          <w:rFonts w:asciiTheme="minorHAnsi" w:hAnsiTheme="minorHAnsi" w:cstheme="minorHAnsi"/>
          <w:sz w:val="20"/>
          <w:szCs w:val="20"/>
        </w:rPr>
        <w:t>,</w:t>
      </w:r>
    </w:p>
    <w:p w14:paraId="21A59A63"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URD</w:t>
      </w:r>
      <w:r>
        <w:rPr>
          <w:rFonts w:asciiTheme="minorHAnsi" w:hAnsiTheme="minorHAnsi" w:cstheme="minorHAnsi"/>
          <w:sz w:val="20"/>
          <w:szCs w:val="20"/>
          <w:vertAlign w:val="subscript"/>
        </w:rPr>
        <w:t>ME</w:t>
      </w:r>
      <w:r>
        <w:rPr>
          <w:rFonts w:asciiTheme="minorHAnsi" w:hAnsiTheme="minorHAnsi" w:cstheme="minorHAnsi"/>
          <w:sz w:val="20"/>
          <w:szCs w:val="20"/>
        </w:rPr>
        <w:t>,</w:t>
      </w:r>
    </w:p>
    <w:p w14:paraId="69208075"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3) URD</w:t>
      </w:r>
      <w:r>
        <w:rPr>
          <w:rFonts w:asciiTheme="minorHAnsi" w:hAnsiTheme="minorHAnsi" w:cstheme="minorHAnsi"/>
          <w:sz w:val="20"/>
          <w:szCs w:val="20"/>
          <w:vertAlign w:val="subscript"/>
        </w:rPr>
        <w:t>O</w:t>
      </w:r>
      <w:r>
        <w:rPr>
          <w:rFonts w:asciiTheme="minorHAnsi" w:hAnsiTheme="minorHAnsi" w:cstheme="minorHAnsi"/>
          <w:sz w:val="20"/>
          <w:szCs w:val="20"/>
        </w:rPr>
        <w:t xml:space="preserve"> wytwarzających energię elektryczną w mikroinstalacji, którzy nie korzystają z mechanizmu określonego w art. 4 ust. 1 albo ust. 1a Ustawy OZE</w:t>
      </w:r>
    </w:p>
    <w:p w14:paraId="1EED070F"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odbywa się wyłącznie na podstawie umowy dystrybucji zawartej z ACPRO.</w:t>
      </w:r>
    </w:p>
    <w:p w14:paraId="06349C46"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Powyższe nie dotyczy:</w:t>
      </w:r>
    </w:p>
    <w:p w14:paraId="2B5BEA65"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a) URD</w:t>
      </w:r>
      <w:r>
        <w:rPr>
          <w:rFonts w:asciiTheme="minorHAnsi" w:hAnsiTheme="minorHAnsi" w:cstheme="minorHAnsi"/>
          <w:sz w:val="20"/>
          <w:szCs w:val="20"/>
          <w:vertAlign w:val="subscript"/>
        </w:rPr>
        <w:t>O</w:t>
      </w:r>
      <w:r>
        <w:rPr>
          <w:rFonts w:asciiTheme="minorHAnsi" w:hAnsiTheme="minorHAnsi" w:cstheme="minorHAnsi"/>
          <w:sz w:val="20"/>
          <w:szCs w:val="20"/>
        </w:rPr>
        <w:t xml:space="preserve"> w gospodarstwie domowym wytwarzających energię elektryczną w mikroinstalacji, dla których świadczenie usług dystrybucji w zakresie energii pobranej z sieci dystrybucyjnej </w:t>
      </w:r>
      <w:r>
        <w:rPr>
          <w:rFonts w:asciiTheme="minorHAnsi" w:hAnsiTheme="minorHAnsi" w:cstheme="minorHAnsi"/>
          <w:sz w:val="20"/>
          <w:szCs w:val="20"/>
        </w:rPr>
        <w:lastRenderedPageBreak/>
        <w:t>ACPRO oraz wprowadzonej do tej sieci, odbywa się wyłącznie na podstawie umowy kompleksowej, zgodnie z pkt A.3.16.,</w:t>
      </w:r>
    </w:p>
    <w:p w14:paraId="003BEAAE"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b) URD, o których mowa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1) – 2), będących członkami spółdzielni energetycznych, dla których świadczenie usług dystrybucji w zakresie energii pobranej z sieci dystrybucyjnej ACPRO odbywa się wyłącznie na podstawie umowy kompleksowej – wówczas świadczenie usług dystrybucji dla takiego URD w zakresie energii wprowadzonej do sieci dystrybucyjnej ACPRO odbywa się wyłącznie na podstawie umowy dystrybucji zawartej z ACPRO,</w:t>
      </w:r>
    </w:p>
    <w:p w14:paraId="15A6BB5A"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 xml:space="preserve">c) URD, o których mowa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3), będących członkami spółdzielni energetycznych, dla których świadczenie usług dystrybucji w zakresie energii pobranej z sieci dystrybucyjnej ACPRO oraz wprowadzonej do tej sieci odbywa się wyłącznie na podstawie umowy kompleksowej.</w:t>
      </w:r>
    </w:p>
    <w:p w14:paraId="386E30A2"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 xml:space="preserve">Umowa dystrybucji z URD, o których mowa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1) – 3), jest zawierana na wniosek, o którym mowa w pkt B.1., przy czym w przypadku URD</w:t>
      </w:r>
      <w:r>
        <w:rPr>
          <w:rFonts w:asciiTheme="minorHAnsi" w:hAnsiTheme="minorHAnsi" w:cstheme="minorHAnsi"/>
          <w:sz w:val="20"/>
          <w:szCs w:val="20"/>
          <w:vertAlign w:val="subscript"/>
        </w:rPr>
        <w:t>W</w:t>
      </w:r>
      <w:r>
        <w:rPr>
          <w:rFonts w:asciiTheme="minorHAnsi" w:hAnsiTheme="minorHAnsi" w:cstheme="minorHAnsi"/>
          <w:sz w:val="20"/>
          <w:szCs w:val="20"/>
        </w:rPr>
        <w:t xml:space="preserve"> lub URD</w:t>
      </w:r>
      <w:r>
        <w:rPr>
          <w:rFonts w:asciiTheme="minorHAnsi" w:hAnsiTheme="minorHAnsi" w:cstheme="minorHAnsi"/>
          <w:sz w:val="20"/>
          <w:szCs w:val="20"/>
          <w:vertAlign w:val="subscript"/>
        </w:rPr>
        <w:t>ME</w:t>
      </w:r>
      <w:r>
        <w:rPr>
          <w:rFonts w:asciiTheme="minorHAnsi" w:hAnsiTheme="minorHAnsi" w:cstheme="minorHAnsi"/>
          <w:sz w:val="20"/>
          <w:szCs w:val="20"/>
        </w:rPr>
        <w:t xml:space="preserve"> warunkiem jej zawarcia jest ustanowienie POB</w:t>
      </w:r>
      <w:r>
        <w:rPr>
          <w:rFonts w:asciiTheme="minorHAnsi" w:hAnsiTheme="minorHAnsi" w:cstheme="minorHAnsi"/>
          <w:sz w:val="20"/>
          <w:szCs w:val="20"/>
          <w:vertAlign w:val="subscript"/>
        </w:rPr>
        <w:t>Z</w:t>
      </w:r>
      <w:r>
        <w:rPr>
          <w:rFonts w:asciiTheme="minorHAnsi" w:hAnsiTheme="minorHAnsi" w:cstheme="minorHAnsi"/>
          <w:sz w:val="20"/>
          <w:szCs w:val="20"/>
        </w:rPr>
        <w:t>.</w:t>
      </w:r>
    </w:p>
    <w:p w14:paraId="764C7CE3"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Ustanowienie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następuje zgodnie z zapisami rozdziału E.</w:t>
      </w:r>
    </w:p>
    <w:p w14:paraId="6F60122A" w14:textId="77777777" w:rsidR="009B3C6D" w:rsidRDefault="001F7378">
      <w:pPr>
        <w:pStyle w:val="ANagwek2"/>
        <w:rPr>
          <w:rFonts w:asciiTheme="minorHAnsi" w:hAnsiTheme="minorHAnsi" w:cstheme="minorHAnsi"/>
          <w:b w:val="0"/>
          <w:bCs w:val="0"/>
          <w:sz w:val="20"/>
          <w:szCs w:val="20"/>
        </w:rPr>
      </w:pPr>
      <w:bookmarkStart w:id="561" w:name="_Toc239333395"/>
      <w:r>
        <w:rPr>
          <w:rFonts w:asciiTheme="minorHAnsi" w:hAnsiTheme="minorHAnsi" w:cstheme="minorHAnsi"/>
          <w:b w:val="0"/>
          <w:bCs w:val="0"/>
          <w:sz w:val="20"/>
          <w:szCs w:val="20"/>
        </w:rPr>
        <w:t>Świadczenie usług dystrybucji w zakresie energii pobranej z sieci dystrybucyjnej ACPRO oraz wprowadzonej do tej sieci, z URD</w:t>
      </w:r>
      <w:r>
        <w:rPr>
          <w:rFonts w:asciiTheme="minorHAnsi" w:hAnsiTheme="minorHAnsi" w:cstheme="minorHAnsi"/>
          <w:b w:val="0"/>
          <w:bCs w:val="0"/>
          <w:sz w:val="20"/>
          <w:szCs w:val="20"/>
          <w:vertAlign w:val="subscript"/>
        </w:rPr>
        <w:t>O</w:t>
      </w:r>
      <w:r>
        <w:rPr>
          <w:rFonts w:asciiTheme="minorHAnsi" w:hAnsiTheme="minorHAnsi" w:cstheme="minorHAnsi"/>
          <w:b w:val="0"/>
          <w:bCs w:val="0"/>
          <w:sz w:val="20"/>
          <w:szCs w:val="20"/>
        </w:rPr>
        <w:t xml:space="preserve"> wytwarzającymi energię w mikroinstalacji odbywa się na podstawie umowy dystrybucji, z wyłączeniem:</w:t>
      </w:r>
      <w:bookmarkEnd w:id="561"/>
    </w:p>
    <w:p w14:paraId="53A5BF48"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1) Prosumentów posiadających umowy kompleksowe korzystających z mechanizmu określonego w art. 4 ust. 1 albo 1a Ustawy OZE,</w:t>
      </w:r>
    </w:p>
    <w:p w14:paraId="18A807E6" w14:textId="77777777" w:rsidR="009B3C6D" w:rsidRDefault="001F7378">
      <w:pPr>
        <w:ind w:left="1701" w:hanging="567"/>
        <w:rPr>
          <w:rFonts w:asciiTheme="minorHAnsi" w:hAnsiTheme="minorHAnsi" w:cstheme="minorHAnsi"/>
          <w:sz w:val="20"/>
          <w:szCs w:val="20"/>
        </w:rPr>
      </w:pPr>
      <w:r>
        <w:rPr>
          <w:rFonts w:asciiTheme="minorHAnsi" w:hAnsiTheme="minorHAnsi" w:cstheme="minorHAnsi"/>
          <w:sz w:val="20"/>
          <w:szCs w:val="20"/>
        </w:rPr>
        <w:t>2) URD</w:t>
      </w:r>
      <w:r>
        <w:rPr>
          <w:rFonts w:asciiTheme="minorHAnsi" w:hAnsiTheme="minorHAnsi" w:cstheme="minorHAnsi"/>
          <w:sz w:val="20"/>
          <w:szCs w:val="20"/>
          <w:vertAlign w:val="subscript"/>
        </w:rPr>
        <w:t>O</w:t>
      </w:r>
      <w:r>
        <w:rPr>
          <w:rFonts w:asciiTheme="minorHAnsi" w:hAnsiTheme="minorHAnsi" w:cstheme="minorHAnsi"/>
          <w:sz w:val="20"/>
          <w:szCs w:val="20"/>
        </w:rPr>
        <w:t xml:space="preserve"> w gospodarstwie domowym wytwarzających energię elektryczną w mikroinstalacji, dla których świadczenie usług dystrybucji w zakresie energii pobranej z sieci dystrybucyjnej ACPRO oraz wprowadzonej do tej sieci, odbywa się wyłącznie na podstawie umowy kompleksowej, zgodnie z pkt A.3.16.</w:t>
      </w:r>
      <w:bookmarkEnd w:id="560"/>
    </w:p>
    <w:p w14:paraId="028460C7" w14:textId="56909151" w:rsidR="002817F9" w:rsidRPr="00EB2E7B" w:rsidRDefault="002817F9" w:rsidP="0024189C">
      <w:pPr>
        <w:pStyle w:val="ANagwek2"/>
        <w:rPr>
          <w:rFonts w:asciiTheme="minorHAnsi" w:hAnsiTheme="minorHAnsi" w:cstheme="minorHAnsi"/>
          <w:b w:val="0"/>
          <w:bCs w:val="0"/>
          <w:sz w:val="20"/>
          <w:szCs w:val="20"/>
        </w:rPr>
      </w:pPr>
      <w:bookmarkStart w:id="562" w:name="_Toc189833776"/>
      <w:bookmarkStart w:id="563" w:name="_Toc239333396"/>
      <w:r w:rsidRPr="00EB2E7B">
        <w:rPr>
          <w:rFonts w:asciiTheme="minorHAnsi" w:hAnsiTheme="minorHAnsi" w:cstheme="minorHAnsi"/>
          <w:b w:val="0"/>
          <w:bCs w:val="0"/>
          <w:sz w:val="20"/>
          <w:szCs w:val="20"/>
        </w:rPr>
        <w:t>Umowa dystrybucji, w zakresie energii pobranej z sieci oraz wprowadzonej do sieci ACPRO, z URD</w:t>
      </w:r>
      <w:r w:rsidRPr="00EB2E7B">
        <w:rPr>
          <w:rFonts w:asciiTheme="minorHAnsi" w:hAnsiTheme="minorHAnsi" w:cstheme="minorHAnsi"/>
          <w:b w:val="0"/>
          <w:bCs w:val="0"/>
          <w:sz w:val="20"/>
          <w:szCs w:val="20"/>
          <w:vertAlign w:val="subscript"/>
        </w:rPr>
        <w:t>O</w:t>
      </w:r>
      <w:r w:rsidRPr="00EB2E7B">
        <w:rPr>
          <w:rFonts w:asciiTheme="minorHAnsi" w:hAnsiTheme="minorHAnsi" w:cstheme="minorHAnsi"/>
          <w:b w:val="0"/>
          <w:bCs w:val="0"/>
          <w:sz w:val="20"/>
          <w:szCs w:val="20"/>
        </w:rPr>
        <w:t xml:space="preserve"> wytwarzającymi energię w mikroinstalacji, z wyłączeniem prosumentów, jest zawierana po uprzednim zgłoszeniu mikroinstalacji lub realizacji umowy przyłączeniowej.</w:t>
      </w:r>
      <w:bookmarkEnd w:id="562"/>
      <w:bookmarkEnd w:id="563"/>
    </w:p>
    <w:p w14:paraId="36354326" w14:textId="77777777" w:rsidR="00194141" w:rsidRPr="00EB2E7B" w:rsidRDefault="00194141" w:rsidP="004D1C36">
      <w:pPr>
        <w:pStyle w:val="ANagwek2"/>
        <w:rPr>
          <w:rFonts w:asciiTheme="minorHAnsi" w:hAnsiTheme="minorHAnsi" w:cstheme="minorHAnsi"/>
          <w:b w:val="0"/>
          <w:sz w:val="20"/>
          <w:szCs w:val="20"/>
        </w:rPr>
      </w:pPr>
      <w:bookmarkStart w:id="564" w:name="_Toc189833785"/>
      <w:bookmarkStart w:id="565" w:name="_Toc239333397"/>
      <w:bookmarkEnd w:id="548"/>
      <w:r w:rsidRPr="00EB2E7B">
        <w:rPr>
          <w:rFonts w:asciiTheme="minorHAnsi" w:hAnsiTheme="minorHAnsi" w:cstheme="minorHAnsi"/>
          <w:b w:val="0"/>
          <w:bCs w:val="0"/>
          <w:sz w:val="20"/>
          <w:szCs w:val="20"/>
        </w:rPr>
        <w:t>ACPRO zamieszcza na swojej stronie internetowej lub udostępnia w swojej siedzibie wykaz informacji, które zgodnie z art. 12 ust. 1 ustawy o prawach konsumenta winny być przekazane konsumentowi zamierzającemu zawrzeć umowę dystrybucji z ACPRO.</w:t>
      </w:r>
      <w:bookmarkEnd w:id="564"/>
      <w:bookmarkEnd w:id="565"/>
    </w:p>
    <w:p w14:paraId="17C65A62" w14:textId="77FB00B9" w:rsidR="00CF7FF6" w:rsidRPr="00EB2E7B" w:rsidRDefault="00CF7FF6" w:rsidP="0024189C">
      <w:pPr>
        <w:pStyle w:val="ANagwek2"/>
        <w:rPr>
          <w:rFonts w:asciiTheme="minorHAnsi" w:hAnsiTheme="minorHAnsi" w:cstheme="minorHAnsi"/>
          <w:b w:val="0"/>
          <w:sz w:val="20"/>
          <w:szCs w:val="20"/>
        </w:rPr>
      </w:pPr>
      <w:bookmarkStart w:id="566" w:name="_Toc189833786"/>
      <w:bookmarkStart w:id="567" w:name="_Toc239333398"/>
      <w:r w:rsidRPr="00EB2E7B">
        <w:rPr>
          <w:rFonts w:asciiTheme="minorHAnsi" w:hAnsiTheme="minorHAnsi" w:cstheme="minorHAnsi"/>
          <w:b w:val="0"/>
          <w:sz w:val="20"/>
          <w:szCs w:val="20"/>
        </w:rPr>
        <w:t xml:space="preserve">W przypadku złożenia, zgodnie z pkt. </w:t>
      </w:r>
      <w:r w:rsidR="006F45AE" w:rsidRPr="00EB2E7B">
        <w:rPr>
          <w:rFonts w:asciiTheme="minorHAnsi" w:hAnsiTheme="minorHAnsi" w:cstheme="minorHAnsi"/>
          <w:b w:val="0"/>
          <w:sz w:val="20"/>
          <w:szCs w:val="20"/>
        </w:rPr>
        <w:fldChar w:fldCharType="begin"/>
      </w:r>
      <w:r w:rsidR="006F45AE" w:rsidRPr="00EB2E7B">
        <w:rPr>
          <w:rFonts w:asciiTheme="minorHAnsi" w:hAnsiTheme="minorHAnsi" w:cstheme="minorHAnsi"/>
          <w:b w:val="0"/>
          <w:sz w:val="20"/>
          <w:szCs w:val="20"/>
        </w:rPr>
        <w:instrText xml:space="preserve"> REF _Ref190116304 \w \h </w:instrText>
      </w:r>
      <w:r w:rsidR="006F45AE" w:rsidRPr="00EB2E7B">
        <w:rPr>
          <w:rFonts w:asciiTheme="minorHAnsi" w:hAnsiTheme="minorHAnsi" w:cstheme="minorHAnsi"/>
          <w:b w:val="0"/>
          <w:bCs w:val="0"/>
          <w:sz w:val="20"/>
          <w:szCs w:val="20"/>
        </w:rPr>
        <w:instrText xml:space="preserve"> \* MERGEFORMAT </w:instrText>
      </w:r>
      <w:r w:rsidR="006F45AE" w:rsidRPr="00EB2E7B">
        <w:rPr>
          <w:rFonts w:asciiTheme="minorHAnsi" w:hAnsiTheme="minorHAnsi" w:cstheme="minorHAnsi"/>
          <w:b w:val="0"/>
          <w:sz w:val="20"/>
          <w:szCs w:val="20"/>
        </w:rPr>
      </w:r>
      <w:r w:rsidR="006F45AE"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D.2.10</w:t>
      </w:r>
      <w:r w:rsidR="006F45AE" w:rsidRPr="00EB2E7B">
        <w:rPr>
          <w:rFonts w:asciiTheme="minorHAnsi" w:hAnsiTheme="minorHAnsi" w:cstheme="minorHAnsi"/>
          <w:b w:val="0"/>
          <w:sz w:val="20"/>
          <w:szCs w:val="20"/>
        </w:rPr>
        <w:fldChar w:fldCharType="end"/>
      </w:r>
      <w:r w:rsidR="009658DD" w:rsidRPr="00EB2E7B">
        <w:rPr>
          <w:rFonts w:asciiTheme="minorHAnsi" w:hAnsiTheme="minorHAnsi" w:cstheme="minorHAnsi"/>
          <w:b w:val="0"/>
          <w:sz w:val="20"/>
          <w:szCs w:val="20"/>
        </w:rPr>
        <w:t xml:space="preserve"> </w:t>
      </w:r>
      <w:r w:rsidRPr="00EB2E7B">
        <w:rPr>
          <w:rFonts w:asciiTheme="minorHAnsi" w:hAnsiTheme="minorHAnsi" w:cstheme="minorHAnsi"/>
          <w:b w:val="0"/>
          <w:bCs w:val="0"/>
          <w:sz w:val="20"/>
          <w:szCs w:val="20"/>
        </w:rPr>
        <w:t>przez sprzedawcę i przyjęcia przez ACPRO oświadczenia o anulowaniu powiadomienia o zawarciu umowy sprzedaży energii elektrycznej, o którym mowa w pkt.</w:t>
      </w:r>
      <w:r w:rsidR="00753C31" w:rsidRPr="00EB2E7B">
        <w:rPr>
          <w:rFonts w:asciiTheme="minorHAnsi" w:hAnsiTheme="minorHAnsi" w:cstheme="minorHAnsi"/>
          <w:b w:val="0"/>
          <w:bCs w:val="0"/>
          <w:sz w:val="20"/>
          <w:szCs w:val="20"/>
        </w:rPr>
        <w:t xml:space="preserve"> </w:t>
      </w:r>
      <w:r w:rsidR="00FA3BC7" w:rsidRPr="00EB2E7B">
        <w:rPr>
          <w:rFonts w:asciiTheme="minorHAnsi" w:hAnsiTheme="minorHAnsi" w:cstheme="minorHAnsi"/>
          <w:b w:val="0"/>
          <w:sz w:val="20"/>
          <w:szCs w:val="20"/>
        </w:rPr>
        <w:fldChar w:fldCharType="begin"/>
      </w:r>
      <w:r w:rsidR="00FA3BC7" w:rsidRPr="00EB2E7B">
        <w:rPr>
          <w:rFonts w:asciiTheme="minorHAnsi" w:hAnsiTheme="minorHAnsi" w:cstheme="minorHAnsi"/>
          <w:b w:val="0"/>
          <w:sz w:val="20"/>
          <w:szCs w:val="20"/>
        </w:rPr>
        <w:instrText xml:space="preserve"> REF _Ref183180640 \w \h </w:instrText>
      </w:r>
      <w:r w:rsidR="00FA3BC7" w:rsidRPr="00EB2E7B">
        <w:rPr>
          <w:rFonts w:asciiTheme="minorHAnsi" w:hAnsiTheme="minorHAnsi" w:cstheme="minorHAnsi"/>
          <w:b w:val="0"/>
          <w:bCs w:val="0"/>
          <w:sz w:val="20"/>
          <w:szCs w:val="20"/>
        </w:rPr>
        <w:instrText xml:space="preserve"> \* MERGEFORMAT </w:instrText>
      </w:r>
      <w:r w:rsidR="00FA3BC7" w:rsidRPr="00EB2E7B">
        <w:rPr>
          <w:rFonts w:asciiTheme="minorHAnsi" w:hAnsiTheme="minorHAnsi" w:cstheme="minorHAnsi"/>
          <w:b w:val="0"/>
          <w:sz w:val="20"/>
          <w:szCs w:val="20"/>
        </w:rPr>
      </w:r>
      <w:r w:rsidR="00FA3BC7"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D.2.1</w:t>
      </w:r>
      <w:r w:rsidR="00FA3BC7"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umowa o świadczenie usług dystrybucji, o której mowa:</w:t>
      </w:r>
      <w:bookmarkEnd w:id="566"/>
      <w:bookmarkEnd w:id="567"/>
    </w:p>
    <w:p w14:paraId="39EAA530"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w przypadku złożenia, zgodnie z pkt. D.2.10 przez sprzedawcę i przyjęcia przez ACPRO oświadczenia o anulowaniu powiadomienia o zawarciu umowy sprzedaży energii elektrycznej, o którym mowa w pkt. D.2.1, umowa dystrybucji, o której mowa:</w:t>
      </w:r>
    </w:p>
    <w:p w14:paraId="2F862BB5" w14:textId="0839F9D8" w:rsidR="00CF7FF6" w:rsidRPr="00EB2E7B" w:rsidRDefault="00CF7FF6" w:rsidP="00CF7FF6">
      <w:pPr>
        <w:pStyle w:val="aprzed"/>
        <w:numPr>
          <w:ilvl w:val="0"/>
          <w:numId w:val="285"/>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 pkt. </w:t>
      </w:r>
      <w:r w:rsidR="00FA3BC7" w:rsidRPr="00EB2E7B">
        <w:rPr>
          <w:rFonts w:asciiTheme="minorHAnsi" w:hAnsiTheme="minorHAnsi" w:cstheme="minorHAnsi"/>
          <w:sz w:val="20"/>
          <w:szCs w:val="20"/>
        </w:rPr>
        <w:fldChar w:fldCharType="begin"/>
      </w:r>
      <w:r w:rsidR="00FA3BC7" w:rsidRPr="00EB2E7B">
        <w:rPr>
          <w:rFonts w:asciiTheme="minorHAnsi" w:hAnsiTheme="minorHAnsi" w:cstheme="minorHAnsi"/>
          <w:sz w:val="20"/>
          <w:szCs w:val="20"/>
        </w:rPr>
        <w:instrText xml:space="preserve"> REF _Ref190116416 \w \h  \* MERGEFORMAT </w:instrText>
      </w:r>
      <w:r w:rsidR="00FA3BC7" w:rsidRPr="00EB2E7B">
        <w:rPr>
          <w:rFonts w:asciiTheme="minorHAnsi" w:hAnsiTheme="minorHAnsi" w:cstheme="minorHAnsi"/>
          <w:sz w:val="20"/>
          <w:szCs w:val="20"/>
        </w:rPr>
      </w:r>
      <w:r w:rsidR="00FA3BC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B.2</w:t>
      </w:r>
      <w:r w:rsidR="00FA3BC7" w:rsidRPr="00EB2E7B">
        <w:rPr>
          <w:rFonts w:asciiTheme="minorHAnsi" w:hAnsiTheme="minorHAnsi" w:cstheme="minorHAnsi"/>
          <w:sz w:val="20"/>
          <w:szCs w:val="20"/>
        </w:rPr>
        <w:fldChar w:fldCharType="end"/>
      </w:r>
      <w:r w:rsidR="00273D8E" w:rsidRPr="00EB2E7B">
        <w:rPr>
          <w:rFonts w:asciiTheme="minorHAnsi" w:hAnsiTheme="minorHAnsi" w:cstheme="minorHAnsi"/>
          <w:sz w:val="20"/>
          <w:szCs w:val="20"/>
        </w:rPr>
        <w:t xml:space="preserve">. </w:t>
      </w:r>
      <w:r w:rsidRPr="00EB2E7B">
        <w:rPr>
          <w:rFonts w:asciiTheme="minorHAnsi" w:hAnsiTheme="minorHAnsi" w:cstheme="minorHAnsi"/>
          <w:sz w:val="20"/>
          <w:szCs w:val="20"/>
        </w:rPr>
        <w:t>nie jest zawierana;</w:t>
      </w:r>
    </w:p>
    <w:p w14:paraId="49478AE1" w14:textId="15FD2A3D" w:rsidR="00CF7FF6" w:rsidRPr="00EB2E7B" w:rsidRDefault="00CF7FF6" w:rsidP="00CF7FF6">
      <w:pPr>
        <w:pStyle w:val="aprzed"/>
        <w:numPr>
          <w:ilvl w:val="0"/>
          <w:numId w:val="285"/>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 pkt. </w:t>
      </w:r>
      <w:r w:rsidR="00FA3BC7" w:rsidRPr="00EB2E7B">
        <w:rPr>
          <w:rFonts w:asciiTheme="minorHAnsi" w:hAnsiTheme="minorHAnsi" w:cstheme="minorHAnsi"/>
          <w:sz w:val="20"/>
          <w:szCs w:val="20"/>
        </w:rPr>
        <w:fldChar w:fldCharType="begin"/>
      </w:r>
      <w:r w:rsidR="00FA3BC7" w:rsidRPr="00EB2E7B">
        <w:rPr>
          <w:rFonts w:asciiTheme="minorHAnsi" w:hAnsiTheme="minorHAnsi" w:cstheme="minorHAnsi"/>
          <w:sz w:val="20"/>
          <w:szCs w:val="20"/>
        </w:rPr>
        <w:instrText xml:space="preserve"> REF _Ref190116439 \w \h  \* MERGEFORMAT </w:instrText>
      </w:r>
      <w:r w:rsidR="00FA3BC7" w:rsidRPr="00EB2E7B">
        <w:rPr>
          <w:rFonts w:asciiTheme="minorHAnsi" w:hAnsiTheme="minorHAnsi" w:cstheme="minorHAnsi"/>
          <w:sz w:val="20"/>
          <w:szCs w:val="20"/>
        </w:rPr>
      </w:r>
      <w:r w:rsidR="00FA3BC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B.4</w:t>
      </w:r>
      <w:r w:rsidR="00FA3BC7" w:rsidRPr="00EB2E7B">
        <w:rPr>
          <w:rFonts w:asciiTheme="minorHAnsi" w:hAnsiTheme="minorHAnsi" w:cstheme="minorHAnsi"/>
          <w:sz w:val="20"/>
          <w:szCs w:val="20"/>
        </w:rPr>
        <w:fldChar w:fldCharType="end"/>
      </w:r>
      <w:r w:rsidR="00273D8E" w:rsidRPr="00EB2E7B">
        <w:rPr>
          <w:rFonts w:asciiTheme="minorHAnsi" w:hAnsiTheme="minorHAnsi" w:cstheme="minorHAnsi"/>
          <w:sz w:val="20"/>
          <w:szCs w:val="20"/>
        </w:rPr>
        <w:t>.</w:t>
      </w:r>
      <w:r w:rsidRPr="00EB2E7B">
        <w:rPr>
          <w:rFonts w:asciiTheme="minorHAnsi" w:hAnsiTheme="minorHAnsi" w:cstheme="minorHAnsi"/>
          <w:sz w:val="20"/>
          <w:szCs w:val="20"/>
        </w:rPr>
        <w:t xml:space="preserve"> nie ulega rozwiązaniu i nie jest realizowana przez ACPRO do dnia rozpoczęcia sprzedaży przez sprzedawcę zgodnie z rozdziałem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_Ref75766947 \r \h </w:instrText>
      </w:r>
      <w:r w:rsidR="008E27E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 Bilansowanie. </w:t>
      </w:r>
    </w:p>
    <w:p w14:paraId="6A7CFCBE" w14:textId="79353206" w:rsidR="00064935" w:rsidRPr="00EB2E7B" w:rsidRDefault="00064935" w:rsidP="0024189C">
      <w:pPr>
        <w:pStyle w:val="ANagwek2"/>
        <w:rPr>
          <w:rFonts w:asciiTheme="minorHAnsi" w:hAnsiTheme="minorHAnsi" w:cstheme="minorHAnsi"/>
          <w:b w:val="0"/>
          <w:sz w:val="20"/>
          <w:szCs w:val="20"/>
        </w:rPr>
      </w:pPr>
      <w:bookmarkStart w:id="568" w:name="_Toc189833793"/>
      <w:bookmarkStart w:id="569" w:name="_Toc239333399"/>
      <w:r w:rsidRPr="00EB2E7B">
        <w:rPr>
          <w:rFonts w:asciiTheme="minorHAnsi" w:hAnsiTheme="minorHAnsi" w:cstheme="minorHAnsi"/>
          <w:b w:val="0"/>
          <w:sz w:val="20"/>
          <w:szCs w:val="20"/>
        </w:rPr>
        <w:t xml:space="preserve">Zakończenie na wniosek URD świadczenia usługi dystrybucji na podstawie umowy dystrybucji następuje w dacie odłączenia zasilania w danym PPE, tj. stworzenia fizycznej przerwy w torze </w:t>
      </w:r>
      <w:r w:rsidRPr="00EB2E7B">
        <w:rPr>
          <w:rFonts w:asciiTheme="minorHAnsi" w:hAnsiTheme="minorHAnsi" w:cstheme="minorHAnsi"/>
          <w:b w:val="0"/>
          <w:sz w:val="20"/>
          <w:szCs w:val="20"/>
        </w:rPr>
        <w:lastRenderedPageBreak/>
        <w:t>prądowym (np. demontaż układu pomiarowo-rozliczeniowego, demontaż przyłącza bądź jego fragmentu, wyjęcie wkładki bezpiecznikowej, odłączenie stycznika w LZO, itp.).</w:t>
      </w:r>
      <w:bookmarkEnd w:id="568"/>
      <w:bookmarkEnd w:id="569"/>
      <w:r w:rsidR="00A54D70" w:rsidRPr="00EB2E7B">
        <w:rPr>
          <w:rFonts w:asciiTheme="minorHAnsi" w:hAnsiTheme="minorHAnsi" w:cstheme="minorHAnsi"/>
          <w:sz w:val="20"/>
          <w:szCs w:val="20"/>
        </w:rPr>
        <w:br w:type="page"/>
      </w:r>
    </w:p>
    <w:p w14:paraId="5C23F9B8" w14:textId="08997FF5" w:rsidR="00442E76" w:rsidRPr="00EB2E7B" w:rsidRDefault="00442E76" w:rsidP="009F5317">
      <w:pPr>
        <w:pStyle w:val="Nagwek1"/>
        <w:numPr>
          <w:ilvl w:val="0"/>
          <w:numId w:val="497"/>
        </w:numPr>
        <w:rPr>
          <w:rFonts w:asciiTheme="minorHAnsi" w:hAnsiTheme="minorHAnsi" w:cstheme="minorHAnsi"/>
          <w:sz w:val="20"/>
          <w:szCs w:val="20"/>
        </w:rPr>
      </w:pPr>
      <w:bookmarkStart w:id="570" w:name="_Ref190170102"/>
      <w:bookmarkStart w:id="571" w:name="_Toc239333400"/>
      <w:bookmarkStart w:id="572" w:name="_Ref75524931"/>
      <w:bookmarkStart w:id="573" w:name="_Toc180153772"/>
      <w:r w:rsidRPr="00EB2E7B">
        <w:rPr>
          <w:rFonts w:asciiTheme="minorHAnsi" w:hAnsiTheme="minorHAnsi" w:cstheme="minorHAnsi"/>
          <w:sz w:val="20"/>
          <w:szCs w:val="20"/>
        </w:rPr>
        <w:lastRenderedPageBreak/>
        <w:t>ZASADY WYZNACZANIA, PRZEKAZYWANIA I UDOSTĘPNIANIA DANYCH POMIAROWYCH</w:t>
      </w:r>
      <w:bookmarkEnd w:id="570"/>
      <w:bookmarkEnd w:id="571"/>
    </w:p>
    <w:p w14:paraId="76829C2B" w14:textId="4DACFA43" w:rsidR="00473957" w:rsidRPr="00EB2E7B" w:rsidRDefault="00442E76" w:rsidP="0024189C">
      <w:pPr>
        <w:pStyle w:val="ANagwek2"/>
        <w:rPr>
          <w:rFonts w:asciiTheme="minorHAnsi" w:hAnsiTheme="minorHAnsi" w:cstheme="minorHAnsi"/>
          <w:sz w:val="20"/>
          <w:szCs w:val="20"/>
        </w:rPr>
      </w:pPr>
      <w:bookmarkStart w:id="574" w:name="_Ref189085097"/>
      <w:bookmarkStart w:id="575" w:name="_Toc239333401"/>
      <w:bookmarkEnd w:id="572"/>
      <w:bookmarkEnd w:id="573"/>
      <w:r w:rsidRPr="00EB2E7B">
        <w:rPr>
          <w:rFonts w:asciiTheme="minorHAnsi" w:hAnsiTheme="minorHAnsi" w:cstheme="minorHAnsi"/>
          <w:sz w:val="20"/>
          <w:szCs w:val="20"/>
        </w:rPr>
        <w:t>WYZNACZANIE ORAZ PRZEKAZYWANIE DANYCH POMIAROWYCH I</w:t>
      </w:r>
      <w:r w:rsidR="00FC2A06" w:rsidRPr="00EB2E7B">
        <w:rPr>
          <w:rFonts w:asciiTheme="minorHAnsi" w:hAnsiTheme="minorHAnsi" w:cstheme="minorHAnsi"/>
          <w:sz w:val="20"/>
          <w:szCs w:val="20"/>
        </w:rPr>
        <w:t> </w:t>
      </w:r>
      <w:r w:rsidRPr="00EB2E7B">
        <w:rPr>
          <w:rFonts w:asciiTheme="minorHAnsi" w:hAnsiTheme="minorHAnsi" w:cstheme="minorHAnsi"/>
          <w:sz w:val="20"/>
          <w:szCs w:val="20"/>
        </w:rPr>
        <w:t>POMIAROWO-ROZLICZENIOWYCH.</w:t>
      </w:r>
      <w:bookmarkEnd w:id="574"/>
      <w:bookmarkEnd w:id="575"/>
    </w:p>
    <w:p w14:paraId="1FCA21E6" w14:textId="4FFFC12D" w:rsidR="004528F5" w:rsidRPr="00EB2E7B" w:rsidRDefault="00232DA9" w:rsidP="004854C6">
      <w:pPr>
        <w:pStyle w:val="ANagwek3"/>
        <w:rPr>
          <w:rFonts w:asciiTheme="minorHAnsi" w:hAnsiTheme="minorHAnsi" w:cstheme="minorHAnsi"/>
          <w:sz w:val="20"/>
          <w:szCs w:val="20"/>
        </w:rPr>
      </w:pPr>
      <w:proofErr w:type="spellStart"/>
      <w:r w:rsidRPr="00EB2E7B">
        <w:rPr>
          <w:rFonts w:asciiTheme="minorHAnsi" w:hAnsiTheme="minorHAnsi" w:cstheme="minorHAnsi"/>
          <w:sz w:val="20"/>
          <w:szCs w:val="20"/>
        </w:rPr>
        <w:t>OSD</w:t>
      </w:r>
      <w:r w:rsidR="009500A5" w:rsidRPr="00EB2E7B">
        <w:rPr>
          <w:rFonts w:asciiTheme="minorHAnsi" w:hAnsiTheme="minorHAnsi" w:cstheme="minorHAnsi"/>
          <w:sz w:val="20"/>
          <w:szCs w:val="20"/>
        </w:rPr>
        <w:t>p</w:t>
      </w:r>
      <w:proofErr w:type="spellEnd"/>
      <w:r w:rsidR="002916CC" w:rsidRPr="00EB2E7B">
        <w:rPr>
          <w:rFonts w:asciiTheme="minorHAnsi" w:hAnsiTheme="minorHAnsi" w:cstheme="minorHAnsi"/>
          <w:sz w:val="20"/>
          <w:szCs w:val="20"/>
        </w:rPr>
        <w:t xml:space="preserve"> </w:t>
      </w:r>
      <w:r w:rsidR="004528F5" w:rsidRPr="00EB2E7B">
        <w:rPr>
          <w:rFonts w:asciiTheme="minorHAnsi" w:hAnsiTheme="minorHAnsi" w:cstheme="minorHAnsi"/>
          <w:sz w:val="20"/>
          <w:szCs w:val="20"/>
        </w:rPr>
        <w:t>funkcjonujący na obszarze działania ACPRO administruje danymi pomiarowymi i realizuje zadania OP w rozumieniu WDB, w zakresie FRP i </w:t>
      </w:r>
      <w:r w:rsidR="004528F5" w:rsidRPr="00EB2E7B">
        <w:rPr>
          <w:rFonts w:asciiTheme="minorHAnsi" w:hAnsiTheme="minorHAnsi" w:cstheme="minorHAnsi"/>
          <w:sz w:val="20"/>
          <w:szCs w:val="20"/>
          <w:vertAlign w:val="subscript"/>
        </w:rPr>
        <w:t>F</w:t>
      </w:r>
      <w:r w:rsidR="004528F5" w:rsidRPr="00EB2E7B">
        <w:rPr>
          <w:rFonts w:asciiTheme="minorHAnsi" w:hAnsiTheme="minorHAnsi" w:cstheme="minorHAnsi"/>
          <w:sz w:val="20"/>
          <w:szCs w:val="20"/>
        </w:rPr>
        <w:t>MB przypisanych do MB, które składają się na JB</w:t>
      </w:r>
      <w:r w:rsidR="004528F5" w:rsidRPr="00EB2E7B">
        <w:rPr>
          <w:rFonts w:asciiTheme="minorHAnsi" w:hAnsiTheme="minorHAnsi" w:cstheme="minorHAnsi"/>
          <w:sz w:val="20"/>
          <w:szCs w:val="20"/>
          <w:vertAlign w:val="subscript"/>
        </w:rPr>
        <w:t>OS</w:t>
      </w:r>
      <w:r w:rsidR="004528F5" w:rsidRPr="00EB2E7B">
        <w:rPr>
          <w:rFonts w:asciiTheme="minorHAnsi" w:hAnsiTheme="minorHAnsi" w:cstheme="minorHAnsi"/>
          <w:sz w:val="20"/>
          <w:szCs w:val="20"/>
        </w:rPr>
        <w:t xml:space="preserve"> będącą w posiadaniu </w:t>
      </w:r>
      <w:proofErr w:type="spellStart"/>
      <w:r w:rsidR="004528F5" w:rsidRPr="00EB2E7B">
        <w:rPr>
          <w:rFonts w:asciiTheme="minorHAnsi" w:hAnsiTheme="minorHAnsi" w:cstheme="minorHAnsi"/>
          <w:sz w:val="20"/>
          <w:szCs w:val="20"/>
        </w:rPr>
        <w:t>OSDp</w:t>
      </w:r>
      <w:proofErr w:type="spellEnd"/>
      <w:r w:rsidR="004528F5" w:rsidRPr="00EB2E7B">
        <w:rPr>
          <w:rFonts w:asciiTheme="minorHAnsi" w:hAnsiTheme="minorHAnsi" w:cstheme="minorHAnsi"/>
          <w:sz w:val="20"/>
          <w:szCs w:val="20"/>
        </w:rPr>
        <w:t xml:space="preserve"> jako POB</w:t>
      </w:r>
      <w:r w:rsidR="004528F5" w:rsidRPr="00EB2E7B">
        <w:rPr>
          <w:rFonts w:asciiTheme="minorHAnsi" w:hAnsiTheme="minorHAnsi" w:cstheme="minorHAnsi"/>
          <w:sz w:val="20"/>
          <w:szCs w:val="20"/>
          <w:vertAlign w:val="subscript"/>
        </w:rPr>
        <w:t>OSD</w:t>
      </w:r>
      <w:r w:rsidR="004528F5" w:rsidRPr="00EB2E7B">
        <w:rPr>
          <w:rFonts w:asciiTheme="minorHAnsi" w:hAnsiTheme="minorHAnsi" w:cstheme="minorHAnsi"/>
          <w:sz w:val="20"/>
          <w:szCs w:val="20"/>
        </w:rPr>
        <w:t>.</w:t>
      </w:r>
      <w:r w:rsidR="00D362A2" w:rsidRPr="00EB2E7B">
        <w:rPr>
          <w:rFonts w:asciiTheme="minorHAnsi" w:hAnsiTheme="minorHAnsi" w:cstheme="minorHAnsi"/>
          <w:sz w:val="20"/>
          <w:szCs w:val="20"/>
        </w:rPr>
        <w:t xml:space="preserve"> </w:t>
      </w:r>
      <w:proofErr w:type="spellStart"/>
      <w:r w:rsidR="004528F5" w:rsidRPr="00EB2E7B">
        <w:rPr>
          <w:rFonts w:asciiTheme="minorHAnsi" w:hAnsiTheme="minorHAnsi" w:cstheme="minorHAnsi"/>
          <w:sz w:val="20"/>
          <w:szCs w:val="20"/>
        </w:rPr>
        <w:t>OSDp</w:t>
      </w:r>
      <w:proofErr w:type="spellEnd"/>
      <w:r w:rsidR="004528F5" w:rsidRPr="00EB2E7B">
        <w:rPr>
          <w:rFonts w:asciiTheme="minorHAnsi" w:hAnsiTheme="minorHAnsi" w:cstheme="minorHAnsi"/>
          <w:sz w:val="20"/>
          <w:szCs w:val="20"/>
        </w:rPr>
        <w:t xml:space="preserve"> może zlecić realizację funkcji OP, w całości bądź w części, innemu podmiotowi.</w:t>
      </w:r>
    </w:p>
    <w:p w14:paraId="657ECBF7" w14:textId="6F2980B4" w:rsidR="00641904" w:rsidRPr="00EB2E7B" w:rsidRDefault="00641904" w:rsidP="004854C6">
      <w:pPr>
        <w:pStyle w:val="ANagwek3"/>
        <w:rPr>
          <w:rFonts w:asciiTheme="minorHAnsi" w:hAnsiTheme="minorHAnsi" w:cstheme="minorHAnsi"/>
          <w:sz w:val="20"/>
          <w:szCs w:val="20"/>
        </w:rPr>
      </w:pPr>
      <w:bookmarkStart w:id="576" w:name="_Ref190121733"/>
      <w:bookmarkStart w:id="577" w:name="_Ref151925586"/>
      <w:r w:rsidRPr="00EB2E7B">
        <w:rPr>
          <w:rFonts w:asciiTheme="minorHAnsi" w:hAnsiTheme="minorHAnsi" w:cstheme="minorHAnsi"/>
          <w:sz w:val="20"/>
          <w:szCs w:val="20"/>
        </w:rPr>
        <w:t xml:space="preserve">Administrowanie przez </w:t>
      </w:r>
      <w:proofErr w:type="spellStart"/>
      <w:r w:rsidR="00CB4F7A"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danymi pomiarowymi w obszarze sieci dystrybucyjnej polega na wyznaczaniu ilości energii dla potrzeb rozliczeń m. in. na Rynku Bilansującym, Rynku Detalicznym, rynku mocy, usług dystrybucyjnych oraz innych potrzeb i obejmuje następujące zadania:</w:t>
      </w:r>
      <w:bookmarkEnd w:id="576"/>
    </w:p>
    <w:p w14:paraId="1D48D9E7" w14:textId="1F7BB9A0" w:rsidR="00641904" w:rsidRPr="00EB2E7B" w:rsidRDefault="000C6D4D" w:rsidP="009A58F4">
      <w:pPr>
        <w:pStyle w:val="NormalnyIRiESD"/>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eksploatacja i rozwój LSPR, służącego pozyskiwaniu, przetwarzaniu oraz zarządzaniu danymi pomiarowymi,</w:t>
      </w:r>
    </w:p>
    <w:p w14:paraId="79CFF23C"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od dnia przystąpienia ACPRO do CSIRE — eksploatacja i rozwój systemu pomiarowego, służącego pozyskiwaniu, przetwarzaniu oraz zarządzaniu danymi pomiarowymi,</w:t>
      </w:r>
    </w:p>
    <w:p w14:paraId="6ADC2180" w14:textId="24F9C989" w:rsidR="000C6D4D" w:rsidRPr="00EB2E7B" w:rsidRDefault="000C6D4D" w:rsidP="009A58F4">
      <w:pPr>
        <w:pStyle w:val="NormalnyIRiESD"/>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akwizycja danych pomiarowych z układów pomiarowo-rozliczeniowych energii elektrycznej zainstalowanych w sieci dystrybucyjnej </w:t>
      </w:r>
      <w:proofErr w:type="spellStart"/>
      <w:r w:rsidR="00CB4F7A"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7C5B334E" w14:textId="4E1F1C61" w:rsidR="000C6D4D" w:rsidRPr="00EB2E7B" w:rsidRDefault="000C6D4D" w:rsidP="009A58F4">
      <w:pPr>
        <w:pStyle w:val="NormalnyIRiESD"/>
        <w:numPr>
          <w:ilvl w:val="7"/>
          <w:numId w:val="85"/>
        </w:numPr>
        <w:ind w:left="1701" w:hanging="567"/>
        <w:rPr>
          <w:rFonts w:asciiTheme="minorHAnsi" w:hAnsiTheme="minorHAnsi" w:cstheme="minorHAnsi"/>
          <w:sz w:val="20"/>
          <w:szCs w:val="20"/>
        </w:rPr>
      </w:pPr>
      <w:bookmarkStart w:id="578" w:name="_Ref190116855"/>
      <w:r w:rsidRPr="00EB2E7B">
        <w:rPr>
          <w:rFonts w:asciiTheme="minorHAnsi" w:hAnsiTheme="minorHAnsi" w:cstheme="minorHAnsi"/>
          <w:sz w:val="20"/>
          <w:szCs w:val="20"/>
        </w:rPr>
        <w:t>wyznaczanie ilości energii elektrycznej w poszczególnych rzeczywistych miejscach dostarczania energii elektrycznej,</w:t>
      </w:r>
      <w:bookmarkEnd w:id="578"/>
    </w:p>
    <w:p w14:paraId="5A94893E" w14:textId="66CDA176" w:rsidR="000C6D4D" w:rsidRPr="00EB2E7B" w:rsidRDefault="000C6D4D" w:rsidP="009A58F4">
      <w:pPr>
        <w:pStyle w:val="NormalnyIRiESD"/>
        <w:numPr>
          <w:ilvl w:val="7"/>
          <w:numId w:val="85"/>
        </w:numPr>
        <w:ind w:left="1701" w:hanging="567"/>
        <w:rPr>
          <w:rFonts w:asciiTheme="minorHAnsi" w:hAnsiTheme="minorHAnsi" w:cstheme="minorHAnsi"/>
          <w:sz w:val="20"/>
          <w:szCs w:val="20"/>
        </w:rPr>
      </w:pPr>
      <w:bookmarkStart w:id="579" w:name="_Ref190116859"/>
      <w:r w:rsidRPr="00EB2E7B">
        <w:rPr>
          <w:rFonts w:asciiTheme="minorHAnsi" w:hAnsiTheme="minorHAnsi" w:cstheme="minorHAnsi"/>
          <w:sz w:val="20"/>
          <w:szCs w:val="20"/>
        </w:rPr>
        <w:t xml:space="preserve">udostępnianie OSP, sąsiednim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sprzedawcom oraz URD danych pomiarowych i pomiarowo-rozliczeniowych,</w:t>
      </w:r>
      <w:bookmarkEnd w:id="579"/>
    </w:p>
    <w:p w14:paraId="5E9DAE51" w14:textId="319E15B3" w:rsidR="000C6D4D" w:rsidRPr="00EB2E7B" w:rsidRDefault="00564CDF" w:rsidP="009A58F4">
      <w:pPr>
        <w:pStyle w:val="NormalnyIRiESD"/>
        <w:numPr>
          <w:ilvl w:val="7"/>
          <w:numId w:val="85"/>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rozpatrywanie reklamacji, zgłaszanych przez podmioty wymienione w lit. </w:t>
      </w:r>
      <w:r w:rsidR="00C663F9" w:rsidRPr="00EB2E7B">
        <w:rPr>
          <w:rFonts w:asciiTheme="minorHAnsi" w:hAnsiTheme="minorHAnsi" w:cstheme="minorHAnsi"/>
          <w:sz w:val="20"/>
          <w:szCs w:val="20"/>
        </w:rPr>
        <w:fldChar w:fldCharType="begin"/>
      </w:r>
      <w:r w:rsidR="00C663F9" w:rsidRPr="00EB2E7B">
        <w:rPr>
          <w:rFonts w:asciiTheme="minorHAnsi" w:hAnsiTheme="minorHAnsi" w:cstheme="minorHAnsi"/>
          <w:sz w:val="20"/>
          <w:szCs w:val="20"/>
        </w:rPr>
        <w:instrText xml:space="preserve"> REF _Ref190116859 \w \h  \* MERGEFORMAT </w:instrText>
      </w:r>
      <w:r w:rsidR="00C663F9" w:rsidRPr="00EB2E7B">
        <w:rPr>
          <w:rFonts w:asciiTheme="minorHAnsi" w:hAnsiTheme="minorHAnsi" w:cstheme="minorHAnsi"/>
          <w:sz w:val="20"/>
          <w:szCs w:val="20"/>
        </w:rPr>
      </w:r>
      <w:r w:rsidR="00C663F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C.1.2.d)</w:t>
      </w:r>
      <w:r w:rsidR="00C663F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dotyczących nieudostępnionych danych pomiarowych lub przyporządkowanych tym podmiotom ilości dostarczanej energii elektrycznej i wprowadzanie niezbędnych korekt w wymagających tego przypadkach.</w:t>
      </w:r>
    </w:p>
    <w:p w14:paraId="2691AB92" w14:textId="590665DE" w:rsidR="00473957" w:rsidRPr="00EB2E7B" w:rsidRDefault="00DC2B7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 pozyskuje dane pomiarowe i wyznacza rzeczywiste ilości energii elektrycznej poprzez LSPR. ACPRO pozyskuje te dane w postaci:</w:t>
      </w:r>
      <w:bookmarkEnd w:id="577"/>
    </w:p>
    <w:p w14:paraId="398CD2CC"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ACPRO pozyskuje dane pomiarowe i wyznacza rzeczywiste ilości energii elektrycznej poprzez system pomiarowy.</w:t>
      </w:r>
    </w:p>
    <w:p w14:paraId="3081D9E3" w14:textId="58A31F38" w:rsidR="00564CDF" w:rsidRPr="00EB2E7B" w:rsidRDefault="00DC2B7B" w:rsidP="00CB4F7A">
      <w:pPr>
        <w:pStyle w:val="aprzed"/>
        <w:numPr>
          <w:ilvl w:val="0"/>
          <w:numId w:val="106"/>
        </w:numPr>
        <w:ind w:left="1701" w:hanging="566"/>
        <w:rPr>
          <w:rFonts w:asciiTheme="minorHAnsi" w:hAnsiTheme="minorHAnsi" w:cstheme="minorHAnsi"/>
          <w:sz w:val="20"/>
          <w:szCs w:val="20"/>
        </w:rPr>
      </w:pPr>
      <w:bookmarkStart w:id="580" w:name="_Ref151925596"/>
      <w:r w:rsidRPr="00EB2E7B">
        <w:rPr>
          <w:rFonts w:asciiTheme="minorHAnsi" w:hAnsiTheme="minorHAnsi" w:cstheme="minorHAnsi"/>
          <w:sz w:val="20"/>
          <w:szCs w:val="20"/>
        </w:rPr>
        <w:t>ilości energii elektrycznej pobranej z sieci dystrybucyjnej ACPRO lub wprowadzonej do tej sieci przez URD, wyznaczone na podstawie profilu energii elektrycznej pochodzącego z licznika zdalnego odczytu,</w:t>
      </w:r>
      <w:bookmarkStart w:id="581" w:name="_Ref190169393"/>
      <w:bookmarkEnd w:id="580"/>
    </w:p>
    <w:p w14:paraId="054E9233" w14:textId="2EBE9B82" w:rsidR="00473957" w:rsidRPr="00EB2E7B" w:rsidRDefault="00DC2B7B" w:rsidP="00CB4F7A">
      <w:pPr>
        <w:pStyle w:val="aprzed"/>
        <w:numPr>
          <w:ilvl w:val="0"/>
          <w:numId w:val="106"/>
        </w:numPr>
        <w:ind w:left="1701" w:hanging="566"/>
        <w:rPr>
          <w:rFonts w:asciiTheme="minorHAnsi" w:hAnsiTheme="minorHAnsi" w:cstheme="minorHAnsi"/>
          <w:sz w:val="20"/>
          <w:szCs w:val="20"/>
        </w:rPr>
      </w:pPr>
      <w:bookmarkStart w:id="582" w:name="_Ref190169525"/>
      <w:bookmarkEnd w:id="581"/>
      <w:r w:rsidRPr="00EB2E7B">
        <w:rPr>
          <w:rFonts w:asciiTheme="minorHAnsi" w:hAnsiTheme="minorHAnsi" w:cstheme="minorHAnsi"/>
          <w:sz w:val="20"/>
          <w:szCs w:val="20"/>
        </w:rPr>
        <w:t>okresowych stanów (wskazań) liczydeł liczników.</w:t>
      </w:r>
      <w:bookmarkEnd w:id="582"/>
    </w:p>
    <w:p w14:paraId="324B7244" w14:textId="4D6F1AB0" w:rsidR="00473957" w:rsidRPr="00EB2E7B" w:rsidRDefault="00DC2B7B" w:rsidP="00B64039">
      <w:pPr>
        <w:ind w:left="1134" w:firstLine="0"/>
        <w:rPr>
          <w:rFonts w:asciiTheme="minorHAnsi" w:hAnsiTheme="minorHAnsi" w:cstheme="minorHAnsi"/>
          <w:sz w:val="20"/>
          <w:szCs w:val="20"/>
        </w:rPr>
      </w:pPr>
      <w:r w:rsidRPr="00EB2E7B">
        <w:rPr>
          <w:rFonts w:asciiTheme="minorHAnsi" w:hAnsiTheme="minorHAnsi" w:cstheme="minorHAnsi"/>
          <w:sz w:val="20"/>
          <w:szCs w:val="20"/>
        </w:rPr>
        <w:t>Ilości energii, które ze względu na dokładność nie zostały zarejestrowane w okresie rozliczeniowym powinny zostać przeniesione do następnego okresu.</w:t>
      </w:r>
    </w:p>
    <w:p w14:paraId="136B55F9" w14:textId="42A6DD7B" w:rsidR="00473957" w:rsidRPr="00EB2E7B" w:rsidRDefault="00DC2B7B" w:rsidP="00B64039">
      <w:pPr>
        <w:ind w:left="1134" w:firstLine="0"/>
        <w:rPr>
          <w:rFonts w:asciiTheme="minorHAnsi" w:hAnsiTheme="minorHAnsi" w:cstheme="minorHAnsi"/>
          <w:sz w:val="20"/>
          <w:szCs w:val="20"/>
        </w:rPr>
      </w:pPr>
      <w:r w:rsidRPr="00EB2E7B">
        <w:rPr>
          <w:rFonts w:asciiTheme="minorHAnsi" w:hAnsiTheme="minorHAnsi" w:cstheme="minorHAnsi"/>
          <w:sz w:val="20"/>
          <w:szCs w:val="20"/>
        </w:rPr>
        <w:t>ACPRO pozyskuje dane pomiarowe, o których mowa:</w:t>
      </w:r>
    </w:p>
    <w:p w14:paraId="17CDFEF0" w14:textId="2ED3B0F2" w:rsidR="00473957" w:rsidRPr="00EB2E7B" w:rsidRDefault="00DC2B7B" w:rsidP="00DB6695">
      <w:pPr>
        <w:pStyle w:val="1przed"/>
        <w:numPr>
          <w:ilvl w:val="0"/>
          <w:numId w:val="107"/>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lit. </w:t>
      </w:r>
      <w:r w:rsidR="00EE7863" w:rsidRPr="00EB2E7B">
        <w:rPr>
          <w:rFonts w:asciiTheme="minorHAnsi" w:hAnsiTheme="minorHAnsi" w:cstheme="minorHAnsi"/>
          <w:sz w:val="20"/>
          <w:szCs w:val="20"/>
        </w:rPr>
        <w:fldChar w:fldCharType="begin"/>
      </w:r>
      <w:r w:rsidR="00EE7863" w:rsidRPr="00EB2E7B">
        <w:rPr>
          <w:rFonts w:asciiTheme="minorHAnsi" w:hAnsiTheme="minorHAnsi" w:cstheme="minorHAnsi"/>
          <w:sz w:val="20"/>
          <w:szCs w:val="20"/>
        </w:rPr>
        <w:instrText xml:space="preserve"> REF _Ref151925596 \w \h </w:instrText>
      </w:r>
      <w:r w:rsidR="00DF62D2" w:rsidRPr="00EB2E7B">
        <w:rPr>
          <w:rFonts w:asciiTheme="minorHAnsi" w:hAnsiTheme="minorHAnsi" w:cstheme="minorHAnsi"/>
          <w:sz w:val="20"/>
          <w:szCs w:val="20"/>
        </w:rPr>
        <w:instrText xml:space="preserve"> \* MERGEFORMAT </w:instrText>
      </w:r>
      <w:r w:rsidR="00EE7863" w:rsidRPr="00EB2E7B">
        <w:rPr>
          <w:rFonts w:asciiTheme="minorHAnsi" w:hAnsiTheme="minorHAnsi" w:cstheme="minorHAnsi"/>
          <w:sz w:val="20"/>
          <w:szCs w:val="20"/>
        </w:rPr>
      </w:r>
      <w:r w:rsidR="00EE786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EE786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nie rzadziej niż 1 raz na dobę,</w:t>
      </w:r>
    </w:p>
    <w:p w14:paraId="54B9E99E" w14:textId="22FBBC38" w:rsidR="00473957" w:rsidRPr="00EB2E7B" w:rsidRDefault="00DC2B7B" w:rsidP="00DB6695">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lit. </w:t>
      </w:r>
      <w:r w:rsidR="00DF62D2" w:rsidRPr="00EB2E7B">
        <w:rPr>
          <w:rFonts w:asciiTheme="minorHAnsi" w:hAnsiTheme="minorHAnsi" w:cstheme="minorHAnsi"/>
          <w:sz w:val="20"/>
          <w:szCs w:val="20"/>
        </w:rPr>
        <w:fldChar w:fldCharType="begin"/>
      </w:r>
      <w:r w:rsidR="00DF62D2" w:rsidRPr="00EB2E7B">
        <w:rPr>
          <w:rFonts w:asciiTheme="minorHAnsi" w:hAnsiTheme="minorHAnsi" w:cstheme="minorHAnsi"/>
          <w:sz w:val="20"/>
          <w:szCs w:val="20"/>
        </w:rPr>
        <w:instrText xml:space="preserve"> REF _Ref190169525 \w \h  \* MERGEFORMAT </w:instrText>
      </w:r>
      <w:r w:rsidR="00DF62D2" w:rsidRPr="00EB2E7B">
        <w:rPr>
          <w:rFonts w:asciiTheme="minorHAnsi" w:hAnsiTheme="minorHAnsi" w:cstheme="minorHAnsi"/>
          <w:sz w:val="20"/>
          <w:szCs w:val="20"/>
        </w:rPr>
      </w:r>
      <w:r w:rsidR="00DF62D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DF62D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 cyklach zgodnych z okresem rozliczeniowym usług dystrybucji energii elektrycznej będących przedmiotem umów dystrybucyjnych zawartych pomiędzy ACPRO, a URD albo umów kompleksowych zawartych pomiędzy sprzedawcą a URD. Okres rozliczeniowy wynika </w:t>
      </w:r>
      <w:r w:rsidRPr="00EB2E7B">
        <w:rPr>
          <w:rFonts w:asciiTheme="minorHAnsi" w:hAnsiTheme="minorHAnsi" w:cstheme="minorHAnsi"/>
          <w:sz w:val="20"/>
          <w:szCs w:val="20"/>
        </w:rPr>
        <w:lastRenderedPageBreak/>
        <w:t>z przyjętego przez ACPRO harmonogramu odczytów wskazań układów pomiarowo-rozliczeniowych i jest określany w umowach dystrybucyjnych albo w umowach kompleksowych.</w:t>
      </w:r>
    </w:p>
    <w:p w14:paraId="7B444795" w14:textId="60EC61C8" w:rsidR="00473957" w:rsidRPr="00EB2E7B" w:rsidRDefault="00DC2B7B" w:rsidP="004854C6">
      <w:pPr>
        <w:pStyle w:val="ANagwek3"/>
        <w:rPr>
          <w:rFonts w:asciiTheme="minorHAnsi" w:hAnsiTheme="minorHAnsi" w:cstheme="minorHAnsi"/>
          <w:sz w:val="20"/>
          <w:szCs w:val="20"/>
        </w:rPr>
      </w:pPr>
      <w:bookmarkStart w:id="583" w:name="_Ref190118494"/>
      <w:r w:rsidRPr="00EB2E7B">
        <w:rPr>
          <w:rFonts w:asciiTheme="minorHAnsi" w:hAnsiTheme="minorHAnsi" w:cstheme="minorHAnsi"/>
          <w:sz w:val="20"/>
          <w:szCs w:val="20"/>
        </w:rPr>
        <w:t>ACPRO wyznacza rzeczywiste godzinowe ilości energii</w:t>
      </w:r>
      <w:r w:rsidR="009D326A" w:rsidRPr="00EB2E7B">
        <w:rPr>
          <w:rFonts w:asciiTheme="minorHAnsi" w:hAnsiTheme="minorHAnsi" w:cstheme="minorHAnsi"/>
          <w:sz w:val="20"/>
          <w:szCs w:val="20"/>
        </w:rPr>
        <w:t xml:space="preserve">, o których mowa w pkt </w:t>
      </w:r>
      <w:r w:rsidR="00DF62D2" w:rsidRPr="00EB2E7B">
        <w:rPr>
          <w:rFonts w:asciiTheme="minorHAnsi" w:hAnsiTheme="minorHAnsi" w:cstheme="minorHAnsi"/>
          <w:sz w:val="20"/>
          <w:szCs w:val="20"/>
        </w:rPr>
        <w:fldChar w:fldCharType="begin"/>
      </w:r>
      <w:r w:rsidR="00DF62D2" w:rsidRPr="00EB2E7B">
        <w:rPr>
          <w:rFonts w:asciiTheme="minorHAnsi" w:hAnsiTheme="minorHAnsi" w:cstheme="minorHAnsi"/>
          <w:sz w:val="20"/>
          <w:szCs w:val="20"/>
        </w:rPr>
        <w:instrText xml:space="preserve"> REF _Ref190121733 \w \h  \* MERGEFORMAT </w:instrText>
      </w:r>
      <w:r w:rsidR="00DF62D2" w:rsidRPr="00EB2E7B">
        <w:rPr>
          <w:rFonts w:asciiTheme="minorHAnsi" w:hAnsiTheme="minorHAnsi" w:cstheme="minorHAnsi"/>
          <w:sz w:val="20"/>
          <w:szCs w:val="20"/>
        </w:rPr>
      </w:r>
      <w:r w:rsidR="00DF62D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w:t>
      </w:r>
      <w:r w:rsidR="00DF62D2" w:rsidRPr="00EB2E7B">
        <w:rPr>
          <w:rFonts w:asciiTheme="minorHAnsi" w:hAnsiTheme="minorHAnsi" w:cstheme="minorHAnsi"/>
          <w:sz w:val="20"/>
          <w:szCs w:val="20"/>
        </w:rPr>
        <w:fldChar w:fldCharType="end"/>
      </w:r>
      <w:r w:rsidR="009D326A" w:rsidRPr="00EB2E7B">
        <w:rPr>
          <w:rFonts w:asciiTheme="minorHAnsi" w:hAnsiTheme="minorHAnsi" w:cstheme="minorHAnsi"/>
          <w:sz w:val="20"/>
          <w:szCs w:val="20"/>
        </w:rPr>
        <w:t>. lit.</w:t>
      </w:r>
      <w:r w:rsidR="002B19B5" w:rsidRPr="00EB2E7B">
        <w:rPr>
          <w:rFonts w:asciiTheme="minorHAnsi" w:hAnsiTheme="minorHAnsi" w:cstheme="minorHAnsi"/>
          <w:sz w:val="20"/>
          <w:szCs w:val="20"/>
        </w:rPr>
        <w:t xml:space="preserve"> </w:t>
      </w:r>
      <w:r w:rsidR="00201B59" w:rsidRPr="00EB2E7B">
        <w:rPr>
          <w:rFonts w:asciiTheme="minorHAnsi" w:hAnsiTheme="minorHAnsi" w:cstheme="minorHAnsi"/>
          <w:sz w:val="20"/>
          <w:szCs w:val="20"/>
        </w:rPr>
        <w:fldChar w:fldCharType="begin"/>
      </w:r>
      <w:r w:rsidR="00201B59" w:rsidRPr="00EB2E7B">
        <w:rPr>
          <w:rFonts w:asciiTheme="minorHAnsi" w:hAnsiTheme="minorHAnsi" w:cstheme="minorHAnsi"/>
          <w:sz w:val="20"/>
          <w:szCs w:val="20"/>
        </w:rPr>
        <w:instrText xml:space="preserve"> REF _Ref190116855 \w \h </w:instrText>
      </w:r>
      <w:r w:rsidR="002B19B5" w:rsidRPr="00EB2E7B">
        <w:rPr>
          <w:rFonts w:asciiTheme="minorHAnsi" w:hAnsiTheme="minorHAnsi" w:cstheme="minorHAnsi"/>
          <w:sz w:val="20"/>
          <w:szCs w:val="20"/>
        </w:rPr>
        <w:instrText xml:space="preserve"> \* MERGEFORMAT </w:instrText>
      </w:r>
      <w:r w:rsidR="00201B59" w:rsidRPr="00EB2E7B">
        <w:rPr>
          <w:rFonts w:asciiTheme="minorHAnsi" w:hAnsiTheme="minorHAnsi" w:cstheme="minorHAnsi"/>
          <w:sz w:val="20"/>
          <w:szCs w:val="20"/>
        </w:rPr>
      </w:r>
      <w:r w:rsidR="00201B5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C.1.2.c)</w:t>
      </w:r>
      <w:r w:rsidR="00201B59" w:rsidRPr="00EB2E7B">
        <w:rPr>
          <w:rFonts w:asciiTheme="minorHAnsi" w:hAnsiTheme="minorHAnsi" w:cstheme="minorHAnsi"/>
          <w:sz w:val="20"/>
          <w:szCs w:val="20"/>
        </w:rPr>
        <w:fldChar w:fldCharType="end"/>
      </w:r>
      <w:r w:rsidR="002B19B5" w:rsidRPr="00EB2E7B">
        <w:rPr>
          <w:rFonts w:asciiTheme="minorHAnsi" w:hAnsiTheme="minorHAnsi" w:cstheme="minorHAnsi"/>
          <w:sz w:val="20"/>
          <w:szCs w:val="20"/>
        </w:rPr>
        <w:t xml:space="preserve"> </w:t>
      </w:r>
      <w:r w:rsidR="009D326A" w:rsidRPr="00EB2E7B">
        <w:rPr>
          <w:rFonts w:asciiTheme="minorHAnsi" w:hAnsiTheme="minorHAnsi" w:cstheme="minorHAnsi"/>
          <w:sz w:val="20"/>
          <w:szCs w:val="20"/>
        </w:rPr>
        <w:t xml:space="preserve">i </w:t>
      </w:r>
      <w:r w:rsidR="00DF62D2" w:rsidRPr="00EB2E7B">
        <w:rPr>
          <w:rFonts w:asciiTheme="minorHAnsi" w:hAnsiTheme="minorHAnsi" w:cstheme="minorHAnsi"/>
          <w:sz w:val="20"/>
          <w:szCs w:val="20"/>
        </w:rPr>
        <w:fldChar w:fldCharType="begin"/>
      </w:r>
      <w:r w:rsidR="00DF62D2" w:rsidRPr="00EB2E7B">
        <w:rPr>
          <w:rFonts w:asciiTheme="minorHAnsi" w:hAnsiTheme="minorHAnsi" w:cstheme="minorHAnsi"/>
          <w:sz w:val="20"/>
          <w:szCs w:val="20"/>
        </w:rPr>
        <w:instrText xml:space="preserve"> REF _Ref190121733 \w \h  \* MERGEFORMAT </w:instrText>
      </w:r>
      <w:r w:rsidR="00DF62D2" w:rsidRPr="00EB2E7B">
        <w:rPr>
          <w:rFonts w:asciiTheme="minorHAnsi" w:hAnsiTheme="minorHAnsi" w:cstheme="minorHAnsi"/>
          <w:sz w:val="20"/>
          <w:szCs w:val="20"/>
        </w:rPr>
      </w:r>
      <w:r w:rsidR="00DF62D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w:t>
      </w:r>
      <w:r w:rsidR="00DF62D2" w:rsidRPr="00EB2E7B">
        <w:rPr>
          <w:rFonts w:asciiTheme="minorHAnsi" w:hAnsiTheme="minorHAnsi" w:cstheme="minorHAnsi"/>
          <w:sz w:val="20"/>
          <w:szCs w:val="20"/>
        </w:rPr>
        <w:fldChar w:fldCharType="end"/>
      </w:r>
      <w:r w:rsidR="00DF62D2" w:rsidRPr="00EB2E7B">
        <w:rPr>
          <w:rFonts w:asciiTheme="minorHAnsi" w:hAnsiTheme="minorHAnsi" w:cstheme="minorHAnsi"/>
          <w:sz w:val="20"/>
          <w:szCs w:val="20"/>
        </w:rPr>
        <w:t xml:space="preserve"> </w:t>
      </w:r>
      <w:r w:rsidR="009D326A" w:rsidRPr="00EB2E7B">
        <w:rPr>
          <w:rFonts w:asciiTheme="minorHAnsi" w:hAnsiTheme="minorHAnsi" w:cstheme="minorHAnsi"/>
          <w:sz w:val="20"/>
          <w:szCs w:val="20"/>
        </w:rPr>
        <w:t xml:space="preserve">lit. </w:t>
      </w:r>
      <w:r w:rsidR="002B19B5" w:rsidRPr="00EB2E7B">
        <w:rPr>
          <w:rFonts w:asciiTheme="minorHAnsi" w:hAnsiTheme="minorHAnsi" w:cstheme="minorHAnsi"/>
          <w:sz w:val="20"/>
          <w:szCs w:val="20"/>
        </w:rPr>
        <w:fldChar w:fldCharType="begin"/>
      </w:r>
      <w:r w:rsidR="002B19B5" w:rsidRPr="00EB2E7B">
        <w:rPr>
          <w:rFonts w:asciiTheme="minorHAnsi" w:hAnsiTheme="minorHAnsi" w:cstheme="minorHAnsi"/>
          <w:sz w:val="20"/>
          <w:szCs w:val="20"/>
        </w:rPr>
        <w:instrText xml:space="preserve"> REF _Ref190116859 \w \h  \* MERGEFORMAT </w:instrText>
      </w:r>
      <w:r w:rsidR="002B19B5" w:rsidRPr="00EB2E7B">
        <w:rPr>
          <w:rFonts w:asciiTheme="minorHAnsi" w:hAnsiTheme="minorHAnsi" w:cstheme="minorHAnsi"/>
          <w:sz w:val="20"/>
          <w:szCs w:val="20"/>
        </w:rPr>
      </w:r>
      <w:r w:rsidR="002B19B5"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C.1.2.d)</w:t>
      </w:r>
      <w:r w:rsidR="002B19B5" w:rsidRPr="00EB2E7B">
        <w:rPr>
          <w:rFonts w:asciiTheme="minorHAnsi" w:hAnsiTheme="minorHAnsi" w:cstheme="minorHAnsi"/>
          <w:sz w:val="20"/>
          <w:szCs w:val="20"/>
        </w:rPr>
        <w:fldChar w:fldCharType="end"/>
      </w:r>
      <w:r w:rsidR="009D326A" w:rsidRPr="00EB2E7B">
        <w:rPr>
          <w:rFonts w:asciiTheme="minorHAnsi" w:hAnsiTheme="minorHAnsi" w:cstheme="minorHAnsi"/>
          <w:sz w:val="20"/>
          <w:szCs w:val="20"/>
        </w:rPr>
        <w:t>,</w:t>
      </w:r>
      <w:r w:rsidRPr="00EB2E7B">
        <w:rPr>
          <w:rFonts w:asciiTheme="minorHAnsi" w:hAnsiTheme="minorHAnsi" w:cstheme="minorHAnsi"/>
          <w:sz w:val="20"/>
          <w:szCs w:val="20"/>
        </w:rPr>
        <w:t xml:space="preserve"> w podziale na energię pobraną z sieci dystrybucyjnej ACPRO lub wprowadzoną do tej sieci.</w:t>
      </w:r>
      <w:bookmarkEnd w:id="583"/>
    </w:p>
    <w:p w14:paraId="057B22A2" w14:textId="2D721E95" w:rsidR="00473957" w:rsidRPr="00EB2E7B" w:rsidRDefault="00DC2B7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 wyznacza ilości energii elektrycznej pobranej z sieci dystrybucyjnej ACPRO lub wprowadzonej do tej sieci na podstawie:</w:t>
      </w:r>
    </w:p>
    <w:p w14:paraId="5FEC4BEF" w14:textId="158545E6" w:rsidR="00473957" w:rsidRPr="00EB2E7B" w:rsidRDefault="00DC2B7B" w:rsidP="000E40AE">
      <w:pPr>
        <w:pStyle w:val="aprzed"/>
        <w:numPr>
          <w:ilvl w:val="0"/>
          <w:numId w:val="108"/>
        </w:numPr>
        <w:ind w:left="1701" w:hanging="566"/>
        <w:rPr>
          <w:rFonts w:asciiTheme="minorHAnsi" w:hAnsiTheme="minorHAnsi" w:cstheme="minorHAnsi"/>
          <w:sz w:val="20"/>
          <w:szCs w:val="20"/>
        </w:rPr>
      </w:pPr>
      <w:bookmarkStart w:id="584" w:name="_Ref190169663"/>
      <w:r w:rsidRPr="00EB2E7B">
        <w:rPr>
          <w:rFonts w:asciiTheme="minorHAnsi" w:hAnsiTheme="minorHAnsi" w:cstheme="minorHAnsi"/>
          <w:sz w:val="20"/>
          <w:szCs w:val="20"/>
        </w:rPr>
        <w:t>danych pomiarowych pozyskanych z punktów pomiarowych lub</w:t>
      </w:r>
      <w:bookmarkEnd w:id="584"/>
    </w:p>
    <w:p w14:paraId="0729FAAD" w14:textId="006E4E6E" w:rsidR="00473957" w:rsidRPr="00EB2E7B" w:rsidRDefault="00DC2B7B" w:rsidP="000E40AE">
      <w:pPr>
        <w:pStyle w:val="aprzed"/>
        <w:numPr>
          <w:ilvl w:val="0"/>
          <w:numId w:val="108"/>
        </w:numPr>
        <w:ind w:left="1701" w:hanging="566"/>
        <w:rPr>
          <w:rFonts w:asciiTheme="minorHAnsi" w:hAnsiTheme="minorHAnsi" w:cstheme="minorHAnsi"/>
          <w:sz w:val="20"/>
          <w:szCs w:val="20"/>
        </w:rPr>
      </w:pPr>
      <w:bookmarkStart w:id="585" w:name="_Ref190169666"/>
      <w:r w:rsidRPr="00EB2E7B">
        <w:rPr>
          <w:rFonts w:asciiTheme="minorHAnsi" w:hAnsiTheme="minorHAnsi" w:cstheme="minorHAnsi"/>
          <w:sz w:val="20"/>
          <w:szCs w:val="20"/>
        </w:rPr>
        <w:t>zastępczych danych pomiarowych, wyznaczonych na podstawie rzeczywistych ilości energii elektrycznej oraz w oparciu o zasady określone w</w:t>
      </w:r>
      <w:r w:rsidR="00342D02" w:rsidRPr="00EB2E7B">
        <w:rPr>
          <w:rFonts w:asciiTheme="minorHAnsi" w:hAnsiTheme="minorHAnsi" w:cstheme="minorHAnsi"/>
          <w:sz w:val="20"/>
          <w:szCs w:val="20"/>
        </w:rPr>
        <w:t>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w przypadku awarii układu pomiarowo-rozliczeniowego lub systemu zdalnego odczytu lub braku układu transmisji danych, lub</w:t>
      </w:r>
      <w:bookmarkEnd w:id="585"/>
    </w:p>
    <w:p w14:paraId="70827312" w14:textId="021BB012" w:rsidR="00473957" w:rsidRPr="00EB2E7B" w:rsidRDefault="00DC2B7B" w:rsidP="000E40AE">
      <w:pPr>
        <w:pStyle w:val="aprzed"/>
        <w:numPr>
          <w:ilvl w:val="0"/>
          <w:numId w:val="108"/>
        </w:numPr>
        <w:ind w:left="1701" w:hanging="566"/>
        <w:rPr>
          <w:rFonts w:asciiTheme="minorHAnsi" w:hAnsiTheme="minorHAnsi" w:cstheme="minorHAnsi"/>
          <w:sz w:val="20"/>
          <w:szCs w:val="20"/>
        </w:rPr>
      </w:pPr>
      <w:bookmarkStart w:id="586" w:name="_Ref190169668"/>
      <w:r w:rsidRPr="00EB2E7B">
        <w:rPr>
          <w:rFonts w:asciiTheme="minorHAnsi" w:hAnsiTheme="minorHAnsi" w:cstheme="minorHAnsi"/>
          <w:sz w:val="20"/>
          <w:szCs w:val="20"/>
        </w:rPr>
        <w:t>zastępczych danych pomiarowych w przypadku nowo przyłączanych URD, do czasu pozyskania rzeczywistych danych pomiarowych, lub</w:t>
      </w:r>
      <w:bookmarkEnd w:id="586"/>
    </w:p>
    <w:p w14:paraId="57856A88" w14:textId="4497186A" w:rsidR="00473957" w:rsidRPr="00EB2E7B" w:rsidRDefault="00DC2B7B" w:rsidP="000E40AE">
      <w:pPr>
        <w:pStyle w:val="aprzed"/>
        <w:numPr>
          <w:ilvl w:val="0"/>
          <w:numId w:val="108"/>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standardowych profili zużycia, o których mowa w rozdziale </w:t>
      </w:r>
      <w:r w:rsidR="0050185B" w:rsidRPr="00EB2E7B">
        <w:rPr>
          <w:rFonts w:asciiTheme="minorHAnsi" w:hAnsiTheme="minorHAnsi" w:cstheme="minorHAnsi"/>
          <w:sz w:val="20"/>
          <w:szCs w:val="20"/>
        </w:rPr>
        <w:fldChar w:fldCharType="begin"/>
      </w:r>
      <w:r w:rsidR="0050185B" w:rsidRPr="00EB2E7B">
        <w:rPr>
          <w:rFonts w:asciiTheme="minorHAnsi" w:hAnsiTheme="minorHAnsi" w:cstheme="minorHAnsi"/>
          <w:sz w:val="20"/>
          <w:szCs w:val="20"/>
        </w:rPr>
        <w:instrText xml:space="preserve"> REF _Ref75525715 \r \h </w:instrText>
      </w:r>
      <w:r w:rsidR="00586FF1" w:rsidRPr="00EB2E7B">
        <w:rPr>
          <w:rFonts w:asciiTheme="minorHAnsi" w:hAnsiTheme="minorHAnsi" w:cstheme="minorHAnsi"/>
          <w:sz w:val="20"/>
          <w:szCs w:val="20"/>
        </w:rPr>
        <w:instrText xml:space="preserve"> \* MERGEFORMAT </w:instrText>
      </w:r>
      <w:r w:rsidR="0050185B" w:rsidRPr="00EB2E7B">
        <w:rPr>
          <w:rFonts w:asciiTheme="minorHAnsi" w:hAnsiTheme="minorHAnsi" w:cstheme="minorHAnsi"/>
          <w:sz w:val="20"/>
          <w:szCs w:val="20"/>
        </w:rPr>
      </w:r>
      <w:r w:rsidR="0050185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G</w:t>
      </w:r>
      <w:r w:rsidR="0050185B"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ilości energii elektrycznej wyznaczonej w sposób określony w lit. </w:t>
      </w:r>
      <w:r w:rsidR="004A7C27" w:rsidRPr="00EB2E7B">
        <w:rPr>
          <w:rFonts w:asciiTheme="minorHAnsi" w:hAnsiTheme="minorHAnsi" w:cstheme="minorHAnsi"/>
          <w:sz w:val="20"/>
          <w:szCs w:val="20"/>
        </w:rPr>
        <w:fldChar w:fldCharType="begin"/>
      </w:r>
      <w:r w:rsidR="004A7C27" w:rsidRPr="00EB2E7B">
        <w:rPr>
          <w:rFonts w:asciiTheme="minorHAnsi" w:hAnsiTheme="minorHAnsi" w:cstheme="minorHAnsi"/>
          <w:sz w:val="20"/>
          <w:szCs w:val="20"/>
        </w:rPr>
        <w:instrText xml:space="preserve"> REF _Ref190169663 \w \h  \* MERGEFORMAT </w:instrText>
      </w:r>
      <w:r w:rsidR="004A7C27" w:rsidRPr="00EB2E7B">
        <w:rPr>
          <w:rFonts w:asciiTheme="minorHAnsi" w:hAnsiTheme="minorHAnsi" w:cstheme="minorHAnsi"/>
          <w:sz w:val="20"/>
          <w:szCs w:val="20"/>
        </w:rPr>
      </w:r>
      <w:r w:rsidR="004A7C2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4A7C2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4A7C27" w:rsidRPr="00EB2E7B">
        <w:rPr>
          <w:rFonts w:asciiTheme="minorHAnsi" w:hAnsiTheme="minorHAnsi" w:cstheme="minorHAnsi"/>
          <w:sz w:val="20"/>
          <w:szCs w:val="20"/>
        </w:rPr>
        <w:fldChar w:fldCharType="begin"/>
      </w:r>
      <w:r w:rsidR="004A7C27" w:rsidRPr="00EB2E7B">
        <w:rPr>
          <w:rFonts w:asciiTheme="minorHAnsi" w:hAnsiTheme="minorHAnsi" w:cstheme="minorHAnsi"/>
          <w:sz w:val="20"/>
          <w:szCs w:val="20"/>
        </w:rPr>
        <w:instrText xml:space="preserve"> REF _Ref190169666 \w \h  \* MERGEFORMAT </w:instrText>
      </w:r>
      <w:r w:rsidR="004A7C27" w:rsidRPr="00EB2E7B">
        <w:rPr>
          <w:rFonts w:asciiTheme="minorHAnsi" w:hAnsiTheme="minorHAnsi" w:cstheme="minorHAnsi"/>
          <w:sz w:val="20"/>
          <w:szCs w:val="20"/>
        </w:rPr>
      </w:r>
      <w:r w:rsidR="004A7C2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4A7C2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w:t>
      </w:r>
      <w:r w:rsidR="004A7C27" w:rsidRPr="00EB2E7B">
        <w:rPr>
          <w:rFonts w:asciiTheme="minorHAnsi" w:hAnsiTheme="minorHAnsi" w:cstheme="minorHAnsi"/>
          <w:sz w:val="20"/>
          <w:szCs w:val="20"/>
        </w:rPr>
        <w:fldChar w:fldCharType="begin"/>
      </w:r>
      <w:r w:rsidR="004A7C27" w:rsidRPr="00EB2E7B">
        <w:rPr>
          <w:rFonts w:asciiTheme="minorHAnsi" w:hAnsiTheme="minorHAnsi" w:cstheme="minorHAnsi"/>
          <w:sz w:val="20"/>
          <w:szCs w:val="20"/>
        </w:rPr>
        <w:instrText xml:space="preserve"> REF _Ref190169668 \w \h  \* MERGEFORMAT </w:instrText>
      </w:r>
      <w:r w:rsidR="004A7C27" w:rsidRPr="00EB2E7B">
        <w:rPr>
          <w:rFonts w:asciiTheme="minorHAnsi" w:hAnsiTheme="minorHAnsi" w:cstheme="minorHAnsi"/>
          <w:sz w:val="20"/>
          <w:szCs w:val="20"/>
        </w:rPr>
      </w:r>
      <w:r w:rsidR="004A7C2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w:t>
      </w:r>
      <w:r w:rsidR="004A7C2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oraz algorytmów agregacji dla tych PPE, którym został przyporządkowany standardowy profil zużycia.</w:t>
      </w:r>
    </w:p>
    <w:p w14:paraId="3454B9F3" w14:textId="0A0E1203" w:rsidR="00473957" w:rsidRPr="00EB2E7B" w:rsidRDefault="0050185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Do określenia ilości energii elektrycznej pobranej z sieci dystrybucyjnej ACPRO lub wprowadzonej do tej sieci, wykorzystuje się w pierwszej kolejności układ pomiarowo-rozliczeniowy podstawowy. W przypadku awarii lub wadliwego działania układu pomiarowo-rozliczeniowego podstawowego lub braku możliwości pozyskania przez ACPRO danych pomiarowych, ACPRO wyznacza dane pomiarowe zgodnie z pkt </w:t>
      </w:r>
      <w:r w:rsidR="00DC23C6" w:rsidRPr="00EB2E7B">
        <w:rPr>
          <w:rFonts w:asciiTheme="minorHAnsi" w:hAnsiTheme="minorHAnsi" w:cstheme="minorHAnsi"/>
          <w:sz w:val="20"/>
          <w:szCs w:val="20"/>
        </w:rPr>
        <w:fldChar w:fldCharType="begin"/>
      </w:r>
      <w:r w:rsidR="00DC23C6" w:rsidRPr="00EB2E7B">
        <w:rPr>
          <w:rFonts w:asciiTheme="minorHAnsi" w:hAnsiTheme="minorHAnsi" w:cstheme="minorHAnsi"/>
          <w:sz w:val="20"/>
          <w:szCs w:val="20"/>
        </w:rPr>
        <w:instrText xml:space="preserve"> REF _Ref151925541 \r \h </w:instrText>
      </w:r>
      <w:r w:rsidR="008F7C38" w:rsidRPr="00EB2E7B">
        <w:rPr>
          <w:rFonts w:asciiTheme="minorHAnsi" w:hAnsiTheme="minorHAnsi" w:cstheme="minorHAnsi"/>
          <w:sz w:val="20"/>
          <w:szCs w:val="20"/>
        </w:rPr>
        <w:instrText xml:space="preserve"> \* MERGEFORMAT </w:instrText>
      </w:r>
      <w:r w:rsidR="00DC23C6" w:rsidRPr="00EB2E7B">
        <w:rPr>
          <w:rFonts w:asciiTheme="minorHAnsi" w:hAnsiTheme="minorHAnsi" w:cstheme="minorHAnsi"/>
          <w:sz w:val="20"/>
          <w:szCs w:val="20"/>
        </w:rPr>
      </w:r>
      <w:r w:rsidR="00DC23C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C.1.7</w:t>
      </w:r>
      <w:r w:rsidR="00DC23C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16E7140" w14:textId="283538C4" w:rsidR="00473957" w:rsidRPr="00EB2E7B" w:rsidRDefault="0050185B" w:rsidP="004854C6">
      <w:pPr>
        <w:pStyle w:val="ANagwek3"/>
        <w:rPr>
          <w:rFonts w:asciiTheme="minorHAnsi" w:hAnsiTheme="minorHAnsi" w:cstheme="minorHAnsi"/>
          <w:sz w:val="20"/>
          <w:szCs w:val="20"/>
        </w:rPr>
      </w:pPr>
      <w:bookmarkStart w:id="587" w:name="_Ref151925541"/>
      <w:r w:rsidRPr="00EB2E7B">
        <w:rPr>
          <w:rFonts w:asciiTheme="minorHAnsi" w:hAnsiTheme="minorHAnsi" w:cstheme="minorHAnsi"/>
          <w:sz w:val="20"/>
          <w:szCs w:val="20"/>
        </w:rPr>
        <w:t>ACPRO wyznacza zastępcze dane pomiarowe:</w:t>
      </w:r>
      <w:bookmarkEnd w:id="587"/>
    </w:p>
    <w:p w14:paraId="74FB7326" w14:textId="71C12C1A" w:rsidR="00473957" w:rsidRPr="00EB2E7B" w:rsidRDefault="0050185B" w:rsidP="00A119ED">
      <w:pPr>
        <w:pStyle w:val="1przed"/>
        <w:numPr>
          <w:ilvl w:val="0"/>
          <w:numId w:val="109"/>
        </w:numPr>
        <w:ind w:left="1701" w:hanging="567"/>
        <w:rPr>
          <w:rFonts w:asciiTheme="minorHAnsi" w:hAnsiTheme="minorHAnsi" w:cstheme="minorHAnsi"/>
          <w:sz w:val="20"/>
          <w:szCs w:val="20"/>
        </w:rPr>
      </w:pPr>
      <w:r w:rsidRPr="00EB2E7B">
        <w:rPr>
          <w:rFonts w:asciiTheme="minorHAnsi" w:hAnsiTheme="minorHAnsi" w:cstheme="minorHAnsi"/>
          <w:sz w:val="20"/>
          <w:szCs w:val="20"/>
        </w:rPr>
        <w:t>dla punktu pomiarowego, w którym jest zainstalowany licznik zdalnego odczytu, z uwzględnieniem:</w:t>
      </w:r>
    </w:p>
    <w:p w14:paraId="6D7D5CE8" w14:textId="318F0DB6" w:rsidR="00473957" w:rsidRPr="00EB2E7B" w:rsidRDefault="0050185B" w:rsidP="000E40AE">
      <w:pPr>
        <w:pStyle w:val="apo"/>
        <w:numPr>
          <w:ilvl w:val="0"/>
          <w:numId w:val="110"/>
        </w:numPr>
        <w:ind w:left="2268" w:hanging="567"/>
        <w:rPr>
          <w:rFonts w:asciiTheme="minorHAnsi" w:hAnsiTheme="minorHAnsi" w:cstheme="minorHAnsi"/>
          <w:sz w:val="20"/>
          <w:szCs w:val="20"/>
        </w:rPr>
      </w:pPr>
      <w:r w:rsidRPr="00EB2E7B">
        <w:rPr>
          <w:rFonts w:asciiTheme="minorHAnsi" w:hAnsiTheme="minorHAnsi" w:cstheme="minorHAnsi"/>
          <w:sz w:val="20"/>
          <w:szCs w:val="20"/>
        </w:rPr>
        <w:t>rzeczywistych danych pomiarowych pochodzących z innych układów pomiarowo-rozliczeniowych lub elementów układu pomiarowo-rozliczeniowego z tego samego okresu, lub</w:t>
      </w:r>
    </w:p>
    <w:p w14:paraId="7D6223E4" w14:textId="650318F0" w:rsidR="00473957" w:rsidRPr="00EB2E7B" w:rsidRDefault="0050185B" w:rsidP="000E40AE">
      <w:pPr>
        <w:pStyle w:val="apo"/>
        <w:numPr>
          <w:ilvl w:val="0"/>
          <w:numId w:val="110"/>
        </w:numPr>
        <w:ind w:left="2268" w:hanging="567"/>
        <w:rPr>
          <w:rFonts w:asciiTheme="minorHAnsi" w:hAnsiTheme="minorHAnsi" w:cstheme="minorHAnsi"/>
          <w:sz w:val="20"/>
          <w:szCs w:val="20"/>
        </w:rPr>
      </w:pPr>
      <w:r w:rsidRPr="00EB2E7B">
        <w:rPr>
          <w:rFonts w:asciiTheme="minorHAnsi" w:hAnsiTheme="minorHAnsi" w:cstheme="minorHAnsi"/>
          <w:sz w:val="20"/>
          <w:szCs w:val="20"/>
        </w:rPr>
        <w:t>rzeczywistych danych pomiarowych pochodzących z tego samego układu pomiarowo-rozliczeniowego, z okresu poprzedzającego okres braku rzeczywistych danych pomiarowych lub następującego po tym okresie, z uwzględnieniem charakterystyki zmienności przepływu energii elektrycznej oraz innych udokumentowanych okoliczności mających wpływ na przepływ energii elektrycznej w okresie braku rzeczywistych danych pomiarowych;</w:t>
      </w:r>
    </w:p>
    <w:p w14:paraId="3907EC85" w14:textId="7E4269F7" w:rsidR="00473957" w:rsidRPr="00EB2E7B" w:rsidRDefault="0050185B" w:rsidP="00A119ED">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dla punktu pomiarowego, w którym jest zainstalowany licznik konwencjonalny, z uwzględnieniem średniodobowego przepływu energii elektrycznej w ostatnim okresie rozliczeniowym za świadczone usługi dystrybucji, z uwzględnieniem sezonowości poboru energii elektrycznej i standardowych profili przepływu energii elektrycznej. Jeżeli nie można ustalić średniodobowego przepływu energii elektrycznej na podstawie poprzedniego okresu rozliczeniowego, podstawą wyliczenia ilości energii elektrycznej jest wskazanie układu </w:t>
      </w:r>
      <w:r w:rsidRPr="00EB2E7B">
        <w:rPr>
          <w:rFonts w:asciiTheme="minorHAnsi" w:hAnsiTheme="minorHAnsi" w:cstheme="minorHAnsi"/>
          <w:sz w:val="20"/>
          <w:szCs w:val="20"/>
        </w:rPr>
        <w:lastRenderedPageBreak/>
        <w:t>pomiarowo-rozliczeniowego z następnego okresu rozliczeniowego, z uwzględnieniem sezonowości przepływu energii elektrycznej oraz innych udokumentowanych okoliczności mających wpływ na wielkość przepływu tej energii.</w:t>
      </w:r>
    </w:p>
    <w:p w14:paraId="04852C0A" w14:textId="4311171F" w:rsidR="00473957" w:rsidRPr="00EB2E7B" w:rsidRDefault="0050185B"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ACPRO wyznacza skorygowane dane pomiarowe:</w:t>
      </w:r>
    </w:p>
    <w:p w14:paraId="726D0D54" w14:textId="77777777" w:rsidR="0050185B" w:rsidRPr="00EB2E7B" w:rsidRDefault="0050185B" w:rsidP="00EE7359">
      <w:pPr>
        <w:pStyle w:val="1przed"/>
        <w:numPr>
          <w:ilvl w:val="0"/>
          <w:numId w:val="177"/>
        </w:numPr>
        <w:ind w:left="1701" w:hanging="567"/>
        <w:rPr>
          <w:rFonts w:asciiTheme="minorHAnsi" w:hAnsiTheme="minorHAnsi" w:cstheme="minorHAnsi"/>
          <w:sz w:val="20"/>
          <w:szCs w:val="20"/>
        </w:rPr>
      </w:pPr>
      <w:r w:rsidRPr="00EB2E7B">
        <w:rPr>
          <w:rFonts w:asciiTheme="minorHAnsi" w:hAnsiTheme="minorHAnsi" w:cstheme="minorHAnsi"/>
          <w:sz w:val="20"/>
          <w:szCs w:val="20"/>
        </w:rPr>
        <w:t>z uwzględnieniem współczynników korekcyjnych właściwych dla stwierdzonej nieprawidłowości lub awarii, o ile jest możliwe ich określenie, lub</w:t>
      </w:r>
    </w:p>
    <w:p w14:paraId="01B0E26C" w14:textId="3B38DE08" w:rsidR="0050185B" w:rsidRPr="00EB2E7B" w:rsidRDefault="0050185B" w:rsidP="00EE7359">
      <w:pPr>
        <w:pStyle w:val="1przed"/>
        <w:numPr>
          <w:ilvl w:val="0"/>
          <w:numId w:val="177"/>
        </w:numPr>
        <w:ind w:left="1701" w:hanging="567"/>
        <w:rPr>
          <w:rFonts w:asciiTheme="minorHAnsi" w:hAnsiTheme="minorHAnsi" w:cstheme="minorHAnsi"/>
          <w:sz w:val="20"/>
          <w:szCs w:val="20"/>
        </w:rPr>
      </w:pPr>
      <w:r w:rsidRPr="00EB2E7B">
        <w:rPr>
          <w:rFonts w:asciiTheme="minorHAnsi" w:hAnsiTheme="minorHAnsi" w:cstheme="minorHAnsi"/>
          <w:sz w:val="20"/>
          <w:szCs w:val="20"/>
        </w:rPr>
        <w:t>analogicznie jak w przypadku wyznaczania danych zastępczych, jeżeli określenie współczynników korekcyjnych nie jest możliwe.</w:t>
      </w:r>
    </w:p>
    <w:p w14:paraId="0FAABF30" w14:textId="61E6161C" w:rsidR="0050185B" w:rsidRPr="00EB2E7B" w:rsidRDefault="0050185B"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Powyższe zasady nie mają zastosowania jeżeli w punkcie pomiarowym, dla którego zachodzi konieczność wyznaczenia zastępczych danych pomiarowych lub skorygowanych danych pomiarowych, jest zainstalowany rezerwowy układ pomiarowo-rozliczeniowy. W takim przypadku ilość energii elektrycznej wyznacza się na podstawie wskazań układu pomiarowo-rozliczeniowego rezerwowego pod warunkiem, że ten układ zarejestrował poprawne dane pomiarowe.</w:t>
      </w:r>
    </w:p>
    <w:p w14:paraId="155C9F1C" w14:textId="3D48AF18" w:rsidR="00473957" w:rsidRPr="00EB2E7B" w:rsidRDefault="0050185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W przypadku braku możliwości pozyskania przez ACPRO rzeczywistych odczytów wskazań układów pomiarowo-rozliczeniowych z przyczyn niezależnych od ACPRO, ACPRO wzywa URD do umożliwienia dostępu do układu pomiarowo-rozliczeniowego:</w:t>
      </w:r>
    </w:p>
    <w:p w14:paraId="57D296C5" w14:textId="77777777" w:rsidR="0050185B" w:rsidRPr="00EB2E7B" w:rsidRDefault="0050185B" w:rsidP="00476141">
      <w:pPr>
        <w:pStyle w:val="1przed"/>
        <w:numPr>
          <w:ilvl w:val="0"/>
          <w:numId w:val="178"/>
        </w:numPr>
        <w:ind w:left="1701" w:hanging="567"/>
        <w:rPr>
          <w:rFonts w:asciiTheme="minorHAnsi" w:hAnsiTheme="minorHAnsi" w:cstheme="minorHAnsi"/>
          <w:sz w:val="20"/>
          <w:szCs w:val="20"/>
        </w:rPr>
      </w:pPr>
      <w:r w:rsidRPr="00EB2E7B">
        <w:rPr>
          <w:rFonts w:asciiTheme="minorHAnsi" w:hAnsiTheme="minorHAnsi" w:cstheme="minorHAnsi"/>
          <w:sz w:val="20"/>
          <w:szCs w:val="20"/>
        </w:rPr>
        <w:t>po upływie trzech kolejnych okresów rozliczeniowych od dnia uzyskania danych pomiarowych z PPE - dla URD posiadających okresy rozliczeniowe nie dłuższe niż 4 miesiące,</w:t>
      </w:r>
    </w:p>
    <w:p w14:paraId="2872100D" w14:textId="44EEEC9E" w:rsidR="0050185B" w:rsidRPr="00EB2E7B" w:rsidRDefault="0050185B" w:rsidP="00476141">
      <w:pPr>
        <w:pStyle w:val="1przed"/>
        <w:numPr>
          <w:ilvl w:val="0"/>
          <w:numId w:val="178"/>
        </w:numPr>
        <w:ind w:left="1701" w:hanging="567"/>
        <w:rPr>
          <w:rFonts w:asciiTheme="minorHAnsi" w:hAnsiTheme="minorHAnsi" w:cstheme="minorHAnsi"/>
          <w:sz w:val="20"/>
          <w:szCs w:val="20"/>
        </w:rPr>
      </w:pPr>
      <w:r w:rsidRPr="00EB2E7B">
        <w:rPr>
          <w:rFonts w:asciiTheme="minorHAnsi" w:hAnsiTheme="minorHAnsi" w:cstheme="minorHAnsi"/>
          <w:sz w:val="20"/>
          <w:szCs w:val="20"/>
        </w:rPr>
        <w:t>po upływie 12 miesięcy od dnia uzyskania danych pomiarowych z PPE - dla pozostałych URD.</w:t>
      </w:r>
    </w:p>
    <w:p w14:paraId="1D50B22A" w14:textId="1FF9E466"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Dane pomiarowe i pomiarowo-rozliczeniowe udostępniane są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dla podmiotów posiadających zawarte umowy dystrybucji na zasadach i w terminach określonych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3312CADE" w14:textId="72029BBD" w:rsidR="000370C0" w:rsidRPr="00EB2E7B" w:rsidRDefault="009C0BC2" w:rsidP="00476141">
      <w:pPr>
        <w:ind w:left="1134" w:firstLine="0"/>
        <w:rPr>
          <w:rFonts w:asciiTheme="minorHAnsi" w:hAnsiTheme="minorHAnsi" w:cstheme="minorHAnsi"/>
          <w:sz w:val="20"/>
          <w:szCs w:val="20"/>
        </w:rPr>
      </w:pPr>
      <w:r w:rsidRPr="00EB2E7B">
        <w:rPr>
          <w:rFonts w:asciiTheme="minorHAnsi" w:hAnsiTheme="minorHAnsi" w:cstheme="minorHAnsi"/>
          <w:sz w:val="20"/>
          <w:szCs w:val="20"/>
        </w:rPr>
        <w:t>Sposób udostępniania danych pomiarowych sprzedawcom określa umow</w:t>
      </w:r>
      <w:r w:rsidR="00A84970" w:rsidRPr="00EB2E7B">
        <w:rPr>
          <w:rFonts w:asciiTheme="minorHAnsi" w:hAnsiTheme="minorHAnsi" w:cstheme="minorHAnsi"/>
          <w:sz w:val="20"/>
          <w:szCs w:val="20"/>
        </w:rPr>
        <w:t>a</w:t>
      </w:r>
      <w:r w:rsidRPr="00EB2E7B">
        <w:rPr>
          <w:rFonts w:asciiTheme="minorHAnsi" w:hAnsiTheme="minorHAnsi" w:cstheme="minorHAnsi"/>
          <w:sz w:val="20"/>
          <w:szCs w:val="20"/>
        </w:rPr>
        <w:t xml:space="preserve"> GUD.</w:t>
      </w:r>
    </w:p>
    <w:p w14:paraId="3BCFC98D" w14:textId="01DA1286" w:rsidR="00473957" w:rsidRPr="00EB2E7B" w:rsidRDefault="0077111A" w:rsidP="004854C6">
      <w:pPr>
        <w:pStyle w:val="ANagwek3"/>
        <w:rPr>
          <w:rFonts w:asciiTheme="minorHAnsi" w:hAnsiTheme="minorHAnsi" w:cstheme="minorHAnsi"/>
          <w:sz w:val="20"/>
          <w:szCs w:val="20"/>
        </w:rPr>
      </w:pPr>
      <w:bookmarkStart w:id="588" w:name="_Ref75526655"/>
      <w:r w:rsidRPr="00EB2E7B">
        <w:rPr>
          <w:rFonts w:asciiTheme="minorHAnsi" w:hAnsiTheme="minorHAnsi" w:cstheme="minorHAnsi"/>
          <w:sz w:val="20"/>
          <w:szCs w:val="20"/>
        </w:rPr>
        <w:t xml:space="preserve">Na potrzeby rozliczeń Rynku Bilansującego, </w:t>
      </w:r>
      <w:proofErr w:type="spellStart"/>
      <w:r w:rsidR="00232DA9" w:rsidRPr="00EB2E7B">
        <w:rPr>
          <w:rFonts w:asciiTheme="minorHAnsi" w:hAnsiTheme="minorHAnsi" w:cstheme="minorHAnsi"/>
          <w:sz w:val="20"/>
          <w:szCs w:val="20"/>
        </w:rPr>
        <w:t>OSD</w:t>
      </w:r>
      <w:r w:rsidR="009500A5"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wyznacza i udostępnia dane pomiarowe i pomiarowo-rozliczeniowe</w:t>
      </w:r>
      <w:r w:rsidR="00036156" w:rsidRPr="00EB2E7B">
        <w:rPr>
          <w:rFonts w:asciiTheme="minorHAnsi" w:hAnsiTheme="minorHAnsi" w:cstheme="minorHAnsi"/>
          <w:sz w:val="20"/>
          <w:szCs w:val="20"/>
        </w:rPr>
        <w:t xml:space="preserve"> dla przedziałów czasowych </w:t>
      </w:r>
      <w:r w:rsidR="00905497" w:rsidRPr="00EB2E7B">
        <w:rPr>
          <w:rFonts w:asciiTheme="minorHAnsi" w:hAnsiTheme="minorHAnsi" w:cstheme="minorHAnsi"/>
          <w:sz w:val="20"/>
          <w:szCs w:val="20"/>
        </w:rPr>
        <w:t>zgodnych z ORN, dla:</w:t>
      </w:r>
      <w:bookmarkEnd w:id="588"/>
    </w:p>
    <w:p w14:paraId="70A03E44" w14:textId="700D8376" w:rsidR="00905497" w:rsidRPr="00EB2E7B" w:rsidRDefault="00A127B1" w:rsidP="009F5317">
      <w:pPr>
        <w:pStyle w:val="NormalnyIRiESD"/>
        <w:numPr>
          <w:ilvl w:val="2"/>
          <w:numId w:val="389"/>
        </w:numPr>
        <w:tabs>
          <w:tab w:val="clear" w:pos="2694"/>
          <w:tab w:val="left" w:pos="1134"/>
        </w:tabs>
        <w:ind w:left="1701" w:hanging="567"/>
        <w:rPr>
          <w:rFonts w:asciiTheme="minorHAnsi" w:hAnsiTheme="minorHAnsi" w:cstheme="minorHAnsi"/>
          <w:sz w:val="20"/>
          <w:szCs w:val="20"/>
        </w:rPr>
      </w:pPr>
      <w:r w:rsidRPr="00EB2E7B">
        <w:rPr>
          <w:rFonts w:asciiTheme="minorHAnsi" w:hAnsiTheme="minorHAnsi" w:cstheme="minorHAnsi"/>
          <w:sz w:val="20"/>
          <w:szCs w:val="20"/>
        </w:rPr>
        <w:t>OSP jako zagregowane MB RB, zgodnie z zasadami i terminami określonymi w WDB,</w:t>
      </w:r>
    </w:p>
    <w:p w14:paraId="3162F281" w14:textId="77777777" w:rsidR="00A70342" w:rsidRPr="00EB2E7B" w:rsidRDefault="00A70342" w:rsidP="009F5317">
      <w:pPr>
        <w:pStyle w:val="NormalnyIRiESD"/>
        <w:numPr>
          <w:ilvl w:val="2"/>
          <w:numId w:val="389"/>
        </w:numPr>
        <w:tabs>
          <w:tab w:val="clear" w:pos="2694"/>
          <w:tab w:val="left" w:pos="1134"/>
        </w:tabs>
        <w:ind w:left="1701" w:hanging="567"/>
        <w:rPr>
          <w:rFonts w:asciiTheme="minorHAnsi" w:hAnsiTheme="minorHAnsi" w:cstheme="minorHAnsi"/>
          <w:sz w:val="20"/>
          <w:szCs w:val="20"/>
        </w:rPr>
      </w:pPr>
      <w:bookmarkStart w:id="589" w:name="_Ref190117278"/>
      <w:r w:rsidRPr="00EB2E7B">
        <w:rPr>
          <w:rFonts w:asciiTheme="minorHAnsi" w:hAnsiTheme="minorHAnsi" w:cstheme="minorHAnsi"/>
          <w:sz w:val="20"/>
          <w:szCs w:val="20"/>
        </w:rPr>
        <w:t>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jako zagregowane MB RB i MDD bilansowanych sprzedawców oraz dane bilansowanych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i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w:t>
      </w:r>
      <w:bookmarkEnd w:id="589"/>
      <w:r w:rsidRPr="00EB2E7B">
        <w:rPr>
          <w:rFonts w:asciiTheme="minorHAnsi" w:hAnsiTheme="minorHAnsi" w:cstheme="minorHAnsi"/>
          <w:sz w:val="20"/>
          <w:szCs w:val="20"/>
        </w:rPr>
        <w:t xml:space="preserve"> </w:t>
      </w:r>
    </w:p>
    <w:p w14:paraId="2A90FD70" w14:textId="15852ED9" w:rsidR="00A127B1" w:rsidRPr="00EB2E7B" w:rsidRDefault="00A70342" w:rsidP="009F5317">
      <w:pPr>
        <w:pStyle w:val="NormalnyIRiESD"/>
        <w:numPr>
          <w:ilvl w:val="2"/>
          <w:numId w:val="389"/>
        </w:numPr>
        <w:tabs>
          <w:tab w:val="clear" w:pos="2694"/>
          <w:tab w:val="left" w:pos="1134"/>
        </w:tabs>
        <w:ind w:left="1701" w:hanging="567"/>
        <w:rPr>
          <w:rFonts w:asciiTheme="minorHAnsi" w:hAnsiTheme="minorHAnsi" w:cstheme="minorHAnsi"/>
          <w:sz w:val="20"/>
          <w:szCs w:val="20"/>
        </w:rPr>
      </w:pPr>
      <w:bookmarkStart w:id="590" w:name="_Ref190117295"/>
      <w:r w:rsidRPr="00EB2E7B">
        <w:rPr>
          <w:rFonts w:asciiTheme="minorHAnsi" w:hAnsiTheme="minorHAnsi" w:cstheme="minorHAnsi"/>
          <w:sz w:val="20"/>
          <w:szCs w:val="20"/>
        </w:rPr>
        <w:t>sprzedawców jako zagregowane MDD,</w:t>
      </w:r>
      <w:bookmarkEnd w:id="590"/>
    </w:p>
    <w:p w14:paraId="3699A35C" w14:textId="26424749" w:rsidR="00A70342" w:rsidRPr="00EB2E7B" w:rsidRDefault="00E37C7C" w:rsidP="009F5317">
      <w:pPr>
        <w:tabs>
          <w:tab w:val="left" w:pos="1134"/>
        </w:tabs>
        <w:ind w:left="1701" w:hanging="567"/>
        <w:rPr>
          <w:rFonts w:asciiTheme="minorHAnsi" w:hAnsiTheme="minorHAnsi" w:cstheme="minorHAnsi"/>
          <w:sz w:val="20"/>
          <w:szCs w:val="20"/>
        </w:rPr>
      </w:pPr>
      <w:r w:rsidRPr="00EB2E7B">
        <w:rPr>
          <w:rFonts w:asciiTheme="minorHAnsi" w:hAnsiTheme="minorHAnsi" w:cstheme="minorHAnsi"/>
          <w:sz w:val="20"/>
          <w:szCs w:val="20"/>
        </w:rPr>
        <w:t>zachowując zgodność przekazywanych danych ww. podmiotom.</w:t>
      </w:r>
    </w:p>
    <w:p w14:paraId="2D740D53" w14:textId="77777777" w:rsidR="00B65C17" w:rsidRPr="00EB2E7B" w:rsidRDefault="0077111A" w:rsidP="004854C6">
      <w:pPr>
        <w:pStyle w:val="ANagwek3"/>
        <w:rPr>
          <w:rFonts w:asciiTheme="minorHAnsi" w:hAnsiTheme="minorHAnsi" w:cstheme="minorHAnsi"/>
          <w:sz w:val="20"/>
          <w:szCs w:val="20"/>
        </w:rPr>
      </w:pPr>
      <w:bookmarkStart w:id="591" w:name="_Ref75526611"/>
      <w:r w:rsidRPr="00EB2E7B">
        <w:rPr>
          <w:rFonts w:asciiTheme="minorHAnsi" w:hAnsiTheme="minorHAnsi" w:cstheme="minorHAnsi"/>
          <w:sz w:val="20"/>
          <w:szCs w:val="20"/>
        </w:rPr>
        <w:t xml:space="preserve">Na potrzeby rozliczeń Rynku Detalicznego,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udostępnia następujące dane pomiarowe:</w:t>
      </w:r>
      <w:bookmarkEnd w:id="591"/>
    </w:p>
    <w:p w14:paraId="58300098" w14:textId="77777777" w:rsidR="00473957" w:rsidRPr="00EB2E7B" w:rsidRDefault="0077111A" w:rsidP="000E40AE">
      <w:pPr>
        <w:pStyle w:val="aprzed"/>
        <w:numPr>
          <w:ilvl w:val="0"/>
          <w:numId w:val="111"/>
        </w:numPr>
        <w:ind w:left="1701" w:hanging="566"/>
        <w:rPr>
          <w:rFonts w:asciiTheme="minorHAnsi" w:hAnsiTheme="minorHAnsi" w:cstheme="minorHAnsi"/>
          <w:sz w:val="20"/>
          <w:szCs w:val="20"/>
        </w:rPr>
      </w:pPr>
      <w:bookmarkStart w:id="592" w:name="_Ref75526618"/>
      <w:r w:rsidRPr="00EB2E7B">
        <w:rPr>
          <w:rFonts w:asciiTheme="minorHAnsi" w:hAnsiTheme="minorHAnsi" w:cstheme="minorHAnsi"/>
          <w:sz w:val="20"/>
          <w:szCs w:val="20"/>
        </w:rPr>
        <w:t>Sprzedawcom:</w:t>
      </w:r>
      <w:bookmarkEnd w:id="592"/>
    </w:p>
    <w:p w14:paraId="4493A015" w14:textId="2D03F2BC" w:rsidR="00473957" w:rsidRPr="00EB2E7B" w:rsidRDefault="0077111A" w:rsidP="000E40AE">
      <w:pPr>
        <w:pStyle w:val="kropka"/>
        <w:ind w:hanging="584"/>
        <w:rPr>
          <w:rFonts w:asciiTheme="minorHAnsi" w:hAnsiTheme="minorHAnsi" w:cstheme="minorHAnsi"/>
          <w:sz w:val="20"/>
          <w:szCs w:val="20"/>
        </w:rPr>
      </w:pPr>
      <w:r w:rsidRPr="00EB2E7B">
        <w:rPr>
          <w:rFonts w:asciiTheme="minorHAnsi" w:hAnsiTheme="minorHAnsi" w:cstheme="minorHAnsi"/>
          <w:sz w:val="20"/>
          <w:szCs w:val="20"/>
        </w:rPr>
        <w:t>o zużyciu energii elektrycznej przez odbiorców w okresie rozliczeniowym usług dystrybucyjnych oraz w każdym przypadku wpływającym na rozliczenie usługi dystrybucji pomiędzy sprzedawcą a</w:t>
      </w:r>
      <w:r w:rsidR="00F5333B" w:rsidRPr="00EB2E7B">
        <w:rPr>
          <w:rFonts w:asciiTheme="minorHAnsi" w:hAnsiTheme="minorHAnsi" w:cstheme="minorHAnsi"/>
          <w:sz w:val="20"/>
          <w:szCs w:val="20"/>
        </w:rPr>
        <w:t> </w:t>
      </w:r>
      <w:r w:rsidRPr="00EB2E7B">
        <w:rPr>
          <w:rFonts w:asciiTheme="minorHAnsi" w:hAnsiTheme="minorHAnsi" w:cstheme="minorHAnsi"/>
          <w:sz w:val="20"/>
          <w:szCs w:val="20"/>
        </w:rPr>
        <w:t xml:space="preserve">URD, w szczególności w przypadku zmiany taryfy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zmiany grupy taryfowej, wymiany układu pomiarowo-rozliczeniowego, zmiany odbiorcy przyjętej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także w formie okresowych stanów (wskazań) liczydeł liczników energii elektrycznej z wyłączeniem przypadku zmiany taryfy</w:t>
      </w:r>
      <w:r w:rsidR="009A591F" w:rsidRPr="00EB2E7B">
        <w:rPr>
          <w:rFonts w:asciiTheme="minorHAnsi" w:hAnsiTheme="minorHAnsi" w:cstheme="minorHAnsi"/>
          <w:sz w:val="20"/>
          <w:szCs w:val="20"/>
        </w:rPr>
        <w:t xml:space="preserve">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umożliwiające wyznaczenie rzeczywistego zużycia energii elektrycznej </w:t>
      </w:r>
      <w:r w:rsidRPr="00EB2E7B">
        <w:rPr>
          <w:rFonts w:asciiTheme="minorHAnsi" w:hAnsiTheme="minorHAnsi" w:cstheme="minorHAnsi"/>
          <w:sz w:val="20"/>
          <w:szCs w:val="20"/>
        </w:rPr>
        <w:lastRenderedPageBreak/>
        <w:t>poszczególnych URD – przekazywane do piątego dnia roboczego po zakończeniu okresu rozliczeniowego usług dystrybucyjnych</w:t>
      </w:r>
      <w:r w:rsidR="000940F2" w:rsidRPr="00EB2E7B">
        <w:rPr>
          <w:rFonts w:asciiTheme="minorHAnsi" w:hAnsiTheme="minorHAnsi" w:cstheme="minorHAnsi"/>
          <w:sz w:val="20"/>
          <w:szCs w:val="20"/>
        </w:rPr>
        <w:t xml:space="preserve"> w danym miesiącu</w:t>
      </w:r>
      <w:r w:rsidRPr="00EB2E7B">
        <w:rPr>
          <w:rFonts w:asciiTheme="minorHAnsi" w:hAnsiTheme="minorHAnsi" w:cstheme="minorHAnsi"/>
          <w:sz w:val="20"/>
          <w:szCs w:val="20"/>
        </w:rPr>
        <w:t>,</w:t>
      </w:r>
    </w:p>
    <w:p w14:paraId="6E712FCD" w14:textId="789DDFCB" w:rsidR="00473957" w:rsidRPr="00EB2E7B" w:rsidRDefault="0077111A" w:rsidP="000E40AE">
      <w:pPr>
        <w:pStyle w:val="kropka"/>
        <w:ind w:hanging="584"/>
        <w:rPr>
          <w:rFonts w:asciiTheme="minorHAnsi" w:hAnsiTheme="minorHAnsi" w:cstheme="minorHAnsi"/>
          <w:sz w:val="20"/>
          <w:szCs w:val="20"/>
        </w:rPr>
      </w:pPr>
      <w:r w:rsidRPr="00EB2E7B">
        <w:rPr>
          <w:rFonts w:asciiTheme="minorHAnsi" w:hAnsiTheme="minorHAnsi" w:cstheme="minorHAnsi"/>
          <w:sz w:val="20"/>
          <w:szCs w:val="20"/>
        </w:rPr>
        <w:t xml:space="preserve">za zgodą </w:t>
      </w:r>
      <w:r w:rsidR="004528F5" w:rsidRPr="00EB2E7B">
        <w:rPr>
          <w:rFonts w:asciiTheme="minorHAnsi" w:hAnsiTheme="minorHAnsi" w:cstheme="minorHAnsi"/>
          <w:sz w:val="20"/>
          <w:szCs w:val="20"/>
        </w:rPr>
        <w:t>URD będącego osobą fizyczną, dane pomiarowe URD, dla przedziałów czasowych zgodnych z ORN, po ich uzyskaniu przez ACPRO, zgodnie z</w:t>
      </w:r>
      <w:r w:rsidRPr="00EB2E7B">
        <w:rPr>
          <w:rFonts w:asciiTheme="minorHAnsi" w:hAnsiTheme="minorHAnsi" w:cstheme="minorHAnsi"/>
          <w:sz w:val="20"/>
          <w:szCs w:val="20"/>
        </w:rPr>
        <w:t xml:space="preserve"> pkt.</w:t>
      </w:r>
      <w:r w:rsidR="00392BF1" w:rsidRPr="00EB2E7B">
        <w:rPr>
          <w:rFonts w:asciiTheme="minorHAnsi" w:hAnsiTheme="minorHAnsi" w:cstheme="minorHAnsi"/>
          <w:sz w:val="20"/>
          <w:szCs w:val="20"/>
        </w:rPr>
        <w:t xml:space="preserve"> </w:t>
      </w:r>
      <w:r w:rsidR="00392BF1" w:rsidRPr="00EB2E7B">
        <w:rPr>
          <w:rFonts w:asciiTheme="minorHAnsi" w:hAnsiTheme="minorHAnsi" w:cstheme="minorHAnsi"/>
          <w:sz w:val="20"/>
          <w:szCs w:val="20"/>
        </w:rPr>
        <w:fldChar w:fldCharType="begin"/>
      </w:r>
      <w:r w:rsidR="00392BF1" w:rsidRPr="00EB2E7B">
        <w:rPr>
          <w:rFonts w:asciiTheme="minorHAnsi" w:hAnsiTheme="minorHAnsi" w:cstheme="minorHAnsi"/>
          <w:sz w:val="20"/>
          <w:szCs w:val="20"/>
        </w:rPr>
        <w:instrText xml:space="preserve"> REF _Ref151925586 \r \h </w:instrText>
      </w:r>
      <w:r w:rsidR="00DD70E3" w:rsidRPr="00EB2E7B">
        <w:rPr>
          <w:rFonts w:asciiTheme="minorHAnsi" w:hAnsiTheme="minorHAnsi" w:cstheme="minorHAnsi"/>
          <w:sz w:val="20"/>
          <w:szCs w:val="20"/>
        </w:rPr>
        <w:instrText xml:space="preserve"> \* MERGEFORMAT </w:instrText>
      </w:r>
      <w:r w:rsidR="00392BF1" w:rsidRPr="00EB2E7B">
        <w:rPr>
          <w:rFonts w:asciiTheme="minorHAnsi" w:hAnsiTheme="minorHAnsi" w:cstheme="minorHAnsi"/>
          <w:sz w:val="20"/>
          <w:szCs w:val="20"/>
        </w:rPr>
      </w:r>
      <w:r w:rsidR="00392BF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w:t>
      </w:r>
      <w:r w:rsidR="00392BF1" w:rsidRPr="00EB2E7B">
        <w:rPr>
          <w:rFonts w:asciiTheme="minorHAnsi" w:hAnsiTheme="minorHAnsi" w:cstheme="minorHAnsi"/>
          <w:sz w:val="20"/>
          <w:szCs w:val="20"/>
        </w:rPr>
        <w:fldChar w:fldCharType="end"/>
      </w:r>
      <w:r w:rsidR="00392BF1" w:rsidRPr="00EB2E7B">
        <w:rPr>
          <w:rFonts w:asciiTheme="minorHAnsi" w:hAnsiTheme="minorHAnsi" w:cstheme="minorHAnsi"/>
          <w:sz w:val="20"/>
          <w:szCs w:val="20"/>
        </w:rPr>
        <w:t xml:space="preserve"> </w:t>
      </w:r>
      <w:r w:rsidR="00E362B5" w:rsidRPr="00EB2E7B">
        <w:rPr>
          <w:rFonts w:asciiTheme="minorHAnsi" w:hAnsiTheme="minorHAnsi" w:cstheme="minorHAnsi"/>
          <w:sz w:val="20"/>
          <w:szCs w:val="20"/>
        </w:rPr>
        <w:t xml:space="preserve">lit. </w:t>
      </w:r>
      <w:r w:rsidR="00392BF1" w:rsidRPr="00EB2E7B">
        <w:rPr>
          <w:rFonts w:asciiTheme="minorHAnsi" w:hAnsiTheme="minorHAnsi" w:cstheme="minorHAnsi"/>
          <w:sz w:val="20"/>
          <w:szCs w:val="20"/>
        </w:rPr>
        <w:fldChar w:fldCharType="begin"/>
      </w:r>
      <w:r w:rsidR="00392BF1" w:rsidRPr="00EB2E7B">
        <w:rPr>
          <w:rFonts w:asciiTheme="minorHAnsi" w:hAnsiTheme="minorHAnsi" w:cstheme="minorHAnsi"/>
          <w:sz w:val="20"/>
          <w:szCs w:val="20"/>
        </w:rPr>
        <w:instrText xml:space="preserve"> REF _Ref151925596 \r \h </w:instrText>
      </w:r>
      <w:r w:rsidR="00DD70E3" w:rsidRPr="00EB2E7B">
        <w:rPr>
          <w:rFonts w:asciiTheme="minorHAnsi" w:hAnsiTheme="minorHAnsi" w:cstheme="minorHAnsi"/>
          <w:sz w:val="20"/>
          <w:szCs w:val="20"/>
        </w:rPr>
        <w:instrText xml:space="preserve"> \* MERGEFORMAT </w:instrText>
      </w:r>
      <w:r w:rsidR="00392BF1" w:rsidRPr="00EB2E7B">
        <w:rPr>
          <w:rFonts w:asciiTheme="minorHAnsi" w:hAnsiTheme="minorHAnsi" w:cstheme="minorHAnsi"/>
          <w:sz w:val="20"/>
          <w:szCs w:val="20"/>
        </w:rPr>
      </w:r>
      <w:r w:rsidR="00392BF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392BF1"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0743B414" w14:textId="6F08B63B" w:rsidR="00473957" w:rsidRPr="00EB2E7B" w:rsidRDefault="0077111A" w:rsidP="000E40AE">
      <w:pPr>
        <w:pStyle w:val="kropka"/>
        <w:ind w:hanging="584"/>
        <w:rPr>
          <w:rFonts w:asciiTheme="minorHAnsi" w:hAnsiTheme="minorHAnsi" w:cstheme="minorHAnsi"/>
          <w:sz w:val="20"/>
          <w:szCs w:val="20"/>
        </w:rPr>
      </w:pPr>
      <w:r w:rsidRPr="00EB2E7B">
        <w:rPr>
          <w:rFonts w:asciiTheme="minorHAnsi" w:hAnsiTheme="minorHAnsi" w:cstheme="minorHAnsi"/>
          <w:sz w:val="20"/>
          <w:szCs w:val="20"/>
        </w:rPr>
        <w:t>oddzielnie w formie okresowych stanów (wskazań) liczydeł liczników energii elektrycznej dane o ilości energii wprowadzonej i pobranej z</w:t>
      </w:r>
      <w:r w:rsidR="00F5333B" w:rsidRPr="00EB2E7B">
        <w:rPr>
          <w:rFonts w:asciiTheme="minorHAnsi" w:hAnsiTheme="minorHAnsi" w:cstheme="minorHAnsi"/>
          <w:sz w:val="20"/>
          <w:szCs w:val="20"/>
        </w:rPr>
        <w:t> </w:t>
      </w:r>
      <w:r w:rsidRPr="00EB2E7B">
        <w:rPr>
          <w:rFonts w:asciiTheme="minorHAnsi" w:hAnsiTheme="minorHAnsi" w:cstheme="minorHAnsi"/>
          <w:sz w:val="20"/>
          <w:szCs w:val="20"/>
        </w:rPr>
        <w:t xml:space="preserve">sieci przez URD posiadającego </w:t>
      </w:r>
      <w:proofErr w:type="spellStart"/>
      <w:r w:rsidRPr="00EB2E7B">
        <w:rPr>
          <w:rFonts w:asciiTheme="minorHAnsi" w:hAnsiTheme="minorHAnsi" w:cstheme="minorHAnsi"/>
          <w:sz w:val="20"/>
          <w:szCs w:val="20"/>
        </w:rPr>
        <w:t>mikroinstalację</w:t>
      </w:r>
      <w:proofErr w:type="spellEnd"/>
      <w:r w:rsidRPr="00EB2E7B">
        <w:rPr>
          <w:rFonts w:asciiTheme="minorHAnsi" w:hAnsiTheme="minorHAnsi" w:cstheme="minorHAnsi"/>
          <w:sz w:val="20"/>
          <w:szCs w:val="20"/>
        </w:rPr>
        <w:t xml:space="preserve">; </w:t>
      </w:r>
    </w:p>
    <w:p w14:paraId="140CBC9B" w14:textId="5A35B273" w:rsidR="00DA29D5" w:rsidRPr="00EB2E7B" w:rsidRDefault="00DA29D5" w:rsidP="000E40AE">
      <w:pPr>
        <w:pStyle w:val="kropka"/>
        <w:numPr>
          <w:ilvl w:val="0"/>
          <w:numId w:val="0"/>
        </w:numPr>
        <w:ind w:left="1134"/>
        <w:rPr>
          <w:rFonts w:asciiTheme="minorHAnsi" w:hAnsiTheme="minorHAnsi" w:cstheme="minorHAnsi"/>
          <w:sz w:val="20"/>
          <w:szCs w:val="20"/>
        </w:rPr>
      </w:pPr>
      <w:r w:rsidRPr="00EB2E7B">
        <w:rPr>
          <w:rFonts w:asciiTheme="minorHAnsi" w:hAnsiTheme="minorHAnsi" w:cstheme="minorHAnsi"/>
          <w:sz w:val="20"/>
          <w:szCs w:val="20"/>
        </w:rPr>
        <w:t>Sprzedawcy udostępniane są dane pomiarowe URD objętych realizowaną w danym okresie umową GUD.</w:t>
      </w:r>
    </w:p>
    <w:p w14:paraId="4B600642" w14:textId="77777777" w:rsidR="00473957" w:rsidRPr="00EB2E7B" w:rsidRDefault="0077111A" w:rsidP="000E40AE">
      <w:pPr>
        <w:pStyle w:val="aprzed"/>
        <w:numPr>
          <w:ilvl w:val="0"/>
          <w:numId w:val="108"/>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URD: </w:t>
      </w:r>
    </w:p>
    <w:p w14:paraId="3DDCE526" w14:textId="77777777" w:rsidR="00473957" w:rsidRPr="00EB2E7B" w:rsidRDefault="0077111A" w:rsidP="000E40AE">
      <w:pPr>
        <w:pStyle w:val="kropka"/>
        <w:ind w:hanging="584"/>
        <w:rPr>
          <w:rFonts w:asciiTheme="minorHAnsi" w:hAnsiTheme="minorHAnsi" w:cstheme="minorHAnsi"/>
          <w:sz w:val="20"/>
          <w:szCs w:val="20"/>
        </w:rPr>
      </w:pPr>
      <w:r w:rsidRPr="00EB2E7B">
        <w:rPr>
          <w:rFonts w:asciiTheme="minorHAnsi" w:hAnsiTheme="minorHAnsi" w:cstheme="minorHAnsi"/>
          <w:sz w:val="20"/>
          <w:szCs w:val="20"/>
        </w:rPr>
        <w:t>o zużyciu w PPE za okres rozliczeniowy lub umożliwiające wyznaczenie rzeczywistego zużycia energii elektrycznej, przekazywane wraz z fakturą za usługi dystrybucyjne,</w:t>
      </w:r>
    </w:p>
    <w:p w14:paraId="5E4FAE1B" w14:textId="5EAD80B8" w:rsidR="00473957" w:rsidRPr="00EB2E7B" w:rsidRDefault="004528F5" w:rsidP="000E40AE">
      <w:pPr>
        <w:pStyle w:val="kropka"/>
        <w:ind w:hanging="584"/>
        <w:rPr>
          <w:rFonts w:asciiTheme="minorHAnsi" w:hAnsiTheme="minorHAnsi" w:cstheme="minorHAnsi"/>
          <w:sz w:val="20"/>
          <w:szCs w:val="20"/>
        </w:rPr>
      </w:pPr>
      <w:r w:rsidRPr="00EB2E7B">
        <w:rPr>
          <w:rFonts w:asciiTheme="minorHAnsi" w:hAnsiTheme="minorHAnsi" w:cstheme="minorHAnsi"/>
          <w:sz w:val="20"/>
          <w:szCs w:val="20"/>
        </w:rPr>
        <w:t>dane pomiarowe URD, dla przedziałów czasowych zgodnych z ORN – na zlecenie URD, na zasadach i warunkach określonych w umowie dystrybucji lub odrębnej umowie zawartej pomiędzy URD a ACPRO;</w:t>
      </w:r>
    </w:p>
    <w:p w14:paraId="31D730B4" w14:textId="77777777" w:rsidR="00473957" w:rsidRPr="00EB2E7B" w:rsidRDefault="0077111A"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zachowując zgodność przekazywanych danych ww. podmiotom. Dane pomiarowe są udostępniane z dokładnością do 1kWh.</w:t>
      </w:r>
    </w:p>
    <w:p w14:paraId="27743CA3" w14:textId="260561BE" w:rsidR="00B65C17" w:rsidRPr="00EB2E7B" w:rsidRDefault="0050185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W przypadku braku danych pomiarowych, spowodowanych brakiem lub awarią układu transmisji danych pomiarowych lub zakłóceniem w procesie zdalnego pozyskiwania danych z układów pomiarowo-rozliczeniowych, ACPRO w procesie udostępniania danych pomiarowych może wykorzystać dane wyznaczone zgodnie z</w:t>
      </w:r>
      <w:r w:rsidR="0071595C" w:rsidRPr="00EB2E7B">
        <w:rPr>
          <w:rFonts w:asciiTheme="minorHAnsi" w:hAnsiTheme="minorHAnsi" w:cstheme="minorHAnsi"/>
          <w:sz w:val="20"/>
          <w:szCs w:val="20"/>
        </w:rPr>
        <w:t>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723875CB" w14:textId="55389E81" w:rsidR="0050185B" w:rsidRPr="00EB2E7B" w:rsidRDefault="0050185B"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Sposób udostępniania sprzedawcom danych pomiarowych wskazanych w pkt</w:t>
      </w:r>
      <w:r w:rsidR="007E14D1"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_Ref75526611 \r \h </w:instrText>
      </w:r>
      <w:r w:rsidR="0058624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_Ref75526618 \r \h </w:instrText>
      </w:r>
      <w:r w:rsidR="0058624F"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określa umow</w:t>
      </w:r>
      <w:r w:rsidR="00CC3B46" w:rsidRPr="00EB2E7B">
        <w:rPr>
          <w:rFonts w:asciiTheme="minorHAnsi" w:hAnsiTheme="minorHAnsi" w:cstheme="minorHAnsi"/>
          <w:sz w:val="20"/>
          <w:szCs w:val="20"/>
        </w:rPr>
        <w:t>a</w:t>
      </w:r>
      <w:r w:rsidRPr="00EB2E7B">
        <w:rPr>
          <w:rFonts w:asciiTheme="minorHAnsi" w:hAnsiTheme="minorHAnsi" w:cstheme="minorHAnsi"/>
          <w:sz w:val="20"/>
          <w:szCs w:val="20"/>
        </w:rPr>
        <w:t xml:space="preserve"> GUD.</w:t>
      </w:r>
    </w:p>
    <w:p w14:paraId="31470B7D" w14:textId="77777777"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Dane pomiarowe wyznaczone na potrzeby rozliczeń:</w:t>
      </w:r>
    </w:p>
    <w:p w14:paraId="0D907ED3" w14:textId="77777777" w:rsidR="00473957" w:rsidRPr="00EB2E7B" w:rsidRDefault="0077111A" w:rsidP="005C5D20">
      <w:pPr>
        <w:pStyle w:val="1przed"/>
        <w:numPr>
          <w:ilvl w:val="0"/>
          <w:numId w:val="112"/>
        </w:numPr>
        <w:ind w:left="1701" w:hanging="567"/>
        <w:rPr>
          <w:rFonts w:asciiTheme="minorHAnsi" w:hAnsiTheme="minorHAnsi" w:cstheme="minorHAnsi"/>
          <w:sz w:val="20"/>
          <w:szCs w:val="20"/>
        </w:rPr>
      </w:pPr>
      <w:r w:rsidRPr="00EB2E7B">
        <w:rPr>
          <w:rFonts w:asciiTheme="minorHAnsi" w:hAnsiTheme="minorHAnsi" w:cstheme="minorHAnsi"/>
          <w:sz w:val="20"/>
          <w:szCs w:val="20"/>
        </w:rPr>
        <w:t>Rynku Bilansującego, korygowane są w przypadku:</w:t>
      </w:r>
    </w:p>
    <w:p w14:paraId="7B5E11E8" w14:textId="77777777" w:rsidR="00473957" w:rsidRPr="00EB2E7B" w:rsidRDefault="0077111A" w:rsidP="000E40AE">
      <w:pPr>
        <w:pStyle w:val="apo"/>
        <w:numPr>
          <w:ilvl w:val="0"/>
          <w:numId w:val="113"/>
        </w:numPr>
        <w:ind w:left="2268" w:hanging="567"/>
        <w:rPr>
          <w:rFonts w:asciiTheme="minorHAnsi" w:hAnsiTheme="minorHAnsi" w:cstheme="minorHAnsi"/>
          <w:sz w:val="20"/>
          <w:szCs w:val="20"/>
        </w:rPr>
      </w:pPr>
      <w:r w:rsidRPr="00EB2E7B">
        <w:rPr>
          <w:rFonts w:asciiTheme="minorHAnsi" w:hAnsiTheme="minorHAnsi" w:cstheme="minorHAnsi"/>
          <w:sz w:val="20"/>
          <w:szCs w:val="20"/>
        </w:rPr>
        <w:t>pozyskania danych rzeczywistych w miejsce szacowanych,</w:t>
      </w:r>
    </w:p>
    <w:p w14:paraId="62E1E664" w14:textId="77777777" w:rsidR="00473957" w:rsidRPr="00EB2E7B" w:rsidRDefault="0077111A" w:rsidP="000E40AE">
      <w:pPr>
        <w:pStyle w:val="apo"/>
        <w:numPr>
          <w:ilvl w:val="0"/>
          <w:numId w:val="113"/>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korekty danych składowych, </w:t>
      </w:r>
    </w:p>
    <w:p w14:paraId="0F5086F0" w14:textId="77777777" w:rsidR="00D85408" w:rsidRPr="00EB2E7B" w:rsidRDefault="0077111A" w:rsidP="000E40AE">
      <w:pPr>
        <w:pStyle w:val="apo"/>
        <w:numPr>
          <w:ilvl w:val="0"/>
          <w:numId w:val="113"/>
        </w:numPr>
        <w:ind w:left="2268" w:hanging="567"/>
        <w:rPr>
          <w:rFonts w:asciiTheme="minorHAnsi" w:hAnsiTheme="minorHAnsi" w:cstheme="minorHAnsi"/>
          <w:sz w:val="20"/>
          <w:szCs w:val="20"/>
        </w:rPr>
      </w:pPr>
      <w:r w:rsidRPr="00EB2E7B">
        <w:rPr>
          <w:rFonts w:asciiTheme="minorHAnsi" w:hAnsiTheme="minorHAnsi" w:cstheme="minorHAnsi"/>
          <w:sz w:val="20"/>
          <w:szCs w:val="20"/>
        </w:rPr>
        <w:t>rozpatrzenia reklamacji w zakresie poprawności danych,</w:t>
      </w:r>
    </w:p>
    <w:p w14:paraId="1F555B4A" w14:textId="0CFBA883" w:rsidR="00473957" w:rsidRPr="00EB2E7B" w:rsidRDefault="0077111A"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i zgłaszane są w najbliższym cyklu korekty rozliczeń na Rynku Bilansującym. W</w:t>
      </w:r>
      <w:r w:rsidR="00EA613D" w:rsidRPr="00EB2E7B">
        <w:rPr>
          <w:rFonts w:asciiTheme="minorHAnsi" w:hAnsiTheme="minorHAnsi" w:cstheme="minorHAnsi"/>
          <w:sz w:val="20"/>
          <w:szCs w:val="20"/>
        </w:rPr>
        <w:t> </w:t>
      </w:r>
      <w:r w:rsidRPr="00EB2E7B">
        <w:rPr>
          <w:rFonts w:asciiTheme="minorHAnsi" w:hAnsiTheme="minorHAnsi" w:cstheme="minorHAnsi"/>
          <w:sz w:val="20"/>
          <w:szCs w:val="20"/>
        </w:rPr>
        <w:t xml:space="preserve">przypadku korekty danych pomiarowych,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przekazuje skorygowane dane także do podmiotów wymienionych w pkt</w:t>
      </w:r>
      <w:r w:rsidR="00186DF4" w:rsidRPr="00EB2E7B">
        <w:rPr>
          <w:rFonts w:asciiTheme="minorHAnsi" w:hAnsiTheme="minorHAnsi" w:cstheme="minorHAnsi"/>
          <w:sz w:val="20"/>
          <w:szCs w:val="20"/>
        </w:rPr>
        <w:t xml:space="preserve"> </w:t>
      </w:r>
      <w:r w:rsidR="00AD62C6" w:rsidRPr="00EB2E7B">
        <w:rPr>
          <w:rFonts w:asciiTheme="minorHAnsi" w:hAnsiTheme="minorHAnsi" w:cstheme="minorHAnsi"/>
          <w:sz w:val="20"/>
          <w:szCs w:val="20"/>
        </w:rPr>
        <w:fldChar w:fldCharType="begin"/>
      </w:r>
      <w:r w:rsidR="00AD62C6" w:rsidRPr="00EB2E7B">
        <w:rPr>
          <w:rFonts w:asciiTheme="minorHAnsi" w:hAnsiTheme="minorHAnsi" w:cstheme="minorHAnsi"/>
          <w:sz w:val="20"/>
          <w:szCs w:val="20"/>
        </w:rPr>
        <w:instrText xml:space="preserve"> REF _Ref75526655 \w \h  \* MERGEFORMAT </w:instrText>
      </w:r>
      <w:r w:rsidR="00AD62C6" w:rsidRPr="00EB2E7B">
        <w:rPr>
          <w:rFonts w:asciiTheme="minorHAnsi" w:hAnsiTheme="minorHAnsi" w:cstheme="minorHAnsi"/>
          <w:sz w:val="20"/>
          <w:szCs w:val="20"/>
        </w:rPr>
      </w:r>
      <w:r w:rsidR="00AD62C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C.1.10</w:t>
      </w:r>
      <w:r w:rsidR="00AD62C6" w:rsidRPr="00EB2E7B">
        <w:rPr>
          <w:rFonts w:asciiTheme="minorHAnsi" w:hAnsiTheme="minorHAnsi" w:cstheme="minorHAnsi"/>
          <w:sz w:val="20"/>
          <w:szCs w:val="20"/>
        </w:rPr>
        <w:fldChar w:fldCharType="end"/>
      </w:r>
      <w:r w:rsidR="00571330" w:rsidRPr="00EB2E7B">
        <w:rPr>
          <w:rFonts w:asciiTheme="minorHAnsi" w:hAnsiTheme="minorHAnsi" w:cstheme="minorHAnsi"/>
          <w:sz w:val="20"/>
          <w:szCs w:val="20"/>
        </w:rPr>
        <w:t xml:space="preserve"> </w:t>
      </w:r>
      <w:r w:rsidR="00D10B97" w:rsidRPr="00EB2E7B">
        <w:rPr>
          <w:rFonts w:asciiTheme="minorHAnsi" w:hAnsiTheme="minorHAnsi" w:cstheme="minorHAnsi"/>
          <w:sz w:val="20"/>
          <w:szCs w:val="20"/>
        </w:rPr>
        <w:t xml:space="preserve">pkt </w:t>
      </w:r>
      <w:r w:rsidR="00AD62C6" w:rsidRPr="00EB2E7B">
        <w:rPr>
          <w:rFonts w:asciiTheme="minorHAnsi" w:hAnsiTheme="minorHAnsi" w:cstheme="minorHAnsi"/>
          <w:sz w:val="20"/>
          <w:szCs w:val="20"/>
        </w:rPr>
        <w:fldChar w:fldCharType="begin"/>
      </w:r>
      <w:r w:rsidR="00AD62C6" w:rsidRPr="00EB2E7B">
        <w:rPr>
          <w:rFonts w:asciiTheme="minorHAnsi" w:hAnsiTheme="minorHAnsi" w:cstheme="minorHAnsi"/>
          <w:sz w:val="20"/>
          <w:szCs w:val="20"/>
        </w:rPr>
        <w:instrText xml:space="preserve"> REF _Ref190117278 \w \h  \* MERGEFORMAT </w:instrText>
      </w:r>
      <w:r w:rsidR="00AD62C6" w:rsidRPr="00EB2E7B">
        <w:rPr>
          <w:rFonts w:asciiTheme="minorHAnsi" w:hAnsiTheme="minorHAnsi" w:cstheme="minorHAnsi"/>
          <w:sz w:val="20"/>
          <w:szCs w:val="20"/>
        </w:rPr>
      </w:r>
      <w:r w:rsidR="00AD62C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k)2)</w:t>
      </w:r>
      <w:r w:rsidR="00AD62C6" w:rsidRPr="00EB2E7B">
        <w:rPr>
          <w:rFonts w:asciiTheme="minorHAnsi" w:hAnsiTheme="minorHAnsi" w:cstheme="minorHAnsi"/>
          <w:sz w:val="20"/>
          <w:szCs w:val="20"/>
        </w:rPr>
        <w:fldChar w:fldCharType="end"/>
      </w:r>
      <w:r w:rsidR="00D10B97" w:rsidRPr="00EB2E7B">
        <w:rPr>
          <w:rFonts w:asciiTheme="minorHAnsi" w:hAnsiTheme="minorHAnsi" w:cstheme="minorHAnsi"/>
          <w:sz w:val="20"/>
          <w:szCs w:val="20"/>
        </w:rPr>
        <w:t xml:space="preserve"> i </w:t>
      </w:r>
      <w:r w:rsidR="00AD62C6" w:rsidRPr="00EB2E7B">
        <w:rPr>
          <w:rFonts w:asciiTheme="minorHAnsi" w:hAnsiTheme="minorHAnsi" w:cstheme="minorHAnsi"/>
          <w:sz w:val="20"/>
          <w:szCs w:val="20"/>
        </w:rPr>
        <w:fldChar w:fldCharType="begin"/>
      </w:r>
      <w:r w:rsidR="00AD62C6" w:rsidRPr="00EB2E7B">
        <w:rPr>
          <w:rFonts w:asciiTheme="minorHAnsi" w:hAnsiTheme="minorHAnsi" w:cstheme="minorHAnsi"/>
          <w:sz w:val="20"/>
          <w:szCs w:val="20"/>
        </w:rPr>
        <w:instrText xml:space="preserve"> REF _Ref190117295 \w \h  \* MERGEFORMAT </w:instrText>
      </w:r>
      <w:r w:rsidR="00AD62C6" w:rsidRPr="00EB2E7B">
        <w:rPr>
          <w:rFonts w:asciiTheme="minorHAnsi" w:hAnsiTheme="minorHAnsi" w:cstheme="minorHAnsi"/>
          <w:sz w:val="20"/>
          <w:szCs w:val="20"/>
        </w:rPr>
      </w:r>
      <w:r w:rsidR="00AD62C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k)3)</w:t>
      </w:r>
      <w:r w:rsidR="00AD62C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89BDEE8" w14:textId="77777777" w:rsidR="00473957" w:rsidRPr="00EB2E7B" w:rsidRDefault="0077111A" w:rsidP="005C5D2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URD, korygowane są w przypadku:</w:t>
      </w:r>
    </w:p>
    <w:p w14:paraId="7EC32685" w14:textId="77777777" w:rsidR="00473957" w:rsidRPr="00EB2E7B" w:rsidRDefault="0077111A" w:rsidP="000E40AE">
      <w:pPr>
        <w:pStyle w:val="apo"/>
        <w:numPr>
          <w:ilvl w:val="0"/>
          <w:numId w:val="114"/>
        </w:numPr>
        <w:ind w:left="2268" w:hanging="567"/>
        <w:rPr>
          <w:rFonts w:asciiTheme="minorHAnsi" w:hAnsiTheme="minorHAnsi" w:cstheme="minorHAnsi"/>
          <w:sz w:val="20"/>
          <w:szCs w:val="20"/>
        </w:rPr>
      </w:pPr>
      <w:r w:rsidRPr="00EB2E7B">
        <w:rPr>
          <w:rFonts w:asciiTheme="minorHAnsi" w:hAnsiTheme="minorHAnsi" w:cstheme="minorHAnsi"/>
          <w:sz w:val="20"/>
          <w:szCs w:val="20"/>
        </w:rPr>
        <w:t>pozyskania danych rzeczywistych w miejsce szacowanych,</w:t>
      </w:r>
    </w:p>
    <w:p w14:paraId="1FA9BE05" w14:textId="77777777" w:rsidR="00473957" w:rsidRPr="00EB2E7B" w:rsidRDefault="0077111A" w:rsidP="000E40AE">
      <w:pPr>
        <w:pStyle w:val="apo"/>
        <w:numPr>
          <w:ilvl w:val="0"/>
          <w:numId w:val="114"/>
        </w:numPr>
        <w:ind w:left="2268" w:hanging="567"/>
        <w:rPr>
          <w:rFonts w:asciiTheme="minorHAnsi" w:hAnsiTheme="minorHAnsi" w:cstheme="minorHAnsi"/>
          <w:sz w:val="20"/>
          <w:szCs w:val="20"/>
        </w:rPr>
      </w:pPr>
      <w:r w:rsidRPr="00EB2E7B">
        <w:rPr>
          <w:rFonts w:asciiTheme="minorHAnsi" w:hAnsiTheme="minorHAnsi" w:cstheme="minorHAnsi"/>
          <w:sz w:val="20"/>
          <w:szCs w:val="20"/>
        </w:rPr>
        <w:t>korekty danych składowych,</w:t>
      </w:r>
    </w:p>
    <w:p w14:paraId="4DEB897A" w14:textId="77777777" w:rsidR="00473957" w:rsidRPr="00EB2E7B" w:rsidRDefault="0077111A" w:rsidP="000E40AE">
      <w:pPr>
        <w:pStyle w:val="apo"/>
        <w:numPr>
          <w:ilvl w:val="0"/>
          <w:numId w:val="114"/>
        </w:numPr>
        <w:ind w:left="2268" w:hanging="567"/>
        <w:rPr>
          <w:rFonts w:asciiTheme="minorHAnsi" w:hAnsiTheme="minorHAnsi" w:cstheme="minorHAnsi"/>
          <w:sz w:val="20"/>
          <w:szCs w:val="20"/>
        </w:rPr>
      </w:pPr>
      <w:r w:rsidRPr="00EB2E7B">
        <w:rPr>
          <w:rFonts w:asciiTheme="minorHAnsi" w:hAnsiTheme="minorHAnsi" w:cstheme="minorHAnsi"/>
          <w:sz w:val="20"/>
          <w:szCs w:val="20"/>
        </w:rPr>
        <w:t>rozpatrzenia reklamacji w zakresie poprawności danych,</w:t>
      </w:r>
    </w:p>
    <w:p w14:paraId="6005E7FB" w14:textId="77777777" w:rsidR="00473957" w:rsidRPr="00EB2E7B" w:rsidRDefault="0077111A"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korekty danych pomiarowych,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przekazuje sprzedawcy skorygowane dane.</w:t>
      </w:r>
    </w:p>
    <w:p w14:paraId="5DA18024" w14:textId="77777777" w:rsidR="00473957" w:rsidRPr="00EB2E7B" w:rsidRDefault="00232DA9"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ACPRO</w:t>
      </w:r>
      <w:r w:rsidR="0077111A" w:rsidRPr="00EB2E7B">
        <w:rPr>
          <w:rFonts w:asciiTheme="minorHAnsi" w:hAnsiTheme="minorHAnsi" w:cstheme="minorHAnsi"/>
          <w:sz w:val="20"/>
          <w:szCs w:val="20"/>
        </w:rPr>
        <w:t xml:space="preserve"> dokonuje korekty za cały okres, w którym występowały błędy odczytu lub wskazań układu pomiarowo-rozliczeniowego albo inne nieprawidłowości.</w:t>
      </w:r>
    </w:p>
    <w:p w14:paraId="17BDDDDE" w14:textId="18D71228"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URD, Sprzedawcy, OSDn oraz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mają prawo wystąpić do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 wnioskiem o</w:t>
      </w:r>
      <w:r w:rsidR="00EA613D" w:rsidRPr="00EB2E7B">
        <w:rPr>
          <w:rFonts w:asciiTheme="minorHAnsi" w:hAnsiTheme="minorHAnsi" w:cstheme="minorHAnsi"/>
          <w:sz w:val="20"/>
          <w:szCs w:val="20"/>
        </w:rPr>
        <w:t> </w:t>
      </w:r>
      <w:r w:rsidRPr="00EB2E7B">
        <w:rPr>
          <w:rFonts w:asciiTheme="minorHAnsi" w:hAnsiTheme="minorHAnsi" w:cstheme="minorHAnsi"/>
          <w:sz w:val="20"/>
          <w:szCs w:val="20"/>
        </w:rPr>
        <w:t xml:space="preserve">dokonanie korekty danych pomiarowych w terminach i na zasadach określonych w rozdziale </w:t>
      </w:r>
      <w:r w:rsidR="00A815AE" w:rsidRPr="00EB2E7B">
        <w:rPr>
          <w:rFonts w:asciiTheme="minorHAnsi" w:hAnsiTheme="minorHAnsi" w:cstheme="minorHAnsi"/>
          <w:sz w:val="20"/>
          <w:szCs w:val="20"/>
        </w:rPr>
        <w:fldChar w:fldCharType="begin"/>
      </w:r>
      <w:r w:rsidR="00A815AE" w:rsidRPr="00EB2E7B">
        <w:rPr>
          <w:rFonts w:asciiTheme="minorHAnsi" w:hAnsiTheme="minorHAnsi" w:cstheme="minorHAnsi"/>
          <w:sz w:val="20"/>
          <w:szCs w:val="20"/>
        </w:rPr>
        <w:instrText xml:space="preserve"> REF _Ref189081093 \w \h  \* MERGEFORMAT </w:instrText>
      </w:r>
      <w:r w:rsidR="00A815AE" w:rsidRPr="00EB2E7B">
        <w:rPr>
          <w:rFonts w:asciiTheme="minorHAnsi" w:hAnsiTheme="minorHAnsi" w:cstheme="minorHAnsi"/>
          <w:sz w:val="20"/>
          <w:szCs w:val="20"/>
        </w:rPr>
      </w:r>
      <w:r w:rsidR="00A815A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w:t>
      </w:r>
      <w:r w:rsidR="00A815AE"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-Bilansowanie.</w:t>
      </w:r>
    </w:p>
    <w:p w14:paraId="69F539A1" w14:textId="02D7A7AF" w:rsidR="00473957" w:rsidRPr="00EB2E7B" w:rsidRDefault="00232DA9" w:rsidP="004854C6">
      <w:pPr>
        <w:pStyle w:val="ANagwek3"/>
        <w:rPr>
          <w:rFonts w:asciiTheme="minorHAnsi" w:hAnsiTheme="minorHAnsi" w:cstheme="minorHAnsi"/>
          <w:sz w:val="20"/>
          <w:szCs w:val="20"/>
        </w:rPr>
      </w:pPr>
      <w:proofErr w:type="spellStart"/>
      <w:r w:rsidRPr="00EB2E7B">
        <w:rPr>
          <w:rFonts w:asciiTheme="minorHAnsi" w:hAnsiTheme="minorHAnsi" w:cstheme="minorHAnsi"/>
          <w:sz w:val="20"/>
          <w:szCs w:val="20"/>
        </w:rPr>
        <w:t>OSD</w:t>
      </w:r>
      <w:r w:rsidR="00B65C17" w:rsidRPr="00EB2E7B">
        <w:rPr>
          <w:rFonts w:asciiTheme="minorHAnsi" w:hAnsiTheme="minorHAnsi" w:cstheme="minorHAnsi"/>
          <w:sz w:val="20"/>
          <w:szCs w:val="20"/>
        </w:rPr>
        <w:t>p</w:t>
      </w:r>
      <w:proofErr w:type="spellEnd"/>
      <w:r w:rsidR="0077111A" w:rsidRPr="00EB2E7B">
        <w:rPr>
          <w:rFonts w:asciiTheme="minorHAnsi" w:hAnsiTheme="minorHAnsi" w:cstheme="minorHAnsi"/>
          <w:sz w:val="20"/>
          <w:szCs w:val="20"/>
        </w:rPr>
        <w:t xml:space="preserve"> wyznacza energię rzeczywistą w Miejscach Bilansowania typu MB</w:t>
      </w:r>
      <w:r w:rsidR="0077111A" w:rsidRPr="00EB2E7B">
        <w:rPr>
          <w:rFonts w:asciiTheme="minorHAnsi" w:hAnsiTheme="minorHAnsi" w:cstheme="minorHAnsi"/>
          <w:sz w:val="20"/>
          <w:szCs w:val="20"/>
          <w:vertAlign w:val="subscript"/>
        </w:rPr>
        <w:t>OSD</w:t>
      </w:r>
      <w:r w:rsidR="0077111A" w:rsidRPr="00EB2E7B">
        <w:rPr>
          <w:rFonts w:asciiTheme="minorHAnsi" w:hAnsiTheme="minorHAnsi" w:cstheme="minorHAnsi"/>
          <w:sz w:val="20"/>
          <w:szCs w:val="20"/>
        </w:rPr>
        <w:t xml:space="preserve"> na podstawie zapisów WDB oraz umowy przesyłowej zawartej z</w:t>
      </w:r>
      <w:r w:rsidR="00F5333B" w:rsidRPr="00EB2E7B">
        <w:rPr>
          <w:rFonts w:asciiTheme="minorHAnsi" w:hAnsiTheme="minorHAnsi" w:cstheme="minorHAnsi"/>
          <w:sz w:val="20"/>
          <w:szCs w:val="20"/>
        </w:rPr>
        <w:t> </w:t>
      </w:r>
      <w:r w:rsidR="0077111A" w:rsidRPr="00EB2E7B">
        <w:rPr>
          <w:rFonts w:asciiTheme="minorHAnsi" w:hAnsiTheme="minorHAnsi" w:cstheme="minorHAnsi"/>
          <w:sz w:val="20"/>
          <w:szCs w:val="20"/>
        </w:rPr>
        <w:t>OSP</w:t>
      </w:r>
      <w:r w:rsidR="009A591F"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 xml:space="preserve">oraz odpowiednio umowy zawartej pomiędzy parą </w:t>
      </w:r>
      <w:proofErr w:type="spellStart"/>
      <w:r w:rsidR="0077111A" w:rsidRPr="00EB2E7B">
        <w:rPr>
          <w:rFonts w:asciiTheme="minorHAnsi" w:hAnsiTheme="minorHAnsi" w:cstheme="minorHAnsi"/>
          <w:sz w:val="20"/>
          <w:szCs w:val="20"/>
        </w:rPr>
        <w:t>OSDp</w:t>
      </w:r>
      <w:proofErr w:type="spellEnd"/>
      <w:r w:rsidR="0077111A" w:rsidRPr="00EB2E7B">
        <w:rPr>
          <w:rFonts w:asciiTheme="minorHAnsi" w:hAnsiTheme="minorHAnsi" w:cstheme="minorHAnsi"/>
          <w:sz w:val="20"/>
          <w:szCs w:val="20"/>
        </w:rPr>
        <w:t>.</w:t>
      </w:r>
    </w:p>
    <w:p w14:paraId="7FB0C73A" w14:textId="77777777"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Wymiana informacji pomiarowych pomiędzy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a sprzedawcą odbywa się z</w:t>
      </w:r>
      <w:r w:rsidR="00F5333B" w:rsidRPr="00EB2E7B">
        <w:rPr>
          <w:rFonts w:asciiTheme="minorHAnsi" w:hAnsiTheme="minorHAnsi" w:cstheme="minorHAnsi"/>
          <w:sz w:val="20"/>
          <w:szCs w:val="20"/>
        </w:rPr>
        <w:t> </w:t>
      </w:r>
      <w:r w:rsidRPr="00EB2E7B">
        <w:rPr>
          <w:rFonts w:asciiTheme="minorHAnsi" w:hAnsiTheme="minorHAnsi" w:cstheme="minorHAnsi"/>
          <w:sz w:val="20"/>
          <w:szCs w:val="20"/>
        </w:rPr>
        <w:t>wykorzystaniem kodu PPE.</w:t>
      </w:r>
    </w:p>
    <w:p w14:paraId="1028C7E3" w14:textId="49DC60CC" w:rsidR="007723BD" w:rsidRPr="00EB2E7B" w:rsidRDefault="00120A27" w:rsidP="004854C6">
      <w:pPr>
        <w:pStyle w:val="ANagwek3"/>
        <w:rPr>
          <w:rFonts w:asciiTheme="minorHAnsi" w:hAnsiTheme="minorHAnsi" w:cstheme="minorHAnsi"/>
          <w:sz w:val="20"/>
          <w:szCs w:val="20"/>
        </w:rPr>
      </w:pPr>
      <w:r w:rsidRPr="00EB2E7B">
        <w:rPr>
          <w:rFonts w:asciiTheme="minorHAnsi" w:hAnsiTheme="minorHAnsi" w:cstheme="minorHAnsi"/>
          <w:sz w:val="20"/>
          <w:szCs w:val="20"/>
        </w:rPr>
        <w:t>Sprzedawca, który sprzedaje energię elektryczną do URD będącego przedsiębiorstwem energetycznym prowadzącym działalność w zakresie dystrybucji energii elektrycznej, przyłączonego do sieci dystrybucyjnej ACPRO, którego odbiorca (dalej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skorzystał z prawa zmiany sprzedawcy - otrzymuje od ACPRO tylko zagregowane dane pomiarowe łącznie dla wszystkich PPE, w których sprzedawca dokonuje sprzedaży energii elektrycznej do tego URD. Dane te zostaną wyznaczone przez ACPRO w szczególności na podstawie danych o ilości energii elektrycznej wprowadzonej do sieci URD z sieci ACPRO lub wprowadzanej do ACPRO z sieci URD oraz otrzymanych od tego URD zagregowanych danych pomiarowych </w:t>
      </w:r>
      <w:proofErr w:type="spellStart"/>
      <w:r w:rsidRPr="00EB2E7B">
        <w:rPr>
          <w:rFonts w:asciiTheme="minorHAnsi" w:hAnsiTheme="minorHAnsi" w:cstheme="minorHAnsi"/>
          <w:sz w:val="20"/>
          <w:szCs w:val="20"/>
        </w:rPr>
        <w:t>URDn</w:t>
      </w:r>
      <w:proofErr w:type="spellEnd"/>
      <w:r w:rsidRPr="00EB2E7B">
        <w:rPr>
          <w:rFonts w:asciiTheme="minorHAnsi" w:hAnsiTheme="minorHAnsi" w:cstheme="minorHAnsi"/>
          <w:sz w:val="20"/>
          <w:szCs w:val="20"/>
        </w:rPr>
        <w:t xml:space="preserve"> przyłączonych do sieci tego URD.</w:t>
      </w:r>
    </w:p>
    <w:p w14:paraId="3BD7F1EF" w14:textId="3BF70FE0" w:rsidR="00473957" w:rsidRPr="00EB2E7B" w:rsidRDefault="00232DA9" w:rsidP="004854C6">
      <w:pPr>
        <w:pStyle w:val="ANagwek3"/>
        <w:rPr>
          <w:rFonts w:asciiTheme="minorHAnsi" w:hAnsiTheme="minorHAnsi" w:cstheme="minorHAnsi"/>
          <w:sz w:val="20"/>
          <w:szCs w:val="20"/>
        </w:rPr>
      </w:pPr>
      <w:bookmarkStart w:id="593" w:name="_Ref190099713"/>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 terminie 14 dni od dnia rozpoczęcia sprzedaży energii elektrycznej lub świadczenia usługi kompleksowej przez sprzedawcę, udostępnia sprzedawcy wskazania układu pomiarowo-rozliczeniowego URD na dzień rozpoczęcia sprzedaży energii lub świadczenia usługi kompleksowej przez sprzedawcę.</w:t>
      </w:r>
      <w:bookmarkEnd w:id="593"/>
    </w:p>
    <w:p w14:paraId="66692D05" w14:textId="77777777" w:rsidR="00473957" w:rsidRPr="00EB2E7B" w:rsidRDefault="00232DA9" w:rsidP="000E40AE">
      <w:pPr>
        <w:ind w:left="1134"/>
        <w:rPr>
          <w:rFonts w:asciiTheme="minorHAnsi" w:hAnsiTheme="minorHAnsi" w:cstheme="minorHAnsi"/>
          <w:sz w:val="20"/>
          <w:szCs w:val="20"/>
        </w:rPr>
      </w:pPr>
      <w:bookmarkStart w:id="594" w:name="_Ref75522756"/>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 terminie 14 dni od dnia zakończenia sprzedaży energii elektrycznej lub świadczenia usługi kompleksowej przez sprzedawcę, udostępnia sprzedawcy wskazania układu pomiarowo-rozliczeniowego URD na dzień zakończenia sprzedaży energii lub świadczenia usługi kompleksowej przez sprzedawcę oraz dane dotyczące ilości zużytej energii elektrycznej URD w okresie od zakończenia ostatniego okresu rozliczeniowego do dnia zakończenia sprzedaży energii lub świadczenia usługi kompleksowej przez sprzedawcę.</w:t>
      </w:r>
      <w:bookmarkEnd w:id="594"/>
    </w:p>
    <w:p w14:paraId="6BF118CB" w14:textId="228B3663" w:rsidR="00473957" w:rsidRPr="00EB2E7B" w:rsidRDefault="00232DA9"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wraz z fakturą za świadczone usługi dystrybucji przedstawia URD informacje o:</w:t>
      </w:r>
    </w:p>
    <w:p w14:paraId="1B5106E1" w14:textId="77777777" w:rsidR="00473957" w:rsidRPr="00EB2E7B" w:rsidRDefault="0077111A" w:rsidP="00EE7359">
      <w:pPr>
        <w:pStyle w:val="1przed"/>
        <w:numPr>
          <w:ilvl w:val="0"/>
          <w:numId w:val="115"/>
        </w:numPr>
        <w:ind w:left="1701" w:hanging="567"/>
        <w:rPr>
          <w:rFonts w:asciiTheme="minorHAnsi" w:hAnsiTheme="minorHAnsi" w:cstheme="minorHAnsi"/>
          <w:sz w:val="20"/>
          <w:szCs w:val="20"/>
        </w:rPr>
      </w:pPr>
      <w:r w:rsidRPr="00EB2E7B">
        <w:rPr>
          <w:rFonts w:asciiTheme="minorHAnsi" w:hAnsiTheme="minorHAnsi" w:cstheme="minorHAnsi"/>
          <w:sz w:val="20"/>
          <w:szCs w:val="20"/>
        </w:rPr>
        <w:t>wielkości zużycia energii elektrycznej w okresie rozliczeniowym URD;</w:t>
      </w:r>
    </w:p>
    <w:p w14:paraId="0E81A535" w14:textId="77777777" w:rsidR="00473957" w:rsidRPr="00EB2E7B" w:rsidRDefault="0077111A"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sposobie dokonania odczytu układu pomiarowo-rozliczeniowego, czy był to odczyt fizyczny lub zdalny dokonany przez upoważnionego przedstawiciela ACPRO, albo odczyt dokonany i zgłoszony przez URD;</w:t>
      </w:r>
    </w:p>
    <w:p w14:paraId="1EAB8FF6" w14:textId="77777777" w:rsidR="00473957" w:rsidRPr="00EB2E7B" w:rsidRDefault="0077111A"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sposobie wyznaczenia wielkości zużycia energii elektrycznej w sytuacji, gdy okres rozliczeniowy jest dłuższy niż miesiąc i gdy pierwszy lub ostatni dzień okresu rozliczeniowego nie pokrywa się z datami odczytów układu pomiarowo</w:t>
      </w:r>
      <w:r w:rsidR="009500A5" w:rsidRPr="00EB2E7B">
        <w:rPr>
          <w:rFonts w:asciiTheme="minorHAnsi" w:hAnsiTheme="minorHAnsi" w:cstheme="minorHAnsi"/>
          <w:sz w:val="20"/>
          <w:szCs w:val="20"/>
        </w:rPr>
        <w:t>-</w:t>
      </w:r>
      <w:r w:rsidRPr="00EB2E7B">
        <w:rPr>
          <w:rFonts w:asciiTheme="minorHAnsi" w:hAnsiTheme="minorHAnsi" w:cstheme="minorHAnsi"/>
          <w:sz w:val="20"/>
          <w:szCs w:val="20"/>
        </w:rPr>
        <w:t>rozliczeniowego lub gdy w trakcie trwania okresu rozliczeniowego nastąpiła zmiana cen lub stawek opłat, albo o miejscu, w</w:t>
      </w:r>
      <w:r w:rsidR="00F5333B" w:rsidRPr="00EB2E7B">
        <w:rPr>
          <w:rFonts w:asciiTheme="minorHAnsi" w:hAnsiTheme="minorHAnsi" w:cstheme="minorHAnsi"/>
          <w:sz w:val="20"/>
          <w:szCs w:val="20"/>
        </w:rPr>
        <w:t> </w:t>
      </w:r>
      <w:r w:rsidRPr="00EB2E7B">
        <w:rPr>
          <w:rFonts w:asciiTheme="minorHAnsi" w:hAnsiTheme="minorHAnsi" w:cstheme="minorHAnsi"/>
          <w:sz w:val="20"/>
          <w:szCs w:val="20"/>
        </w:rPr>
        <w:t>którym są dostępne te informacje.</w:t>
      </w:r>
    </w:p>
    <w:p w14:paraId="36BEA290" w14:textId="77777777" w:rsidR="00473957" w:rsidRPr="00EB2E7B" w:rsidRDefault="00232DA9"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po zakończeniu okresu rozliczeniowego usług dystrybucji URD, przedstawia sprzedawcy świadczącemu usługę kompleksową informacje o:</w:t>
      </w:r>
    </w:p>
    <w:p w14:paraId="4A6F521E" w14:textId="77777777" w:rsidR="00473957" w:rsidRPr="00EB2E7B" w:rsidRDefault="0077111A" w:rsidP="00EE7359">
      <w:pPr>
        <w:pStyle w:val="1przed"/>
        <w:numPr>
          <w:ilvl w:val="0"/>
          <w:numId w:val="116"/>
        </w:numPr>
        <w:ind w:left="1701" w:hanging="567"/>
        <w:rPr>
          <w:rFonts w:asciiTheme="minorHAnsi" w:hAnsiTheme="minorHAnsi" w:cstheme="minorHAnsi"/>
          <w:sz w:val="20"/>
          <w:szCs w:val="20"/>
        </w:rPr>
      </w:pPr>
      <w:r w:rsidRPr="00EB2E7B">
        <w:rPr>
          <w:rFonts w:asciiTheme="minorHAnsi" w:hAnsiTheme="minorHAnsi" w:cstheme="minorHAnsi"/>
          <w:sz w:val="20"/>
          <w:szCs w:val="20"/>
        </w:rPr>
        <w:lastRenderedPageBreak/>
        <w:t>wielkości zużycia energii elektrycznej w okresie rozliczeniowym URD;</w:t>
      </w:r>
    </w:p>
    <w:p w14:paraId="2BAE20A4" w14:textId="77777777" w:rsidR="00473957" w:rsidRPr="00EB2E7B" w:rsidRDefault="0077111A"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sposobie dokonania odczytu układu pomiarowo-rozliczeniowego, czy był to odczyt fizyczny lub zdalny dokonany przez upoważnionego przedstawiciela ACPRO, albo odczyt dokonany i zgłoszony przez URD;</w:t>
      </w:r>
    </w:p>
    <w:p w14:paraId="522701F4" w14:textId="64E0BAFE" w:rsidR="003526BE" w:rsidRPr="00EB2E7B" w:rsidRDefault="0077111A"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sposobie wyznaczenia wielkości zużycia energii elektrycznej w sytuacji, gdy okres rozliczeniowy jest dłuższy niż miesiąc i gdy pierwszy lub ostatni dzień okresu rozliczeniowego nie pokrywa się z datami odczytów układu pomiarowo</w:t>
      </w:r>
      <w:r w:rsidR="009500A5" w:rsidRPr="00EB2E7B">
        <w:rPr>
          <w:rFonts w:asciiTheme="minorHAnsi" w:hAnsiTheme="minorHAnsi" w:cstheme="minorHAnsi"/>
          <w:sz w:val="20"/>
          <w:szCs w:val="20"/>
        </w:rPr>
        <w:t>-</w:t>
      </w:r>
      <w:r w:rsidRPr="00EB2E7B">
        <w:rPr>
          <w:rFonts w:asciiTheme="minorHAnsi" w:hAnsiTheme="minorHAnsi" w:cstheme="minorHAnsi"/>
          <w:sz w:val="20"/>
          <w:szCs w:val="20"/>
        </w:rPr>
        <w:t>rozliczeniowego lub gdy w trakcie trwania okresu rozliczeniowego nastąpiła zmiana cen lub stawek opłat, albo o miejscu, w</w:t>
      </w:r>
      <w:r w:rsidR="00F5333B" w:rsidRPr="00EB2E7B">
        <w:rPr>
          <w:rFonts w:asciiTheme="minorHAnsi" w:hAnsiTheme="minorHAnsi" w:cstheme="minorHAnsi"/>
          <w:sz w:val="20"/>
          <w:szCs w:val="20"/>
        </w:rPr>
        <w:t> </w:t>
      </w:r>
      <w:r w:rsidRPr="00EB2E7B">
        <w:rPr>
          <w:rFonts w:asciiTheme="minorHAnsi" w:hAnsiTheme="minorHAnsi" w:cstheme="minorHAnsi"/>
          <w:sz w:val="20"/>
          <w:szCs w:val="20"/>
        </w:rPr>
        <w:t>którym są dostępne te informacje.</w:t>
      </w:r>
    </w:p>
    <w:p w14:paraId="1C72955E" w14:textId="14B7E71C" w:rsidR="0050185B" w:rsidRPr="00EB2E7B" w:rsidRDefault="0050185B" w:rsidP="004854C6">
      <w:pPr>
        <w:pStyle w:val="ANagwek3"/>
        <w:rPr>
          <w:rFonts w:asciiTheme="minorHAnsi" w:hAnsiTheme="minorHAnsi" w:cstheme="minorHAnsi"/>
          <w:sz w:val="20"/>
          <w:szCs w:val="20"/>
        </w:rPr>
      </w:pPr>
      <w:r w:rsidRPr="00EB2E7B">
        <w:rPr>
          <w:rFonts w:asciiTheme="minorHAnsi" w:hAnsiTheme="minorHAnsi" w:cstheme="minorHAnsi"/>
          <w:sz w:val="20"/>
          <w:szCs w:val="20"/>
        </w:rPr>
        <w:t>Na potrzeby rozliczeń pomiędzy sprzedawcą a Prosumentem lub Prosumentem zbiorowym, ACPRO udostępnia sprzedawcy dane pomiarowe obejmujące godzinowe ilości energii elektrycznej wprowadzonej i pobranej z sieci dystrybucyjnej ACPRO odpowiednio przez Prosumenta lub Prosumenta zbiorowego przed sumarycznym bilansowaniem i po sumarycznym bilansowaniu ilości energii elektrycznej wprowadzonej do i pobranej z tej sieci dystrybucyjnej, zarejestrowanej uprzednio przez LZO na wszystkich fazach instalacji elektrycznej, dokonywanym w LSPR.</w:t>
      </w:r>
    </w:p>
    <w:p w14:paraId="6A7F9E45"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sumaryczne bilansowanie ilości energii elektrycznej, o którym mowa powyżej, dokonywane jest w systemie pomiarowym.</w:t>
      </w:r>
    </w:p>
    <w:p w14:paraId="6E29EB9F" w14:textId="7305755F" w:rsidR="0050185B" w:rsidRPr="00EB2E7B" w:rsidRDefault="0028275D" w:rsidP="004854C6">
      <w:pPr>
        <w:pStyle w:val="ANagwek3"/>
        <w:rPr>
          <w:rFonts w:asciiTheme="minorHAnsi" w:hAnsiTheme="minorHAnsi" w:cstheme="minorHAnsi"/>
          <w:sz w:val="20"/>
          <w:szCs w:val="20"/>
        </w:rPr>
      </w:pPr>
      <w:bookmarkStart w:id="595" w:name="_Ref190117411"/>
      <w:r w:rsidRPr="00EB2E7B">
        <w:rPr>
          <w:rFonts w:asciiTheme="minorHAnsi" w:hAnsiTheme="minorHAnsi" w:cstheme="minorHAnsi"/>
          <w:sz w:val="20"/>
          <w:szCs w:val="20"/>
        </w:rPr>
        <w:t>W przypadku, gdy układ pomiarowo-rozliczeniowy w PPE Prosumenta zbiorowego lub Prosumenta wirtualnego nie umożliwia ustalenia godzinowej ilości pobranej energii elektrycznej, to ACPRO ustala godzinowy pobór energii elektrycznej z</w:t>
      </w:r>
      <w:r w:rsidR="00560F68" w:rsidRPr="00EB2E7B">
        <w:rPr>
          <w:rFonts w:asciiTheme="minorHAnsi" w:hAnsiTheme="minorHAnsi" w:cstheme="minorHAnsi"/>
          <w:sz w:val="20"/>
          <w:szCs w:val="20"/>
        </w:rPr>
        <w:t> </w:t>
      </w:r>
      <w:r w:rsidRPr="00EB2E7B">
        <w:rPr>
          <w:rFonts w:asciiTheme="minorHAnsi" w:hAnsiTheme="minorHAnsi" w:cstheme="minorHAnsi"/>
          <w:sz w:val="20"/>
          <w:szCs w:val="20"/>
        </w:rPr>
        <w:t xml:space="preserve">uwzględnieniem standardowego profilu zużycia, o którym mowa w rozdziale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_Ref75525715 \r \h </w:instrText>
      </w:r>
      <w:r w:rsidR="00520823"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G</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595"/>
    </w:p>
    <w:p w14:paraId="6A9EFBEF" w14:textId="1295C27C" w:rsidR="0028275D" w:rsidRPr="00EB2E7B" w:rsidRDefault="0028275D" w:rsidP="004854C6">
      <w:pPr>
        <w:pStyle w:val="ANagwek3"/>
        <w:rPr>
          <w:rFonts w:asciiTheme="minorHAnsi" w:hAnsiTheme="minorHAnsi" w:cstheme="minorHAnsi"/>
          <w:sz w:val="20"/>
          <w:szCs w:val="20"/>
        </w:rPr>
      </w:pPr>
      <w:bookmarkStart w:id="596" w:name="_Ref151924213"/>
      <w:r w:rsidRPr="00EB2E7B">
        <w:rPr>
          <w:rFonts w:asciiTheme="minorHAnsi" w:hAnsiTheme="minorHAnsi" w:cstheme="minorHAnsi"/>
          <w:sz w:val="20"/>
          <w:szCs w:val="20"/>
        </w:rPr>
        <w:t>Na potrzeby rozliczeń pomiędzy sprzedawcą a spółdzielnią energetyczną lub jej członkami, ACPRO udostępnia sprzedawcy dane pomiarowe obejmujące godzinowe ilości energii elektrycznej wprowadzonej do sieci dystrybucyjnej ACPRO i z tej sieci pobranej, przez wszystkich wytwórców i odbiorców będących członkami spółdzielni energetycznej przed i po sumarycznym jej bilansowaniu z wszystkich faz, wyznaczone w systemie informatycznym ACPRO.</w:t>
      </w:r>
      <w:bookmarkEnd w:id="596"/>
    </w:p>
    <w:p w14:paraId="44A7D06A" w14:textId="0F6E8C64" w:rsidR="0028275D" w:rsidRPr="00EB2E7B" w:rsidRDefault="0028275D" w:rsidP="004854C6">
      <w:pPr>
        <w:pStyle w:val="ANagwek3"/>
        <w:rPr>
          <w:rFonts w:asciiTheme="minorHAnsi" w:hAnsiTheme="minorHAnsi" w:cstheme="minorHAnsi"/>
          <w:sz w:val="20"/>
          <w:szCs w:val="20"/>
        </w:rPr>
      </w:pPr>
      <w:r w:rsidRPr="00EB2E7B">
        <w:rPr>
          <w:rFonts w:asciiTheme="minorHAnsi" w:hAnsiTheme="minorHAnsi" w:cstheme="minorHAnsi"/>
          <w:sz w:val="20"/>
          <w:szCs w:val="20"/>
        </w:rPr>
        <w:t>Dane pomiarowe, o których mowa w pkt</w:t>
      </w:r>
      <w:r w:rsidR="00577433" w:rsidRPr="00EB2E7B">
        <w:rPr>
          <w:rFonts w:asciiTheme="minorHAnsi" w:hAnsiTheme="minorHAnsi" w:cstheme="minorHAnsi"/>
          <w:sz w:val="20"/>
          <w:szCs w:val="20"/>
        </w:rPr>
        <w:t xml:space="preserve"> </w:t>
      </w:r>
      <w:r w:rsidR="00AF1020" w:rsidRPr="00EB2E7B">
        <w:rPr>
          <w:rFonts w:asciiTheme="minorHAnsi" w:hAnsiTheme="minorHAnsi" w:cstheme="minorHAnsi"/>
          <w:sz w:val="20"/>
          <w:szCs w:val="20"/>
        </w:rPr>
        <w:fldChar w:fldCharType="begin"/>
      </w:r>
      <w:r w:rsidR="00AF1020" w:rsidRPr="00EB2E7B">
        <w:rPr>
          <w:rFonts w:asciiTheme="minorHAnsi" w:hAnsiTheme="minorHAnsi" w:cstheme="minorHAnsi"/>
          <w:sz w:val="20"/>
          <w:szCs w:val="20"/>
        </w:rPr>
        <w:instrText xml:space="preserve"> REF _Ref190117411 \w \h  \* MERGEFORMAT </w:instrText>
      </w:r>
      <w:r w:rsidR="00AF1020" w:rsidRPr="00EB2E7B">
        <w:rPr>
          <w:rFonts w:asciiTheme="minorHAnsi" w:hAnsiTheme="minorHAnsi" w:cstheme="minorHAnsi"/>
          <w:sz w:val="20"/>
          <w:szCs w:val="20"/>
        </w:rPr>
      </w:r>
      <w:r w:rsidR="00AF102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C.1.22</w:t>
      </w:r>
      <w:r w:rsidR="00AF1020" w:rsidRPr="00EB2E7B">
        <w:rPr>
          <w:rFonts w:asciiTheme="minorHAnsi" w:hAnsiTheme="minorHAnsi" w:cstheme="minorHAnsi"/>
          <w:sz w:val="20"/>
          <w:szCs w:val="20"/>
        </w:rPr>
        <w:fldChar w:fldCharType="end"/>
      </w:r>
      <w:r w:rsidR="009C6386" w:rsidRPr="00EB2E7B">
        <w:rPr>
          <w:rFonts w:asciiTheme="minorHAnsi" w:hAnsiTheme="minorHAnsi" w:cstheme="minorHAnsi"/>
          <w:sz w:val="20"/>
          <w:szCs w:val="20"/>
        </w:rPr>
        <w:t xml:space="preserve"> i </w:t>
      </w:r>
      <w:r w:rsidR="009C6386" w:rsidRPr="00EB2E7B">
        <w:rPr>
          <w:rFonts w:asciiTheme="minorHAnsi" w:hAnsiTheme="minorHAnsi" w:cstheme="minorHAnsi"/>
          <w:sz w:val="20"/>
          <w:szCs w:val="20"/>
        </w:rPr>
        <w:fldChar w:fldCharType="begin"/>
      </w:r>
      <w:r w:rsidR="009C6386" w:rsidRPr="00EB2E7B">
        <w:rPr>
          <w:rFonts w:asciiTheme="minorHAnsi" w:hAnsiTheme="minorHAnsi" w:cstheme="minorHAnsi"/>
          <w:sz w:val="20"/>
          <w:szCs w:val="20"/>
        </w:rPr>
        <w:instrText xml:space="preserve"> REF _Ref151924213 \r \h  \* MERGEFORMAT </w:instrText>
      </w:r>
      <w:r w:rsidR="009C6386" w:rsidRPr="00EB2E7B">
        <w:rPr>
          <w:rFonts w:asciiTheme="minorHAnsi" w:hAnsiTheme="minorHAnsi" w:cstheme="minorHAnsi"/>
          <w:sz w:val="20"/>
          <w:szCs w:val="20"/>
        </w:rPr>
      </w:r>
      <w:r w:rsidR="009C638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C.1.23</w:t>
      </w:r>
      <w:r w:rsidR="009C638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są rejestrowane przez LZO. LZO rejestrują odrębnie ilość energii elektrycznej poszczególnych wytwórców lub odbiorców będących członkami spółdzielni energetycznej:</w:t>
      </w:r>
    </w:p>
    <w:p w14:paraId="09CB06CF" w14:textId="77777777" w:rsidR="0028275D" w:rsidRPr="00EB2E7B" w:rsidRDefault="0028275D" w:rsidP="0030167A">
      <w:pPr>
        <w:pStyle w:val="1przed"/>
        <w:numPr>
          <w:ilvl w:val="0"/>
          <w:numId w:val="179"/>
        </w:numPr>
        <w:ind w:left="1701" w:hanging="567"/>
        <w:rPr>
          <w:rFonts w:asciiTheme="minorHAnsi" w:hAnsiTheme="minorHAnsi" w:cstheme="minorHAnsi"/>
          <w:sz w:val="20"/>
          <w:szCs w:val="20"/>
        </w:rPr>
      </w:pPr>
      <w:r w:rsidRPr="00EB2E7B">
        <w:rPr>
          <w:rFonts w:asciiTheme="minorHAnsi" w:hAnsiTheme="minorHAnsi" w:cstheme="minorHAnsi"/>
          <w:sz w:val="20"/>
          <w:szCs w:val="20"/>
        </w:rPr>
        <w:t>wprowadzonej do sieci dystrybucyjnej ACPRO – stanowiącej sumę energii elektrycznej wprowadzonej do tej sieci z wszystkich faz;</w:t>
      </w:r>
    </w:p>
    <w:p w14:paraId="104A8C75" w14:textId="02577E6D" w:rsidR="00FC2A06" w:rsidRPr="00EB2E7B" w:rsidRDefault="0028275D" w:rsidP="00CE4C35">
      <w:pPr>
        <w:pStyle w:val="1przed"/>
        <w:numPr>
          <w:ilvl w:val="0"/>
          <w:numId w:val="179"/>
        </w:numPr>
        <w:ind w:left="1701" w:hanging="567"/>
        <w:rPr>
          <w:rFonts w:asciiTheme="minorHAnsi" w:hAnsiTheme="minorHAnsi" w:cstheme="minorHAnsi"/>
          <w:sz w:val="20"/>
          <w:szCs w:val="20"/>
        </w:rPr>
      </w:pPr>
      <w:r w:rsidRPr="00EB2E7B">
        <w:rPr>
          <w:rFonts w:asciiTheme="minorHAnsi" w:hAnsiTheme="minorHAnsi" w:cstheme="minorHAnsi"/>
          <w:sz w:val="20"/>
          <w:szCs w:val="20"/>
        </w:rPr>
        <w:t>pobranej z sieci dystrybucyjnej ACPRO – stanowiącej sumę energii elektrycznej pobranej z tej sieci z wszystkich faz.</w:t>
      </w:r>
    </w:p>
    <w:p w14:paraId="3CE7A5D1"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ACPRO przekazuje do CSIRE informację, że w danym PPE istnieje możliwość wykorzystania LZO do przedpłatowej formy rozliczeń, poprzez atrybut charakterystyki PP „Komunikacja LZO”, którego wartość będzie równa „</w:t>
      </w:r>
      <w:proofErr w:type="spellStart"/>
      <w:r>
        <w:rPr>
          <w:rFonts w:asciiTheme="minorHAnsi" w:hAnsiTheme="minorHAnsi" w:cstheme="minorHAnsi"/>
          <w:sz w:val="20"/>
          <w:szCs w:val="20"/>
        </w:rPr>
        <w:t>true</w:t>
      </w:r>
      <w:proofErr w:type="spellEnd"/>
      <w:r>
        <w:rPr>
          <w:rFonts w:asciiTheme="minorHAnsi" w:hAnsiTheme="minorHAnsi" w:cstheme="minorHAnsi"/>
          <w:sz w:val="20"/>
          <w:szCs w:val="20"/>
        </w:rPr>
        <w:t>”.</w:t>
      </w:r>
    </w:p>
    <w:p w14:paraId="1DD11A38"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atrybut charakterystyki PP „Komunikacja LZO” równy „</w:t>
      </w:r>
      <w:proofErr w:type="spellStart"/>
      <w:r>
        <w:rPr>
          <w:rFonts w:asciiTheme="minorHAnsi" w:hAnsiTheme="minorHAnsi" w:cstheme="minorHAnsi"/>
          <w:sz w:val="20"/>
          <w:szCs w:val="20"/>
        </w:rPr>
        <w:t>true</w:t>
      </w:r>
      <w:proofErr w:type="spellEnd"/>
      <w:r>
        <w:rPr>
          <w:rFonts w:asciiTheme="minorHAnsi" w:hAnsiTheme="minorHAnsi" w:cstheme="minorHAnsi"/>
          <w:sz w:val="20"/>
          <w:szCs w:val="20"/>
        </w:rPr>
        <w:t>” ACPRO przekaże do CSIRE, jeżeli od następnego dnia po instalacji LZO na sieci lub w przypadku, gdy nastąpiła zmiana atrybutu z „</w:t>
      </w:r>
      <w:proofErr w:type="spellStart"/>
      <w:r>
        <w:rPr>
          <w:rFonts w:asciiTheme="minorHAnsi" w:hAnsiTheme="minorHAnsi" w:cstheme="minorHAnsi"/>
          <w:sz w:val="20"/>
          <w:szCs w:val="20"/>
        </w:rPr>
        <w:t>true</w:t>
      </w:r>
      <w:proofErr w:type="spellEnd"/>
      <w:r>
        <w:rPr>
          <w:rFonts w:asciiTheme="minorHAnsi" w:hAnsiTheme="minorHAnsi" w:cstheme="minorHAnsi"/>
          <w:sz w:val="20"/>
          <w:szCs w:val="20"/>
        </w:rPr>
        <w:t>” na „</w:t>
      </w:r>
      <w:proofErr w:type="spellStart"/>
      <w:r>
        <w:rPr>
          <w:rFonts w:asciiTheme="minorHAnsi" w:hAnsiTheme="minorHAnsi" w:cstheme="minorHAnsi"/>
          <w:sz w:val="20"/>
          <w:szCs w:val="20"/>
        </w:rPr>
        <w:t>false</w:t>
      </w:r>
      <w:proofErr w:type="spellEnd"/>
      <w:r>
        <w:rPr>
          <w:rFonts w:asciiTheme="minorHAnsi" w:hAnsiTheme="minorHAnsi" w:cstheme="minorHAnsi"/>
          <w:sz w:val="20"/>
          <w:szCs w:val="20"/>
        </w:rPr>
        <w:t xml:space="preserve">”, przez okres kolejnych, następujących po sobie 7 dni kalendarzowych wskaźnik </w:t>
      </w:r>
      <w:proofErr w:type="spellStart"/>
      <w:r>
        <w:rPr>
          <w:rFonts w:asciiTheme="minorHAnsi" w:hAnsiTheme="minorHAnsi" w:cstheme="minorHAnsi"/>
          <w:sz w:val="20"/>
          <w:szCs w:val="20"/>
        </w:rPr>
        <w:t>WpA</w:t>
      </w:r>
      <w:proofErr w:type="spellEnd"/>
      <w:r>
        <w:rPr>
          <w:rFonts w:asciiTheme="minorHAnsi" w:hAnsiTheme="minorHAnsi" w:cstheme="minorHAnsi"/>
          <w:sz w:val="20"/>
          <w:szCs w:val="20"/>
        </w:rPr>
        <w:t xml:space="preserve">+ osiągnął wartość równą lub wyższą 90% </w:t>
      </w:r>
      <w:r>
        <w:rPr>
          <w:rFonts w:asciiTheme="minorHAnsi" w:hAnsiTheme="minorHAnsi" w:cstheme="minorHAnsi"/>
          <w:sz w:val="20"/>
          <w:szCs w:val="20"/>
        </w:rPr>
        <w:lastRenderedPageBreak/>
        <w:t>kompletności profilu energii czynnej na kierunku pobór (A+), liczone na godz. 9.00 w dobie „n+1” dla doby „n”.</w:t>
      </w:r>
    </w:p>
    <w:p w14:paraId="79E7A145" w14:textId="77777777" w:rsidR="00E954A0" w:rsidRDefault="00047FD1">
      <w:pPr>
        <w:ind w:left="1134" w:firstLine="0"/>
        <w:rPr>
          <w:rFonts w:asciiTheme="minorHAnsi" w:hAnsiTheme="minorHAnsi" w:cstheme="minorHAnsi"/>
          <w:sz w:val="20"/>
          <w:szCs w:val="20"/>
        </w:rPr>
      </w:pPr>
      <w:proofErr w:type="spellStart"/>
      <w:r>
        <w:rPr>
          <w:rFonts w:asciiTheme="minorHAnsi" w:hAnsiTheme="minorHAnsi" w:cstheme="minorHAnsi"/>
          <w:sz w:val="20"/>
          <w:szCs w:val="20"/>
        </w:rPr>
        <w:t>WpA</w:t>
      </w:r>
      <w:proofErr w:type="spellEnd"/>
      <w:r>
        <w:rPr>
          <w:rFonts w:asciiTheme="minorHAnsi" w:hAnsiTheme="minorHAnsi" w:cstheme="minorHAnsi"/>
          <w:sz w:val="20"/>
          <w:szCs w:val="20"/>
        </w:rPr>
        <w:t xml:space="preserve">+ — dobowy wskaźnik skuteczności odczytu danych profilowych, tj. wskaźnik skuteczności pozyskiwania danych profilowych 15-minutowych z licznika LZO dla doby „n”, jest obliczany zgodnie ze wzorem: </w:t>
      </w:r>
      <w:proofErr w:type="spellStart"/>
      <w:r>
        <w:rPr>
          <w:rFonts w:asciiTheme="minorHAnsi" w:hAnsiTheme="minorHAnsi" w:cstheme="minorHAnsi"/>
          <w:sz w:val="20"/>
          <w:szCs w:val="20"/>
        </w:rPr>
        <w:t>WpA</w:t>
      </w:r>
      <w:proofErr w:type="spellEnd"/>
      <w:r>
        <w:rPr>
          <w:rFonts w:asciiTheme="minorHAnsi" w:hAnsiTheme="minorHAnsi" w:cstheme="minorHAnsi"/>
          <w:sz w:val="20"/>
          <w:szCs w:val="20"/>
        </w:rPr>
        <w:t xml:space="preserve">+ = </w:t>
      </w:r>
      <w:proofErr w:type="spellStart"/>
      <w:r>
        <w:rPr>
          <w:rFonts w:asciiTheme="minorHAnsi" w:hAnsiTheme="minorHAnsi" w:cstheme="minorHAnsi"/>
          <w:sz w:val="20"/>
          <w:szCs w:val="20"/>
        </w:rPr>
        <w:t>IdLZOp</w:t>
      </w:r>
      <w:proofErr w:type="spellEnd"/>
      <w:r>
        <w:rPr>
          <w:rFonts w:asciiTheme="minorHAnsi" w:hAnsiTheme="minorHAnsi" w:cstheme="minorHAnsi"/>
          <w:sz w:val="20"/>
          <w:szCs w:val="20"/>
        </w:rPr>
        <w:t xml:space="preserve"> / 96, gdzie:</w:t>
      </w:r>
    </w:p>
    <w:p w14:paraId="4622C67B"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1) </w:t>
      </w:r>
      <w:proofErr w:type="spellStart"/>
      <w:r>
        <w:rPr>
          <w:rFonts w:asciiTheme="minorHAnsi" w:hAnsiTheme="minorHAnsi" w:cstheme="minorHAnsi"/>
          <w:sz w:val="20"/>
          <w:szCs w:val="20"/>
        </w:rPr>
        <w:t>WpA</w:t>
      </w:r>
      <w:proofErr w:type="spellEnd"/>
      <w:r>
        <w:rPr>
          <w:rFonts w:asciiTheme="minorHAnsi" w:hAnsiTheme="minorHAnsi" w:cstheme="minorHAnsi"/>
          <w:sz w:val="20"/>
          <w:szCs w:val="20"/>
        </w:rPr>
        <w:t>+ — wskaźnik skuteczności pozyskiwania danych pomiarowych profilowych 15-minutowych dla energii czynnej pobranej (A+) dla doby „n” z LZO,</w:t>
      </w:r>
    </w:p>
    <w:p w14:paraId="3F25449C"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2) </w:t>
      </w:r>
      <w:proofErr w:type="spellStart"/>
      <w:r>
        <w:rPr>
          <w:rFonts w:asciiTheme="minorHAnsi" w:hAnsiTheme="minorHAnsi" w:cstheme="minorHAnsi"/>
          <w:sz w:val="20"/>
          <w:szCs w:val="20"/>
        </w:rPr>
        <w:t>IdLZOp</w:t>
      </w:r>
      <w:proofErr w:type="spellEnd"/>
      <w:r>
        <w:rPr>
          <w:rFonts w:asciiTheme="minorHAnsi" w:hAnsiTheme="minorHAnsi" w:cstheme="minorHAnsi"/>
          <w:sz w:val="20"/>
          <w:szCs w:val="20"/>
        </w:rPr>
        <w:t xml:space="preserve"> — liczba danych profilowych kompletnie odczytanych 15-minutowych energii czynnej pobranej (A+) dla doby „n” z LZO.</w:t>
      </w:r>
    </w:p>
    <w:p w14:paraId="13C5EC0B"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zmiana atrybutu charakterystyki PP „Komunikacja LZO” z „</w:t>
      </w:r>
      <w:proofErr w:type="spellStart"/>
      <w:r>
        <w:rPr>
          <w:rFonts w:asciiTheme="minorHAnsi" w:hAnsiTheme="minorHAnsi" w:cstheme="minorHAnsi"/>
          <w:sz w:val="20"/>
          <w:szCs w:val="20"/>
        </w:rPr>
        <w:t>true</w:t>
      </w:r>
      <w:proofErr w:type="spellEnd"/>
      <w:r>
        <w:rPr>
          <w:rFonts w:asciiTheme="minorHAnsi" w:hAnsiTheme="minorHAnsi" w:cstheme="minorHAnsi"/>
          <w:sz w:val="20"/>
          <w:szCs w:val="20"/>
        </w:rPr>
        <w:t>” na „</w:t>
      </w:r>
      <w:proofErr w:type="spellStart"/>
      <w:r>
        <w:rPr>
          <w:rFonts w:asciiTheme="minorHAnsi" w:hAnsiTheme="minorHAnsi" w:cstheme="minorHAnsi"/>
          <w:sz w:val="20"/>
          <w:szCs w:val="20"/>
        </w:rPr>
        <w:t>false</w:t>
      </w:r>
      <w:proofErr w:type="spellEnd"/>
      <w:r>
        <w:rPr>
          <w:rFonts w:asciiTheme="minorHAnsi" w:hAnsiTheme="minorHAnsi" w:cstheme="minorHAnsi"/>
          <w:sz w:val="20"/>
          <w:szCs w:val="20"/>
        </w:rPr>
        <w:t xml:space="preserve">” następuje, jeżeli przez okres kolejnych następujących po sobie 30 dni kalendarzowych, w dobie „n+30” o godz. 9:00, wskaźnik </w:t>
      </w:r>
      <w:proofErr w:type="spellStart"/>
      <w:r>
        <w:rPr>
          <w:rFonts w:asciiTheme="minorHAnsi" w:hAnsiTheme="minorHAnsi" w:cstheme="minorHAnsi"/>
          <w:sz w:val="20"/>
          <w:szCs w:val="20"/>
        </w:rPr>
        <w:t>WpA</w:t>
      </w:r>
      <w:proofErr w:type="spellEnd"/>
      <w:r>
        <w:rPr>
          <w:rFonts w:asciiTheme="minorHAnsi" w:hAnsiTheme="minorHAnsi" w:cstheme="minorHAnsi"/>
          <w:sz w:val="20"/>
          <w:szCs w:val="20"/>
        </w:rPr>
        <w:t>+ wyznaczony analogicznie jak powyżej ani razu nie osiągnął wartości równej lub wyższej 90%.</w:t>
      </w:r>
    </w:p>
    <w:p w14:paraId="2AFD0D88"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w dniu instalacji lub wymiany LZO na inny LZO w PPE w dobie „n” LZO może posiadać domyślnie atrybut charakterystyki PP „Komunikacja LZO” równy „</w:t>
      </w:r>
      <w:proofErr w:type="spellStart"/>
      <w:r>
        <w:rPr>
          <w:rFonts w:asciiTheme="minorHAnsi" w:hAnsiTheme="minorHAnsi" w:cstheme="minorHAnsi"/>
          <w:sz w:val="20"/>
          <w:szCs w:val="20"/>
        </w:rPr>
        <w:t>false</w:t>
      </w:r>
      <w:proofErr w:type="spellEnd"/>
      <w:r>
        <w:rPr>
          <w:rFonts w:asciiTheme="minorHAnsi" w:hAnsiTheme="minorHAnsi" w:cstheme="minorHAnsi"/>
          <w:sz w:val="20"/>
          <w:szCs w:val="20"/>
        </w:rPr>
        <w:t>” w okresie nie dłuższym niż do ostatniego dnia trzeciego miesiąca kalendarzowego następującego po miesiącu, w którym zainstalowano LZO, jeżeli brak komunikacji z LZO wynika z winy ACPRO.</w:t>
      </w:r>
    </w:p>
    <w:p w14:paraId="48FCE256"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w przypadku, gdy w PPE jest już wykorzystywany LZO do przedpłatowej formy rozliczeń, atrybut charakterystyki PP „Komunikacja LZO” równy „</w:t>
      </w:r>
      <w:proofErr w:type="spellStart"/>
      <w:r>
        <w:rPr>
          <w:rFonts w:asciiTheme="minorHAnsi" w:hAnsiTheme="minorHAnsi" w:cstheme="minorHAnsi"/>
          <w:sz w:val="20"/>
          <w:szCs w:val="20"/>
        </w:rPr>
        <w:t>false</w:t>
      </w:r>
      <w:proofErr w:type="spellEnd"/>
      <w:r>
        <w:rPr>
          <w:rFonts w:asciiTheme="minorHAnsi" w:hAnsiTheme="minorHAnsi" w:cstheme="minorHAnsi"/>
          <w:sz w:val="20"/>
          <w:szCs w:val="20"/>
        </w:rPr>
        <w:t>” nie powoduje zmiany warunków obowiązującej umowy kompleksowej.</w:t>
      </w:r>
    </w:p>
    <w:p w14:paraId="2883E578"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ACPRO przekazuje do CSIRE dobowy profil zużycia dla przedziałów czasowych zgodnych z ORN na RB.</w:t>
      </w:r>
    </w:p>
    <w:p w14:paraId="6706F978"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w przypadku korekty danych pomiarowych obejmujących okres przed przystąpieniem ACPRO do CSIRE, dobowy profil zużycia może być przekazywany dla przedziałów czasowych zgodnych z ORN, jaki występował w dacie, której te dane dotyczą.</w:t>
      </w:r>
    </w:p>
    <w:p w14:paraId="119D585F"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przekazywany przez ACPRO do CSIRE dobowy profil zużycia dla PP może wystąpić w postaci:</w:t>
      </w:r>
    </w:p>
    <w:p w14:paraId="5C53FDF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profilu rozliczeniowego, który jest profilem obligatoryjnym dla każdego obsługiwanego przez ACPRO PP; profil rozliczeniowy może stanowić podstawę do dokonania rozliczeń za energię elektryczną lub świadczone usługi i może uwzględniać dodatkowe doliczenia oraz odliczenia wynikające ze specyfiki danego PP, które są niezbędne do tych rozliczeń,</w:t>
      </w:r>
    </w:p>
    <w:p w14:paraId="1D41E0B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profilu pomiarowego, który jest profilem opcjonalnym zawierającym dane pomiarowe bez uwzględnienia dodatkowych doliczeń lub odliczeń wpływających na ten profil, a wynikających ze specyfikacji danego PP.</w:t>
      </w:r>
    </w:p>
    <w:p w14:paraId="5D25CB9D" w14:textId="706A91A5" w:rsidR="00473957" w:rsidRPr="00EB2E7B" w:rsidRDefault="0077111A" w:rsidP="00A42849">
      <w:pPr>
        <w:pStyle w:val="ANagwek1"/>
        <w:numPr>
          <w:ilvl w:val="0"/>
          <w:numId w:val="85"/>
        </w:numPr>
        <w:rPr>
          <w:rFonts w:asciiTheme="minorHAnsi" w:hAnsiTheme="minorHAnsi" w:cstheme="minorHAnsi"/>
          <w:b/>
          <w:bCs w:val="0"/>
          <w:sz w:val="20"/>
          <w:szCs w:val="20"/>
        </w:rPr>
      </w:pPr>
      <w:bookmarkStart w:id="597" w:name="_Ref75766947"/>
      <w:bookmarkStart w:id="598" w:name="_Ref75767080"/>
      <w:bookmarkStart w:id="599" w:name="_Toc180153774"/>
      <w:bookmarkStart w:id="600" w:name="_Ref190115092"/>
      <w:bookmarkStart w:id="601" w:name="_Toc239333402"/>
      <w:r w:rsidRPr="00EB2E7B">
        <w:rPr>
          <w:rFonts w:asciiTheme="minorHAnsi" w:hAnsiTheme="minorHAnsi" w:cstheme="minorHAnsi"/>
          <w:b/>
          <w:bCs w:val="0"/>
          <w:sz w:val="20"/>
          <w:szCs w:val="20"/>
        </w:rPr>
        <w:t xml:space="preserve">PROCEDURA ZMIANY SPRZEDAWCY ORAZ </w:t>
      </w:r>
      <w:r w:rsidR="00E303F3" w:rsidRPr="00EB2E7B">
        <w:rPr>
          <w:rFonts w:asciiTheme="minorHAnsi" w:hAnsiTheme="minorHAnsi" w:cstheme="minorHAnsi"/>
          <w:b/>
          <w:bCs w:val="0"/>
          <w:sz w:val="20"/>
          <w:szCs w:val="20"/>
        </w:rPr>
        <w:t>OBSŁUGI ZGŁOSZEŃ O</w:t>
      </w:r>
      <w:r w:rsidR="0092296C" w:rsidRPr="00EB2E7B">
        <w:rPr>
          <w:rFonts w:asciiTheme="minorHAnsi" w:hAnsiTheme="minorHAnsi" w:cstheme="minorHAnsi"/>
          <w:b/>
          <w:sz w:val="20"/>
          <w:szCs w:val="20"/>
        </w:rPr>
        <w:t> </w:t>
      </w:r>
      <w:r w:rsidR="00E303F3" w:rsidRPr="00EB2E7B">
        <w:rPr>
          <w:rFonts w:asciiTheme="minorHAnsi" w:hAnsiTheme="minorHAnsi" w:cstheme="minorHAnsi"/>
          <w:b/>
          <w:sz w:val="20"/>
          <w:szCs w:val="20"/>
        </w:rPr>
        <w:t>ZAWARTYCH UMOWACH SPRZEDAŻY LUB UMOWACH KOMPLEKSOWYCH</w:t>
      </w:r>
      <w:bookmarkEnd w:id="597"/>
      <w:bookmarkEnd w:id="598"/>
      <w:bookmarkEnd w:id="599"/>
      <w:bookmarkEnd w:id="600"/>
      <w:bookmarkEnd w:id="601"/>
    </w:p>
    <w:p w14:paraId="0E0127AC" w14:textId="718C3869" w:rsidR="00473957" w:rsidRPr="00EB2E7B" w:rsidRDefault="0077111A" w:rsidP="0024189C">
      <w:pPr>
        <w:pStyle w:val="ANagwek2"/>
        <w:rPr>
          <w:rFonts w:asciiTheme="minorHAnsi" w:hAnsiTheme="minorHAnsi" w:cstheme="minorHAnsi"/>
          <w:sz w:val="20"/>
          <w:szCs w:val="20"/>
        </w:rPr>
      </w:pPr>
      <w:bookmarkStart w:id="602" w:name="_Ref75765387"/>
      <w:bookmarkStart w:id="603" w:name="_Toc180153775"/>
      <w:bookmarkStart w:id="604" w:name="_Toc239333403"/>
      <w:r w:rsidRPr="00EB2E7B">
        <w:rPr>
          <w:rFonts w:asciiTheme="minorHAnsi" w:hAnsiTheme="minorHAnsi" w:cstheme="minorHAnsi"/>
          <w:sz w:val="20"/>
          <w:szCs w:val="20"/>
        </w:rPr>
        <w:t>WYMAGANIA OGÓLNE</w:t>
      </w:r>
      <w:bookmarkEnd w:id="602"/>
      <w:bookmarkEnd w:id="603"/>
      <w:bookmarkEnd w:id="604"/>
    </w:p>
    <w:p w14:paraId="5D5B9898" w14:textId="140E7DDA"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Procedura zmiany sprzedawcy energii elektrycznej </w:t>
      </w:r>
      <w:r w:rsidR="00021D1A" w:rsidRPr="00EB2E7B">
        <w:rPr>
          <w:rFonts w:asciiTheme="minorHAnsi" w:hAnsiTheme="minorHAnsi" w:cstheme="minorHAnsi"/>
          <w:sz w:val="20"/>
          <w:szCs w:val="20"/>
        </w:rPr>
        <w:t xml:space="preserve">oraz powiadamiania o zawartych umowach sprzedaży albo umowach kompleksowych </w:t>
      </w:r>
      <w:r w:rsidRPr="00EB2E7B">
        <w:rPr>
          <w:rFonts w:asciiTheme="minorHAnsi" w:hAnsiTheme="minorHAnsi" w:cstheme="minorHAnsi"/>
          <w:sz w:val="20"/>
          <w:szCs w:val="20"/>
        </w:rPr>
        <w:t>zawarta w niniejszym rozdziale, dotyczy URD</w:t>
      </w:r>
      <w:r w:rsidR="001C41A7"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w:t>
      </w:r>
      <w:r w:rsidRPr="00EB2E7B">
        <w:rPr>
          <w:rFonts w:asciiTheme="minorHAnsi" w:hAnsiTheme="minorHAnsi" w:cstheme="minorHAnsi"/>
          <w:sz w:val="20"/>
          <w:szCs w:val="20"/>
        </w:rPr>
        <w:lastRenderedPageBreak/>
        <w:t xml:space="preserve">przyłączonych do sieci dystrybucyjnej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nie objętych</w:t>
      </w:r>
      <w:r w:rsidR="006C19A4" w:rsidRPr="00EB2E7B">
        <w:rPr>
          <w:rFonts w:asciiTheme="minorHAnsi" w:hAnsiTheme="minorHAnsi" w:cstheme="minorHAnsi"/>
          <w:sz w:val="20"/>
          <w:szCs w:val="20"/>
        </w:rPr>
        <w:t xml:space="preserve"> rozszerzonym</w:t>
      </w:r>
      <w:r w:rsidRPr="00EB2E7B">
        <w:rPr>
          <w:rFonts w:asciiTheme="minorHAnsi" w:hAnsiTheme="minorHAnsi" w:cstheme="minorHAnsi"/>
          <w:sz w:val="20"/>
          <w:szCs w:val="20"/>
        </w:rPr>
        <w:t xml:space="preserve"> obszarem Rynku Bilansującego.</w:t>
      </w:r>
    </w:p>
    <w:p w14:paraId="1DF9F861" w14:textId="7DDF5E7E" w:rsidR="00473957" w:rsidRPr="00EB2E7B" w:rsidRDefault="000F0973" w:rsidP="004854C6">
      <w:pPr>
        <w:pStyle w:val="ANagwek3"/>
        <w:rPr>
          <w:rFonts w:asciiTheme="minorHAnsi" w:hAnsiTheme="minorHAnsi" w:cstheme="minorHAnsi"/>
          <w:sz w:val="20"/>
          <w:szCs w:val="20"/>
        </w:rPr>
      </w:pPr>
      <w:r w:rsidRPr="00EB2E7B">
        <w:rPr>
          <w:rFonts w:asciiTheme="minorHAnsi" w:hAnsiTheme="minorHAnsi" w:cstheme="minorHAnsi"/>
          <w:sz w:val="20"/>
          <w:szCs w:val="20"/>
        </w:rPr>
        <w:t>Podstawą realizacji sprzedaży energii elektrycznej na obszarze działania ACPRO</w:t>
      </w:r>
      <w:r w:rsidR="009D35D9" w:rsidRPr="00EB2E7B">
        <w:rPr>
          <w:rFonts w:asciiTheme="minorHAnsi" w:hAnsiTheme="minorHAnsi" w:cstheme="minorHAnsi"/>
          <w:sz w:val="20"/>
          <w:szCs w:val="20"/>
        </w:rPr>
        <w:t xml:space="preserve"> są</w:t>
      </w:r>
      <w:r w:rsidR="00A058ED" w:rsidRPr="00EB2E7B">
        <w:rPr>
          <w:rFonts w:asciiTheme="minorHAnsi" w:hAnsiTheme="minorHAnsi" w:cstheme="minorHAnsi"/>
          <w:sz w:val="20"/>
          <w:szCs w:val="20"/>
        </w:rPr>
        <w:t xml:space="preserve"> </w:t>
      </w:r>
      <w:r w:rsidR="005B4448" w:rsidRPr="00EB2E7B">
        <w:rPr>
          <w:rFonts w:asciiTheme="minorHAnsi" w:hAnsiTheme="minorHAnsi" w:cstheme="minorHAnsi"/>
          <w:sz w:val="20"/>
          <w:szCs w:val="20"/>
        </w:rPr>
        <w:t>G</w:t>
      </w:r>
      <w:r w:rsidR="004D11B2" w:rsidRPr="00EB2E7B">
        <w:rPr>
          <w:rFonts w:asciiTheme="minorHAnsi" w:hAnsiTheme="minorHAnsi" w:cstheme="minorHAnsi"/>
          <w:sz w:val="20"/>
          <w:szCs w:val="20"/>
        </w:rPr>
        <w:t xml:space="preserve">UD </w:t>
      </w:r>
      <w:r w:rsidR="00BC1DD2" w:rsidRPr="00EB2E7B">
        <w:rPr>
          <w:rFonts w:asciiTheme="minorHAnsi" w:hAnsiTheme="minorHAnsi" w:cstheme="minorHAnsi"/>
          <w:sz w:val="20"/>
          <w:szCs w:val="20"/>
        </w:rPr>
        <w:t>zawarte przez sprzedawcę z ACPRO</w:t>
      </w:r>
      <w:r w:rsidR="0077111A" w:rsidRPr="00EB2E7B">
        <w:rPr>
          <w:rFonts w:asciiTheme="minorHAnsi" w:hAnsiTheme="minorHAnsi" w:cstheme="minorHAnsi"/>
          <w:sz w:val="20"/>
          <w:szCs w:val="20"/>
        </w:rPr>
        <w:t xml:space="preserve">. </w:t>
      </w:r>
    </w:p>
    <w:p w14:paraId="19BA7011" w14:textId="40A54CEA" w:rsidR="00473957" w:rsidRPr="00EB2E7B" w:rsidRDefault="0077111A" w:rsidP="004854C6">
      <w:pPr>
        <w:pStyle w:val="ANagwek3"/>
        <w:rPr>
          <w:rFonts w:asciiTheme="minorHAnsi" w:hAnsiTheme="minorHAnsi" w:cstheme="minorHAnsi"/>
          <w:sz w:val="20"/>
          <w:szCs w:val="20"/>
        </w:rPr>
      </w:pPr>
      <w:bookmarkStart w:id="605" w:name="_Ref190119621"/>
      <w:r w:rsidRPr="00EB2E7B">
        <w:rPr>
          <w:rFonts w:asciiTheme="minorHAnsi" w:hAnsiTheme="minorHAnsi" w:cstheme="minorHAnsi"/>
          <w:sz w:val="20"/>
          <w:szCs w:val="20"/>
        </w:rPr>
        <w:t xml:space="preserve">Układy pomiarowo-rozliczeniowe </w:t>
      </w:r>
      <w:r w:rsidR="00D83AC5" w:rsidRPr="00EB2E7B">
        <w:rPr>
          <w:rFonts w:asciiTheme="minorHAnsi" w:hAnsiTheme="minorHAnsi" w:cstheme="minorHAnsi"/>
          <w:sz w:val="20"/>
          <w:szCs w:val="20"/>
        </w:rPr>
        <w:t>URD</w:t>
      </w:r>
      <w:r w:rsidR="00D83AC5" w:rsidRPr="00EB2E7B">
        <w:rPr>
          <w:rFonts w:asciiTheme="minorHAnsi" w:hAnsiTheme="minorHAnsi" w:cstheme="minorHAnsi"/>
          <w:sz w:val="20"/>
          <w:szCs w:val="20"/>
          <w:vertAlign w:val="subscript"/>
        </w:rPr>
        <w:t>O</w:t>
      </w:r>
      <w:r w:rsidR="00D83AC5"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chcących skorzystać z prawa wyboru sprzedawcy muszą spełniać postanowienia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na dzień złożenia powiadomienia, o którym mowa w pkt.</w:t>
      </w:r>
      <w:r w:rsidR="00A52569" w:rsidRPr="00EB2E7B">
        <w:rPr>
          <w:rFonts w:asciiTheme="minorHAnsi" w:hAnsiTheme="minorHAnsi" w:cstheme="minorHAnsi"/>
          <w:sz w:val="20"/>
          <w:szCs w:val="20"/>
        </w:rPr>
        <w:fldChar w:fldCharType="begin"/>
      </w:r>
      <w:r w:rsidR="00A52569" w:rsidRPr="00EB2E7B">
        <w:rPr>
          <w:rFonts w:asciiTheme="minorHAnsi" w:hAnsiTheme="minorHAnsi" w:cstheme="minorHAnsi"/>
          <w:sz w:val="20"/>
          <w:szCs w:val="20"/>
        </w:rPr>
        <w:instrText xml:space="preserve"> REF _Ref183180640 \w \h  \* MERGEFORMAT </w:instrText>
      </w:r>
      <w:r w:rsidR="00A52569" w:rsidRPr="00EB2E7B">
        <w:rPr>
          <w:rFonts w:asciiTheme="minorHAnsi" w:hAnsiTheme="minorHAnsi" w:cstheme="minorHAnsi"/>
          <w:sz w:val="20"/>
          <w:szCs w:val="20"/>
        </w:rPr>
      </w:r>
      <w:r w:rsidR="00A5256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A5256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z uwzględnieniem możliwości uzupełnienia braków formalnych w terminach, o których mowa w pkt. </w:t>
      </w:r>
      <w:r w:rsidR="001136D0" w:rsidRPr="00EB2E7B">
        <w:rPr>
          <w:rFonts w:asciiTheme="minorHAnsi" w:hAnsiTheme="minorHAnsi" w:cstheme="minorHAnsi"/>
          <w:sz w:val="20"/>
          <w:szCs w:val="20"/>
        </w:rPr>
        <w:fldChar w:fldCharType="begin"/>
      </w:r>
      <w:r w:rsidR="001136D0" w:rsidRPr="00EB2E7B">
        <w:rPr>
          <w:rFonts w:asciiTheme="minorHAnsi" w:hAnsiTheme="minorHAnsi" w:cstheme="minorHAnsi"/>
          <w:sz w:val="20"/>
          <w:szCs w:val="20"/>
        </w:rPr>
        <w:instrText xml:space="preserve"> REF _Ref190117807 \w \h </w:instrText>
      </w:r>
      <w:r w:rsidR="00C01EFC" w:rsidRPr="00EB2E7B">
        <w:rPr>
          <w:rFonts w:asciiTheme="minorHAnsi" w:hAnsiTheme="minorHAnsi" w:cstheme="minorHAnsi"/>
          <w:sz w:val="20"/>
          <w:szCs w:val="20"/>
        </w:rPr>
        <w:instrText xml:space="preserve"> \* MERGEFORMAT </w:instrText>
      </w:r>
      <w:r w:rsidR="001136D0" w:rsidRPr="00EB2E7B">
        <w:rPr>
          <w:rFonts w:asciiTheme="minorHAnsi" w:hAnsiTheme="minorHAnsi" w:cstheme="minorHAnsi"/>
          <w:sz w:val="20"/>
          <w:szCs w:val="20"/>
        </w:rPr>
      </w:r>
      <w:r w:rsidR="001136D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D.3.7</w:t>
      </w:r>
      <w:r w:rsidR="001136D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w:t>
      </w:r>
      <w:r w:rsidR="00F5333B" w:rsidRPr="00EB2E7B">
        <w:rPr>
          <w:rFonts w:asciiTheme="minorHAnsi" w:hAnsiTheme="minorHAnsi" w:cstheme="minorHAnsi"/>
          <w:sz w:val="20"/>
          <w:szCs w:val="20"/>
        </w:rPr>
        <w:t> </w:t>
      </w:r>
      <w:r w:rsidR="001136D0" w:rsidRPr="00EB2E7B">
        <w:rPr>
          <w:rFonts w:asciiTheme="minorHAnsi" w:hAnsiTheme="minorHAnsi" w:cstheme="minorHAnsi"/>
          <w:sz w:val="20"/>
          <w:szCs w:val="20"/>
        </w:rPr>
        <w:fldChar w:fldCharType="begin"/>
      </w:r>
      <w:r w:rsidR="001136D0" w:rsidRPr="00EB2E7B">
        <w:rPr>
          <w:rFonts w:asciiTheme="minorHAnsi" w:hAnsiTheme="minorHAnsi" w:cstheme="minorHAnsi"/>
          <w:sz w:val="20"/>
          <w:szCs w:val="20"/>
        </w:rPr>
        <w:instrText xml:space="preserve"> REF _Ref75526799 \w \h </w:instrText>
      </w:r>
      <w:r w:rsidR="00C01EFC" w:rsidRPr="00EB2E7B">
        <w:rPr>
          <w:rFonts w:asciiTheme="minorHAnsi" w:hAnsiTheme="minorHAnsi" w:cstheme="minorHAnsi"/>
          <w:sz w:val="20"/>
          <w:szCs w:val="20"/>
        </w:rPr>
        <w:instrText xml:space="preserve"> \* MERGEFORMAT </w:instrText>
      </w:r>
      <w:r w:rsidR="001136D0" w:rsidRPr="00EB2E7B">
        <w:rPr>
          <w:rFonts w:asciiTheme="minorHAnsi" w:hAnsiTheme="minorHAnsi" w:cstheme="minorHAnsi"/>
          <w:sz w:val="20"/>
          <w:szCs w:val="20"/>
        </w:rPr>
      </w:r>
      <w:r w:rsidR="001136D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D.3.8</w:t>
      </w:r>
      <w:r w:rsidR="001136D0"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605"/>
    </w:p>
    <w:p w14:paraId="4F2F56A9" w14:textId="44FA6005" w:rsidR="00961D3B" w:rsidRPr="00EB2E7B" w:rsidRDefault="00446588"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Układy pomiarowo-rozliczeniowe stanowiące własność </w:t>
      </w:r>
      <w:r w:rsidR="00DC7CAB"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dostosowywane są do wymagań wskazanych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nie później niż na dzień zmiany sprzedawcy. Dostosowanie układów pomiarowo-rozliczeniowych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do</w:t>
      </w:r>
      <w:r w:rsidR="00803AFF"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wymagań określonych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i rozporządzeniu pomiarowym nie dotyczy</w:t>
      </w:r>
      <w:r w:rsidR="00803AFF" w:rsidRPr="00EB2E7B">
        <w:rPr>
          <w:rFonts w:asciiTheme="minorHAnsi" w:hAnsiTheme="minorHAnsi" w:cstheme="minorHAnsi"/>
          <w:sz w:val="20"/>
          <w:szCs w:val="20"/>
        </w:rPr>
        <w:t xml:space="preserve"> </w:t>
      </w:r>
      <w:r w:rsidRPr="00EB2E7B">
        <w:rPr>
          <w:rFonts w:asciiTheme="minorHAnsi" w:hAnsiTheme="minorHAnsi" w:cstheme="minorHAnsi"/>
          <w:sz w:val="20"/>
          <w:szCs w:val="20"/>
        </w:rPr>
        <w:t>rozdzielenia umowy kompleksowej.</w:t>
      </w:r>
    </w:p>
    <w:p w14:paraId="2069F2F3" w14:textId="4AF0C90D"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Przy każdej zmianie przez URD</w:t>
      </w:r>
      <w:r w:rsidR="00DC7CAB" w:rsidRPr="00EB2E7B">
        <w:rPr>
          <w:rFonts w:asciiTheme="minorHAnsi" w:hAnsiTheme="minorHAnsi" w:cstheme="minorHAnsi"/>
          <w:sz w:val="20"/>
          <w:szCs w:val="20"/>
          <w:vertAlign w:val="subscript"/>
        </w:rPr>
        <w:t>O</w:t>
      </w:r>
      <w:r w:rsidR="00814BCF" w:rsidRPr="00EB2E7B">
        <w:rPr>
          <w:rFonts w:asciiTheme="minorHAnsi" w:hAnsiTheme="minorHAnsi" w:cstheme="minorHAnsi"/>
          <w:sz w:val="20"/>
          <w:szCs w:val="20"/>
          <w:vertAlign w:val="subscript"/>
        </w:rPr>
        <w:t xml:space="preserve"> </w:t>
      </w:r>
      <w:r w:rsidR="008C6E94" w:rsidRPr="00EB2E7B">
        <w:rPr>
          <w:rFonts w:asciiTheme="minorHAnsi" w:hAnsiTheme="minorHAnsi" w:cstheme="minorHAnsi"/>
          <w:sz w:val="20"/>
          <w:szCs w:val="20"/>
        </w:rPr>
        <w:t>sprzedawcy lub w przypadku rozdzielenia umowy kompleksowej</w:t>
      </w:r>
      <w:r w:rsidRPr="00EB2E7B">
        <w:rPr>
          <w:rFonts w:asciiTheme="minorHAnsi" w:hAnsiTheme="minorHAnsi" w:cstheme="minorHAnsi"/>
          <w:sz w:val="20"/>
          <w:szCs w:val="20"/>
        </w:rPr>
        <w:t>, dokonywany jest odczyt wskazań układu pomiarowo-rozliczeniowego. Ustalenie wskazań układu pomiarowo</w:t>
      </w:r>
      <w:r w:rsidR="006B027E" w:rsidRPr="00EB2E7B">
        <w:rPr>
          <w:rFonts w:asciiTheme="minorHAnsi" w:hAnsiTheme="minorHAnsi" w:cstheme="minorHAnsi"/>
          <w:sz w:val="20"/>
          <w:szCs w:val="20"/>
        </w:rPr>
        <w:t>-</w:t>
      </w:r>
      <w:r w:rsidRPr="00EB2E7B">
        <w:rPr>
          <w:rFonts w:asciiTheme="minorHAnsi" w:hAnsiTheme="minorHAnsi" w:cstheme="minorHAnsi"/>
          <w:sz w:val="20"/>
          <w:szCs w:val="20"/>
        </w:rPr>
        <w:t xml:space="preserve">rozliczeniowego na dzień zmiany sprzedawcy, dokonywane jest na podstawie odczytu wykonanego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maksymalnie z pięciodniowym wyprzedzeniem lub opóźnieniem.</w:t>
      </w:r>
    </w:p>
    <w:p w14:paraId="1B9A25A7" w14:textId="298879EB" w:rsidR="00473957" w:rsidRPr="00EB2E7B" w:rsidRDefault="0077111A"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Dla URD</w:t>
      </w:r>
      <w:r w:rsidR="00D10726"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przyłączonych do sieci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na niskim napięciu,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może </w:t>
      </w:r>
      <w:r w:rsidR="00546F63" w:rsidRPr="00EB2E7B">
        <w:rPr>
          <w:rFonts w:asciiTheme="minorHAnsi" w:hAnsiTheme="minorHAnsi" w:cstheme="minorHAnsi"/>
          <w:sz w:val="20"/>
          <w:szCs w:val="20"/>
        </w:rPr>
        <w:t>w</w:t>
      </w:r>
      <w:r w:rsidR="00A01BFF" w:rsidRPr="00EB2E7B">
        <w:rPr>
          <w:rFonts w:asciiTheme="minorHAnsi" w:hAnsiTheme="minorHAnsi" w:cstheme="minorHAnsi"/>
          <w:sz w:val="20"/>
          <w:szCs w:val="20"/>
        </w:rPr>
        <w:t> </w:t>
      </w:r>
      <w:r w:rsidR="00546F63" w:rsidRPr="00EB2E7B">
        <w:rPr>
          <w:rFonts w:asciiTheme="minorHAnsi" w:hAnsiTheme="minorHAnsi" w:cstheme="minorHAnsi"/>
          <w:sz w:val="20"/>
          <w:szCs w:val="20"/>
        </w:rPr>
        <w:t xml:space="preserve">uzasadnionych przypadkach </w:t>
      </w:r>
      <w:r w:rsidRPr="00EB2E7B">
        <w:rPr>
          <w:rFonts w:asciiTheme="minorHAnsi" w:hAnsiTheme="minorHAnsi" w:cstheme="minorHAnsi"/>
          <w:sz w:val="20"/>
          <w:szCs w:val="20"/>
        </w:rPr>
        <w:t>ustalić wskazania układu pomiarowo</w:t>
      </w:r>
      <w:r w:rsidR="006B027E" w:rsidRPr="00EB2E7B">
        <w:rPr>
          <w:rFonts w:asciiTheme="minorHAnsi" w:hAnsiTheme="minorHAnsi" w:cstheme="minorHAnsi"/>
          <w:sz w:val="20"/>
          <w:szCs w:val="20"/>
        </w:rPr>
        <w:t>-</w:t>
      </w:r>
      <w:r w:rsidRPr="00EB2E7B">
        <w:rPr>
          <w:rFonts w:asciiTheme="minorHAnsi" w:hAnsiTheme="minorHAnsi" w:cstheme="minorHAnsi"/>
          <w:sz w:val="20"/>
          <w:szCs w:val="20"/>
        </w:rPr>
        <w:t>rozliczeniowego na dzień zmiany sprzedawcy</w:t>
      </w:r>
      <w:r w:rsidR="00092DCF" w:rsidRPr="00EB2E7B">
        <w:rPr>
          <w:rFonts w:asciiTheme="minorHAnsi" w:hAnsiTheme="minorHAnsi" w:cstheme="minorHAnsi"/>
          <w:sz w:val="20"/>
          <w:szCs w:val="20"/>
        </w:rPr>
        <w:t xml:space="preserve"> lub rozdzielenia umowy kompleksowej</w:t>
      </w:r>
      <w:r w:rsidRPr="00EB2E7B">
        <w:rPr>
          <w:rFonts w:asciiTheme="minorHAnsi" w:hAnsiTheme="minorHAnsi" w:cstheme="minorHAnsi"/>
          <w:sz w:val="20"/>
          <w:szCs w:val="20"/>
        </w:rPr>
        <w:t xml:space="preserve"> również na podstawie:</w:t>
      </w:r>
    </w:p>
    <w:p w14:paraId="03A33530" w14:textId="357556D4" w:rsidR="00D85408" w:rsidRPr="00EB2E7B" w:rsidRDefault="00D85408" w:rsidP="00092DCF">
      <w:pPr>
        <w:pStyle w:val="1przed"/>
        <w:numPr>
          <w:ilvl w:val="0"/>
          <w:numId w:val="117"/>
        </w:numPr>
        <w:ind w:left="1701" w:hanging="567"/>
        <w:rPr>
          <w:rFonts w:asciiTheme="minorHAnsi" w:hAnsiTheme="minorHAnsi" w:cstheme="minorHAnsi"/>
          <w:sz w:val="20"/>
          <w:szCs w:val="20"/>
        </w:rPr>
      </w:pPr>
      <w:bookmarkStart w:id="606" w:name="_Ref190117910"/>
      <w:r w:rsidRPr="00EB2E7B">
        <w:rPr>
          <w:rFonts w:asciiTheme="minorHAnsi" w:hAnsiTheme="minorHAnsi" w:cstheme="minorHAnsi"/>
          <w:sz w:val="20"/>
          <w:szCs w:val="20"/>
        </w:rPr>
        <w:t>o</w:t>
      </w:r>
      <w:r w:rsidR="0077111A" w:rsidRPr="00EB2E7B">
        <w:rPr>
          <w:rFonts w:asciiTheme="minorHAnsi" w:hAnsiTheme="minorHAnsi" w:cstheme="minorHAnsi"/>
          <w:sz w:val="20"/>
          <w:szCs w:val="20"/>
        </w:rPr>
        <w:t>dczytu wskazań układu pomiarowo-rozliczeniowego dokonanego przez URD</w:t>
      </w:r>
      <w:r w:rsidR="005A243C" w:rsidRPr="00EB2E7B">
        <w:rPr>
          <w:rFonts w:asciiTheme="minorHAnsi" w:hAnsiTheme="minorHAnsi" w:cstheme="minorHAnsi"/>
          <w:sz w:val="20"/>
          <w:szCs w:val="20"/>
          <w:vertAlign w:val="subscript"/>
        </w:rPr>
        <w:t>O</w:t>
      </w:r>
      <w:r w:rsidR="0077111A" w:rsidRPr="00EB2E7B">
        <w:rPr>
          <w:rFonts w:asciiTheme="minorHAnsi" w:hAnsiTheme="minorHAnsi" w:cstheme="minorHAnsi"/>
          <w:sz w:val="20"/>
          <w:szCs w:val="20"/>
        </w:rPr>
        <w:t xml:space="preserve"> na dzień zmiany sprzedawcy i przekazanego do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najpóźniej jeden dzień po zmianie sprzedawcy oraz zweryfikowanego i przyjętego przez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w:t>
      </w:r>
      <w:bookmarkEnd w:id="606"/>
      <w:r w:rsidR="00073E29" w:rsidRPr="00EB2E7B">
        <w:rPr>
          <w:rFonts w:asciiTheme="minorHAnsi" w:hAnsiTheme="minorHAnsi" w:cstheme="minorHAnsi"/>
          <w:sz w:val="20"/>
          <w:szCs w:val="20"/>
        </w:rPr>
        <w:t xml:space="preserve"> </w:t>
      </w:r>
    </w:p>
    <w:p w14:paraId="273C2AC9" w14:textId="178F207F" w:rsidR="00473957" w:rsidRPr="00EB2E7B" w:rsidRDefault="0077111A" w:rsidP="0035271E">
      <w:pPr>
        <w:ind w:left="1134" w:firstLine="0"/>
        <w:rPr>
          <w:rFonts w:asciiTheme="minorHAnsi" w:hAnsiTheme="minorHAnsi" w:cstheme="minorHAnsi"/>
          <w:sz w:val="20"/>
          <w:szCs w:val="20"/>
        </w:rPr>
      </w:pPr>
      <w:r w:rsidRPr="00EB2E7B">
        <w:rPr>
          <w:rFonts w:asciiTheme="minorHAnsi" w:hAnsiTheme="minorHAnsi" w:cstheme="minorHAnsi"/>
          <w:sz w:val="20"/>
          <w:szCs w:val="20"/>
        </w:rPr>
        <w:t>a w przypadku braku możliwości ustalenia wskazań układu pomiarowo</w:t>
      </w:r>
      <w:r w:rsidR="00D85408" w:rsidRPr="00EB2E7B">
        <w:rPr>
          <w:rFonts w:asciiTheme="minorHAnsi" w:hAnsiTheme="minorHAnsi" w:cstheme="minorHAnsi"/>
          <w:sz w:val="20"/>
          <w:szCs w:val="20"/>
        </w:rPr>
        <w:t>-</w:t>
      </w:r>
      <w:r w:rsidRPr="00EB2E7B">
        <w:rPr>
          <w:rFonts w:asciiTheme="minorHAnsi" w:hAnsiTheme="minorHAnsi" w:cstheme="minorHAnsi"/>
          <w:sz w:val="20"/>
          <w:szCs w:val="20"/>
        </w:rPr>
        <w:t xml:space="preserve">rozliczeniowego w sposób, o którym mowa w pkt. </w:t>
      </w:r>
      <w:r w:rsidR="00C01EFC" w:rsidRPr="00EB2E7B">
        <w:rPr>
          <w:rFonts w:asciiTheme="minorHAnsi" w:hAnsiTheme="minorHAnsi" w:cstheme="minorHAnsi"/>
          <w:sz w:val="20"/>
          <w:szCs w:val="20"/>
        </w:rPr>
        <w:fldChar w:fldCharType="begin"/>
      </w:r>
      <w:r w:rsidR="00C01EFC" w:rsidRPr="00EB2E7B">
        <w:rPr>
          <w:rFonts w:asciiTheme="minorHAnsi" w:hAnsiTheme="minorHAnsi" w:cstheme="minorHAnsi"/>
          <w:sz w:val="20"/>
          <w:szCs w:val="20"/>
        </w:rPr>
        <w:instrText xml:space="preserve"> REF _Ref190117910 \w \h  \* MERGEFORMAT </w:instrText>
      </w:r>
      <w:r w:rsidR="00C01EFC" w:rsidRPr="00EB2E7B">
        <w:rPr>
          <w:rFonts w:asciiTheme="minorHAnsi" w:hAnsiTheme="minorHAnsi" w:cstheme="minorHAnsi"/>
          <w:sz w:val="20"/>
          <w:szCs w:val="20"/>
        </w:rPr>
      </w:r>
      <w:r w:rsidR="00C01EF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C01EFC"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7C5B482A" w14:textId="39361C20" w:rsidR="003D5515" w:rsidRPr="00EB2E7B" w:rsidRDefault="0077111A" w:rsidP="00092DCF">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ostatniego posiadanego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odczytu wskazań układu pomiarowo-rozliczeniowego URD, jednak nie starszego niż 3 miesiące, przeliczonego na dzień zmiany sprzedawcy na podstawie przyznanego profilu lub średniodobowego zużycia energii w ostatnim okresie rozliczeniowym</w:t>
      </w:r>
      <w:r w:rsidR="002D4253" w:rsidRPr="00EB2E7B">
        <w:rPr>
          <w:rFonts w:asciiTheme="minorHAnsi" w:hAnsiTheme="minorHAnsi" w:cstheme="minorHAnsi"/>
          <w:sz w:val="20"/>
          <w:szCs w:val="20"/>
        </w:rPr>
        <w:t>,</w:t>
      </w:r>
      <w:r w:rsidR="00C510C0" w:rsidRPr="00EB2E7B">
        <w:rPr>
          <w:rFonts w:asciiTheme="minorHAnsi" w:hAnsiTheme="minorHAnsi" w:cstheme="minorHAnsi"/>
          <w:sz w:val="20"/>
          <w:szCs w:val="20"/>
        </w:rPr>
        <w:t xml:space="preserve"> </w:t>
      </w:r>
      <w:r w:rsidR="00DA1026"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za który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posiada odczytane wskazania</w:t>
      </w:r>
      <w:r w:rsidR="003D5515" w:rsidRPr="00EB2E7B">
        <w:rPr>
          <w:rFonts w:asciiTheme="minorHAnsi" w:hAnsiTheme="minorHAnsi" w:cstheme="minorHAnsi"/>
          <w:sz w:val="20"/>
          <w:szCs w:val="20"/>
        </w:rPr>
        <w:t>, w</w:t>
      </w:r>
      <w:r w:rsidR="00A01BFF" w:rsidRPr="00EB2E7B">
        <w:rPr>
          <w:rFonts w:asciiTheme="minorHAnsi" w:hAnsiTheme="minorHAnsi" w:cstheme="minorHAnsi"/>
          <w:sz w:val="20"/>
          <w:szCs w:val="20"/>
        </w:rPr>
        <w:t> </w:t>
      </w:r>
      <w:r w:rsidR="003D5515" w:rsidRPr="00EB2E7B">
        <w:rPr>
          <w:rFonts w:asciiTheme="minorHAnsi" w:hAnsiTheme="minorHAnsi" w:cstheme="minorHAnsi"/>
          <w:sz w:val="20"/>
          <w:szCs w:val="20"/>
        </w:rPr>
        <w:t>przypadku braku</w:t>
      </w:r>
      <w:r w:rsidR="00F04C78" w:rsidRPr="00EB2E7B">
        <w:rPr>
          <w:rFonts w:asciiTheme="minorHAnsi" w:hAnsiTheme="minorHAnsi" w:cstheme="minorHAnsi"/>
          <w:sz w:val="20"/>
          <w:szCs w:val="20"/>
        </w:rPr>
        <w:t xml:space="preserve"> możliwości dokonania odczytu układu pomiarowo – rozliczeniowego w sposób, o którym mowa w pkt</w:t>
      </w:r>
      <w:r w:rsidR="00C01EFC" w:rsidRPr="00EB2E7B">
        <w:rPr>
          <w:rFonts w:asciiTheme="minorHAnsi" w:hAnsiTheme="minorHAnsi" w:cstheme="minorHAnsi"/>
          <w:sz w:val="20"/>
          <w:szCs w:val="20"/>
        </w:rPr>
        <w:t xml:space="preserve">. </w:t>
      </w:r>
      <w:r w:rsidR="00C01EFC" w:rsidRPr="00EB2E7B">
        <w:rPr>
          <w:rFonts w:asciiTheme="minorHAnsi" w:hAnsiTheme="minorHAnsi" w:cstheme="minorHAnsi"/>
          <w:sz w:val="20"/>
          <w:szCs w:val="20"/>
        </w:rPr>
        <w:fldChar w:fldCharType="begin"/>
      </w:r>
      <w:r w:rsidR="00C01EFC" w:rsidRPr="00EB2E7B">
        <w:rPr>
          <w:rFonts w:asciiTheme="minorHAnsi" w:hAnsiTheme="minorHAnsi" w:cstheme="minorHAnsi"/>
          <w:sz w:val="20"/>
          <w:szCs w:val="20"/>
        </w:rPr>
        <w:instrText xml:space="preserve"> REF _Ref190117910 \w \h  \* MERGEFORMAT </w:instrText>
      </w:r>
      <w:r w:rsidR="00C01EFC" w:rsidRPr="00EB2E7B">
        <w:rPr>
          <w:rFonts w:asciiTheme="minorHAnsi" w:hAnsiTheme="minorHAnsi" w:cstheme="minorHAnsi"/>
          <w:sz w:val="20"/>
          <w:szCs w:val="20"/>
        </w:rPr>
      </w:r>
      <w:r w:rsidR="00C01EF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C01EFC" w:rsidRPr="00EB2E7B">
        <w:rPr>
          <w:rFonts w:asciiTheme="minorHAnsi" w:hAnsiTheme="minorHAnsi" w:cstheme="minorHAnsi"/>
          <w:sz w:val="20"/>
          <w:szCs w:val="20"/>
        </w:rPr>
        <w:fldChar w:fldCharType="end"/>
      </w:r>
      <w:r w:rsidR="00F04C78" w:rsidRPr="00EB2E7B">
        <w:rPr>
          <w:rFonts w:asciiTheme="minorHAnsi" w:hAnsiTheme="minorHAnsi" w:cstheme="minorHAnsi"/>
          <w:sz w:val="20"/>
          <w:szCs w:val="20"/>
        </w:rPr>
        <w:t xml:space="preserve"> lub je</w:t>
      </w:r>
      <w:r w:rsidR="008F62B6" w:rsidRPr="00EB2E7B">
        <w:rPr>
          <w:rFonts w:asciiTheme="minorHAnsi" w:hAnsiTheme="minorHAnsi" w:cstheme="minorHAnsi"/>
          <w:sz w:val="20"/>
          <w:szCs w:val="20"/>
        </w:rPr>
        <w:t>go negatywnej weryfikacji przez ACPRO,</w:t>
      </w:r>
    </w:p>
    <w:p w14:paraId="6782F67E" w14:textId="4FF44200"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Zmiana sprzedawcy tj. przyjęcie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do realizacji nowej umowy sprzedaży </w:t>
      </w:r>
      <w:r w:rsidR="00064935" w:rsidRPr="00EB2E7B">
        <w:rPr>
          <w:rFonts w:asciiTheme="minorHAnsi" w:hAnsiTheme="minorHAnsi" w:cstheme="minorHAnsi"/>
          <w:sz w:val="20"/>
          <w:szCs w:val="20"/>
        </w:rPr>
        <w:t>albo</w:t>
      </w:r>
      <w:r w:rsidRPr="00EB2E7B">
        <w:rPr>
          <w:rFonts w:asciiTheme="minorHAnsi" w:hAnsiTheme="minorHAnsi" w:cstheme="minorHAnsi"/>
          <w:sz w:val="20"/>
          <w:szCs w:val="20"/>
        </w:rPr>
        <w:t xml:space="preserve"> umowy kompleksowej zawartej pomiędzy URD a sprzedawcą, dokonywana jest zgodnie z procedurą opisaną w pkt. </w:t>
      </w:r>
      <w:r w:rsidR="0007034F" w:rsidRPr="00EB2E7B">
        <w:rPr>
          <w:rFonts w:asciiTheme="minorHAnsi" w:hAnsiTheme="minorHAnsi" w:cstheme="minorHAnsi"/>
          <w:sz w:val="20"/>
          <w:szCs w:val="20"/>
        </w:rPr>
        <w:fldChar w:fldCharType="begin"/>
      </w:r>
      <w:r w:rsidR="0007034F" w:rsidRPr="00EB2E7B">
        <w:rPr>
          <w:rFonts w:asciiTheme="minorHAnsi" w:hAnsiTheme="minorHAnsi" w:cstheme="minorHAnsi"/>
          <w:sz w:val="20"/>
          <w:szCs w:val="20"/>
        </w:rPr>
        <w:instrText xml:space="preserve"> REF _Ref189087240 \r \h </w:instrText>
      </w:r>
      <w:r w:rsidR="009E4046" w:rsidRPr="00EB2E7B">
        <w:rPr>
          <w:rFonts w:asciiTheme="minorHAnsi" w:hAnsiTheme="minorHAnsi" w:cstheme="minorHAnsi"/>
          <w:sz w:val="20"/>
          <w:szCs w:val="20"/>
        </w:rPr>
        <w:instrText xml:space="preserve"> \* MERGEFORMAT </w:instrText>
      </w:r>
      <w:r w:rsidR="0007034F" w:rsidRPr="00EB2E7B">
        <w:rPr>
          <w:rFonts w:asciiTheme="minorHAnsi" w:hAnsiTheme="minorHAnsi" w:cstheme="minorHAnsi"/>
          <w:sz w:val="20"/>
          <w:szCs w:val="20"/>
        </w:rPr>
      </w:r>
      <w:r w:rsidR="0007034F"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w:t>
      </w:r>
      <w:r w:rsidR="0007034F" w:rsidRPr="00EB2E7B">
        <w:rPr>
          <w:rFonts w:asciiTheme="minorHAnsi" w:hAnsiTheme="minorHAnsi" w:cstheme="minorHAnsi"/>
          <w:sz w:val="20"/>
          <w:szCs w:val="20"/>
        </w:rPr>
        <w:fldChar w:fldCharType="end"/>
      </w:r>
      <w:r w:rsidR="00C129F9" w:rsidRPr="00EB2E7B">
        <w:rPr>
          <w:rFonts w:asciiTheme="minorHAnsi" w:hAnsiTheme="minorHAnsi" w:cstheme="minorHAnsi"/>
          <w:sz w:val="20"/>
          <w:szCs w:val="20"/>
        </w:rPr>
        <w:t xml:space="preserve"> Zmiana sprzedawcy nie wymaga potwierdzenia rozwiązania umowy sprzedaży albo umowy kompleksowej przez dotychczasowego sprzedawcę. Informacja od dotychczasowego sprzedawcy o braku możliwości rozwiązania umowy sprzedaży albo umowy kompleksowej nie wstrzymuje procesu zmiany sprzedawcy. </w:t>
      </w:r>
    </w:p>
    <w:p w14:paraId="0E7BAADD" w14:textId="01B4A920" w:rsidR="002303C7" w:rsidRPr="00EB2E7B" w:rsidRDefault="002303C7"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Na dzień zmiany sprzedawcy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bezwzględnie musi mieć zawartą z </w:t>
      </w:r>
      <w:r w:rsidR="000C53CC"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umowę o świadczenie usług dystrybucji. </w:t>
      </w:r>
      <w:r w:rsidR="003051A0" w:rsidRPr="00EB2E7B">
        <w:rPr>
          <w:rFonts w:asciiTheme="minorHAnsi" w:hAnsiTheme="minorHAnsi" w:cstheme="minorHAnsi"/>
          <w:sz w:val="20"/>
          <w:szCs w:val="20"/>
        </w:rPr>
        <w:t>Powyższe nie ma zastosowania do zmiany sprzedawcy dokonywanej przez URD</w:t>
      </w:r>
      <w:r w:rsidR="003051A0" w:rsidRPr="00EB2E7B">
        <w:rPr>
          <w:rFonts w:asciiTheme="minorHAnsi" w:hAnsiTheme="minorHAnsi" w:cstheme="minorHAnsi"/>
          <w:sz w:val="20"/>
          <w:szCs w:val="20"/>
          <w:vertAlign w:val="subscript"/>
        </w:rPr>
        <w:t>O</w:t>
      </w:r>
      <w:r w:rsidR="003051A0" w:rsidRPr="00EB2E7B">
        <w:rPr>
          <w:rFonts w:asciiTheme="minorHAnsi" w:hAnsiTheme="minorHAnsi" w:cstheme="minorHAnsi"/>
          <w:sz w:val="20"/>
          <w:szCs w:val="20"/>
        </w:rPr>
        <w:t>, jeżeli odbiorca nie jest gospodarstwem domowym i zawarł umowę kompleksową.</w:t>
      </w:r>
    </w:p>
    <w:p w14:paraId="0355AD7D"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 xml:space="preserve">od dnia przystąpienia ACPRO do CSIRE — na dzień zmiany sprzedawcy URDO bezwzględnie musi mieć zawartą z ACPRO umowę dystrybucji. Powyższe nie ma zastosowania do zmiany sprzedawcy </w:t>
      </w:r>
      <w:r>
        <w:rPr>
          <w:rFonts w:asciiTheme="minorHAnsi" w:hAnsiTheme="minorHAnsi" w:cstheme="minorHAnsi"/>
          <w:sz w:val="20"/>
          <w:szCs w:val="20"/>
        </w:rPr>
        <w:lastRenderedPageBreak/>
        <w:t>dokonywanej przez URDO, jeżeli odbiorca nie jest gospodarstwem domowym i zawarł umowę kompleksową.</w:t>
      </w:r>
    </w:p>
    <w:p w14:paraId="2637265A" w14:textId="66FD529C"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URD</w:t>
      </w:r>
      <w:r w:rsidR="000C53CC"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może mieć dla jednego PPE zawartą dowolną ilość umów sprzedaży energii elektrycznej. W umowie o świadczenie usług dystrybucji URD</w:t>
      </w:r>
      <w:r w:rsidR="000C53CC"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wskazuje jednak tylko jednego ze swoich sprzedawców, który dokonuje powiadomienia, o którym mowa w pkt. </w:t>
      </w:r>
      <w:r w:rsidR="006339B0" w:rsidRPr="00EB2E7B">
        <w:rPr>
          <w:rFonts w:asciiTheme="minorHAnsi" w:hAnsiTheme="minorHAnsi" w:cstheme="minorHAnsi"/>
          <w:sz w:val="20"/>
          <w:szCs w:val="20"/>
        </w:rPr>
        <w:fldChar w:fldCharType="begin"/>
      </w:r>
      <w:r w:rsidR="006339B0" w:rsidRPr="00EB2E7B">
        <w:rPr>
          <w:rFonts w:asciiTheme="minorHAnsi" w:hAnsiTheme="minorHAnsi" w:cstheme="minorHAnsi"/>
          <w:sz w:val="20"/>
          <w:szCs w:val="20"/>
        </w:rPr>
        <w:instrText xml:space="preserve"> REF _Ref183180640 \w \h  \* MERGEFORMAT </w:instrText>
      </w:r>
      <w:r w:rsidR="006339B0" w:rsidRPr="00EB2E7B">
        <w:rPr>
          <w:rFonts w:asciiTheme="minorHAnsi" w:hAnsiTheme="minorHAnsi" w:cstheme="minorHAnsi"/>
          <w:sz w:val="20"/>
          <w:szCs w:val="20"/>
        </w:rPr>
      </w:r>
      <w:r w:rsidR="006339B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6339B0" w:rsidRPr="00EB2E7B">
        <w:rPr>
          <w:rFonts w:asciiTheme="minorHAnsi" w:hAnsiTheme="minorHAnsi" w:cstheme="minorHAnsi"/>
          <w:sz w:val="20"/>
          <w:szCs w:val="20"/>
        </w:rPr>
        <w:fldChar w:fldCharType="end"/>
      </w:r>
      <w:r w:rsidR="009E49CF" w:rsidRPr="00EB2E7B">
        <w:rPr>
          <w:rFonts w:asciiTheme="minorHAnsi" w:hAnsiTheme="minorHAnsi" w:cstheme="minorHAnsi"/>
          <w:sz w:val="20"/>
          <w:szCs w:val="20"/>
        </w:rPr>
        <w:t xml:space="preserve"> i </w:t>
      </w:r>
      <w:r w:rsidR="00BC4031" w:rsidRPr="00EB2E7B">
        <w:rPr>
          <w:rFonts w:asciiTheme="minorHAnsi" w:hAnsiTheme="minorHAnsi" w:cstheme="minorHAnsi"/>
          <w:sz w:val="20"/>
          <w:szCs w:val="20"/>
        </w:rPr>
        <w:fldChar w:fldCharType="begin"/>
      </w:r>
      <w:r w:rsidR="00BC4031" w:rsidRPr="00EB2E7B">
        <w:rPr>
          <w:rFonts w:asciiTheme="minorHAnsi" w:hAnsiTheme="minorHAnsi" w:cstheme="minorHAnsi"/>
          <w:sz w:val="20"/>
          <w:szCs w:val="20"/>
        </w:rPr>
        <w:instrText xml:space="preserve"> REF _Ref190626228 \r \h </w:instrText>
      </w:r>
      <w:r w:rsidR="005E3FEE" w:rsidRPr="00EB2E7B">
        <w:rPr>
          <w:rFonts w:asciiTheme="minorHAnsi" w:hAnsiTheme="minorHAnsi" w:cstheme="minorHAnsi"/>
          <w:sz w:val="20"/>
          <w:szCs w:val="20"/>
        </w:rPr>
        <w:instrText xml:space="preserve"> \* MERGEFORMAT </w:instrText>
      </w:r>
      <w:r w:rsidR="00BC4031" w:rsidRPr="00EB2E7B">
        <w:rPr>
          <w:rFonts w:asciiTheme="minorHAnsi" w:hAnsiTheme="minorHAnsi" w:cstheme="minorHAnsi"/>
          <w:sz w:val="20"/>
          <w:szCs w:val="20"/>
        </w:rPr>
      </w:r>
      <w:r w:rsidR="00BC403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F.1.1</w:t>
      </w:r>
      <w:r w:rsidR="00BC4031" w:rsidRPr="00EB2E7B">
        <w:rPr>
          <w:rFonts w:asciiTheme="minorHAnsi" w:hAnsiTheme="minorHAnsi" w:cstheme="minorHAnsi"/>
          <w:sz w:val="20"/>
          <w:szCs w:val="20"/>
        </w:rPr>
        <w:fldChar w:fldCharType="end"/>
      </w:r>
      <w:r w:rsidR="00334603" w:rsidRPr="00EB2E7B" w:rsidDel="006339B0">
        <w:rPr>
          <w:rFonts w:asciiTheme="minorHAnsi" w:hAnsiTheme="minorHAnsi" w:cstheme="minorHAnsi"/>
          <w:sz w:val="20"/>
          <w:szCs w:val="20"/>
        </w:rPr>
        <w:fldChar w:fldCharType="begin"/>
      </w:r>
      <w:r w:rsidR="006339B0" w:rsidRPr="00EB2E7B">
        <w:rPr>
          <w:rFonts w:asciiTheme="minorHAnsi" w:hAnsiTheme="minorHAnsi" w:cstheme="minorHAnsi"/>
          <w:sz w:val="20"/>
          <w:szCs w:val="20"/>
        </w:rPr>
        <w:instrText xml:space="preserve"> \* MERGEFORMAT </w:instrText>
      </w:r>
      <w:r w:rsidR="00334603" w:rsidRPr="00EB2E7B" w:rsidDel="006339B0">
        <w:rPr>
          <w:rFonts w:asciiTheme="minorHAnsi" w:hAnsiTheme="minorHAnsi" w:cstheme="minorHAnsi"/>
          <w:sz w:val="20"/>
          <w:szCs w:val="20"/>
        </w:rPr>
        <w:fldChar w:fldCharType="separate"/>
      </w:r>
      <w:r w:rsidR="00CA24CA" w:rsidRPr="00EB2E7B" w:rsidDel="006339B0">
        <w:rPr>
          <w:rFonts w:asciiTheme="minorHAnsi" w:hAnsiTheme="minorHAnsi" w:cstheme="minorHAnsi"/>
          <w:sz w:val="20"/>
          <w:szCs w:val="20"/>
        </w:rPr>
        <w:t>F.1.1</w:t>
      </w:r>
      <w:r w:rsidR="00334603" w:rsidRPr="00EB2E7B" w:rsidDel="006339B0">
        <w:rPr>
          <w:rFonts w:asciiTheme="minorHAnsi" w:hAnsiTheme="minorHAnsi" w:cstheme="minorHAnsi"/>
          <w:sz w:val="20"/>
          <w:szCs w:val="20"/>
        </w:rPr>
        <w:fldChar w:fldCharType="end"/>
      </w:r>
      <w:r w:rsidRPr="00EB2E7B" w:rsidDel="006339B0">
        <w:rPr>
          <w:rFonts w:asciiTheme="minorHAnsi" w:hAnsiTheme="minorHAnsi" w:cstheme="minorHAnsi"/>
          <w:sz w:val="20"/>
          <w:szCs w:val="20"/>
        </w:rPr>
        <w:t xml:space="preserve"> </w:t>
      </w:r>
      <w:r w:rsidR="00437604" w:rsidRPr="00EB2E7B">
        <w:rPr>
          <w:rFonts w:asciiTheme="minorHAnsi" w:hAnsiTheme="minorHAnsi" w:cstheme="minorHAnsi"/>
          <w:sz w:val="20"/>
          <w:szCs w:val="20"/>
        </w:rPr>
        <w:t>Rzeczywista ilość energii w PPE URD</w:t>
      </w:r>
      <w:r w:rsidR="001578CF" w:rsidRPr="00EB2E7B">
        <w:rPr>
          <w:rFonts w:asciiTheme="minorHAnsi" w:hAnsiTheme="minorHAnsi" w:cstheme="minorHAnsi"/>
          <w:sz w:val="20"/>
          <w:szCs w:val="20"/>
          <w:vertAlign w:val="subscript"/>
        </w:rPr>
        <w:t>O</w:t>
      </w:r>
      <w:r w:rsidR="001578CF" w:rsidRPr="00EB2E7B">
        <w:rPr>
          <w:rFonts w:asciiTheme="minorHAnsi" w:hAnsiTheme="minorHAnsi" w:cstheme="minorHAnsi"/>
          <w:sz w:val="20"/>
          <w:szCs w:val="20"/>
        </w:rPr>
        <w:t xml:space="preserve"> </w:t>
      </w:r>
      <w:r w:rsidR="00437604" w:rsidRPr="00EB2E7B">
        <w:rPr>
          <w:rFonts w:asciiTheme="minorHAnsi" w:hAnsiTheme="minorHAnsi" w:cstheme="minorHAnsi"/>
          <w:sz w:val="20"/>
          <w:szCs w:val="20"/>
        </w:rPr>
        <w:t>będzie wykazywana w</w:t>
      </w:r>
      <w:r w:rsidR="00B96852" w:rsidRPr="00EB2E7B">
        <w:rPr>
          <w:rFonts w:asciiTheme="minorHAnsi" w:hAnsiTheme="minorHAnsi" w:cstheme="minorHAnsi"/>
          <w:sz w:val="20"/>
          <w:szCs w:val="20"/>
        </w:rPr>
        <w:t> </w:t>
      </w:r>
      <w:r w:rsidR="00437604" w:rsidRPr="00EB2E7B">
        <w:rPr>
          <w:rFonts w:asciiTheme="minorHAnsi" w:hAnsiTheme="minorHAnsi" w:cstheme="minorHAnsi"/>
          <w:sz w:val="20"/>
          <w:szCs w:val="20"/>
        </w:rPr>
        <w:t>MB POB</w:t>
      </w:r>
      <w:r w:rsidR="00437604" w:rsidRPr="00EB2E7B">
        <w:rPr>
          <w:rFonts w:asciiTheme="minorHAnsi" w:hAnsiTheme="minorHAnsi" w:cstheme="minorHAnsi"/>
          <w:sz w:val="20"/>
          <w:szCs w:val="20"/>
          <w:vertAlign w:val="subscript"/>
        </w:rPr>
        <w:t xml:space="preserve">Z </w:t>
      </w:r>
      <w:r w:rsidR="00437604" w:rsidRPr="00EB2E7B">
        <w:rPr>
          <w:rFonts w:asciiTheme="minorHAnsi" w:hAnsiTheme="minorHAnsi" w:cstheme="minorHAnsi"/>
          <w:sz w:val="20"/>
          <w:szCs w:val="20"/>
        </w:rPr>
        <w:t xml:space="preserve">wskazanego w </w:t>
      </w:r>
      <w:r w:rsidR="003C50AD" w:rsidRPr="00EB2E7B">
        <w:rPr>
          <w:rFonts w:asciiTheme="minorHAnsi" w:hAnsiTheme="minorHAnsi" w:cstheme="minorHAnsi"/>
          <w:sz w:val="20"/>
          <w:szCs w:val="20"/>
        </w:rPr>
        <w:t>GUD</w:t>
      </w:r>
      <w:r w:rsidR="00437604" w:rsidRPr="00EB2E7B">
        <w:rPr>
          <w:rFonts w:asciiTheme="minorHAnsi" w:hAnsiTheme="minorHAnsi" w:cstheme="minorHAnsi"/>
          <w:sz w:val="20"/>
          <w:szCs w:val="20"/>
        </w:rPr>
        <w:t xml:space="preserve"> przez tego sprzedawcę, zgodnie z pkt. </w:t>
      </w:r>
      <w:r w:rsidR="006F59F4" w:rsidRPr="00EB2E7B">
        <w:rPr>
          <w:rFonts w:asciiTheme="minorHAnsi" w:hAnsiTheme="minorHAnsi" w:cstheme="minorHAnsi"/>
          <w:sz w:val="20"/>
          <w:szCs w:val="20"/>
        </w:rPr>
        <w:fldChar w:fldCharType="begin"/>
      </w:r>
      <w:r w:rsidR="006F59F4" w:rsidRPr="00EB2E7B">
        <w:rPr>
          <w:rFonts w:asciiTheme="minorHAnsi" w:hAnsiTheme="minorHAnsi" w:cstheme="minorHAnsi"/>
          <w:sz w:val="20"/>
          <w:szCs w:val="20"/>
        </w:rPr>
        <w:instrText xml:space="preserve"> REF _Ref190118494 \w \h </w:instrText>
      </w:r>
      <w:r w:rsidR="00E92E54" w:rsidRPr="00EB2E7B">
        <w:rPr>
          <w:rFonts w:asciiTheme="minorHAnsi" w:hAnsiTheme="minorHAnsi" w:cstheme="minorHAnsi"/>
          <w:sz w:val="20"/>
          <w:szCs w:val="20"/>
        </w:rPr>
        <w:instrText xml:space="preserve"> \* MERGEFORMAT </w:instrText>
      </w:r>
      <w:r w:rsidR="006F59F4" w:rsidRPr="00EB2E7B">
        <w:rPr>
          <w:rFonts w:asciiTheme="minorHAnsi" w:hAnsiTheme="minorHAnsi" w:cstheme="minorHAnsi"/>
          <w:sz w:val="20"/>
          <w:szCs w:val="20"/>
        </w:rPr>
      </w:r>
      <w:r w:rsidR="006F59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C.1.4</w:t>
      </w:r>
      <w:r w:rsidR="006F59F4" w:rsidRPr="00EB2E7B">
        <w:rPr>
          <w:rFonts w:asciiTheme="minorHAnsi" w:hAnsiTheme="minorHAnsi" w:cstheme="minorHAnsi"/>
          <w:sz w:val="20"/>
          <w:szCs w:val="20"/>
        </w:rPr>
        <w:fldChar w:fldCharType="end"/>
      </w:r>
      <w:r w:rsidR="00437604" w:rsidRPr="00EB2E7B">
        <w:rPr>
          <w:rFonts w:asciiTheme="minorHAnsi" w:hAnsiTheme="minorHAnsi" w:cstheme="minorHAnsi"/>
          <w:sz w:val="20"/>
          <w:szCs w:val="20"/>
        </w:rPr>
        <w:t>.</w:t>
      </w:r>
    </w:p>
    <w:p w14:paraId="08ED36F5"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URDO może mieć dla jednego PPE zawartą dowolną ilość umów sprzedaży. W umowie dystrybucji URDO wskazuje jednak tylko jednego ze swoich sprzedawców, który dokonuje powiadomienia, o którym mowa w pkt D.2.1.</w:t>
      </w:r>
    </w:p>
    <w:p w14:paraId="0143B4C3" w14:textId="77777777" w:rsidR="009B3C6D" w:rsidRDefault="001F7378">
      <w:pPr>
        <w:pStyle w:val="ANagwek3"/>
        <w:rPr>
          <w:rFonts w:asciiTheme="minorHAnsi" w:hAnsiTheme="minorHAnsi" w:cstheme="minorHAnsi"/>
          <w:sz w:val="20"/>
          <w:szCs w:val="20"/>
        </w:rPr>
      </w:pPr>
      <w:r>
        <w:rPr>
          <w:rFonts w:asciiTheme="minorHAnsi" w:hAnsiTheme="minorHAnsi" w:cstheme="minorHAnsi"/>
          <w:sz w:val="20"/>
          <w:szCs w:val="20"/>
        </w:rPr>
        <w:t>Sprzedawca informuje ACPRO o dacie wygaśnięcia lub rozwiązania umowy sprzedaży albo umowy kompleksowej nie później niż na 21 dni kalendarzowych oraz nie wcześniej niż na 90 dni kalendarzowych przed zaprzestaniem sprzedaży energii elektrycznej albo świadczenia usługi kompleksowej. W przypadku niedotrzymania przez sprzedawcę tego terminu, ACPRO będzie realizował dotychczasową umowę sprzedaży albo umowę kompleksową do 21 dnia kalendarzowego od uzyskania tej informacji przez ACPRO od sprzedawcy, chyba że w terminie wcześniejszym nastąpi zmiana sprzedawcy, o której mowa w pkt D.2.</w:t>
      </w:r>
    </w:p>
    <w:p w14:paraId="0F61FE5E"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sprzedawca nie później niż na 1 dzień kalendarzowy oraz nie wcześniej niż na 30 dni kalendarzowych przed zaprzestaniem sprzedaży energii elektrycznej albo świadczenia usługi kompleksowej dla URD informuje OIRE o planowanej dacie zakończenia umowy sprzedaży albo umowy sprzedaży rezerwowej, albo umowy kompleksowej, albo umowy kompleksowej rezerwowej.</w:t>
      </w:r>
    </w:p>
    <w:p w14:paraId="1D7A44C7" w14:textId="77777777" w:rsidR="009B3C6D" w:rsidRDefault="001F7378">
      <w:pPr>
        <w:ind w:left="1134" w:firstLine="0"/>
        <w:rPr>
          <w:rFonts w:asciiTheme="minorHAnsi" w:hAnsiTheme="minorHAnsi" w:cstheme="minorHAnsi"/>
          <w:sz w:val="20"/>
          <w:szCs w:val="20"/>
        </w:rPr>
      </w:pPr>
      <w:r>
        <w:rPr>
          <w:rFonts w:asciiTheme="minorHAnsi" w:hAnsiTheme="minorHAnsi" w:cstheme="minorHAnsi"/>
          <w:sz w:val="20"/>
          <w:szCs w:val="20"/>
        </w:rPr>
        <w:t>Sprzedawca rezerwowy informuje ACPRO o dacie wygaśnięcia lub rozwiązania umowy sprzedaży rezerwowej albo rezerwowej umowy kompleksowej nie później niż na 5 dni kalendarzowych oraz nie wcześniej niż na 90 dni kalendarzowych przed zaprzestaniem sprzedaży energii elektrycznej albo świadczenia usługi kompleksowej. W przypadku niedotrzymania przez sprzedawcę rezerwowego tego terminu, ACPRO będzie realizował dotychczasową umowę sprzedaży rezerwowej albo rezerwową umowę kompleksową do 5 dnia kalendarzowego od uzyskania tej informacji przez ACPRO od sprzedawcy rezerwowego, chyba że w terminie wcześniejszym nastąpi zmiana sprzedawcy, o której mowa w pkt D.2.</w:t>
      </w:r>
    </w:p>
    <w:p w14:paraId="6CBB196A" w14:textId="3CCA608A" w:rsidR="00D876CC" w:rsidRPr="00EB2E7B" w:rsidRDefault="00D876CC" w:rsidP="00A90CDC">
      <w:pPr>
        <w:pStyle w:val="Akapitzlist"/>
        <w:numPr>
          <w:ilvl w:val="0"/>
          <w:numId w:val="429"/>
        </w:numPr>
        <w:ind w:left="1701" w:hanging="567"/>
        <w:rPr>
          <w:rFonts w:asciiTheme="minorHAnsi" w:hAnsiTheme="minorHAnsi" w:cstheme="minorHAnsi"/>
          <w:sz w:val="20"/>
          <w:szCs w:val="20"/>
        </w:rPr>
      </w:pPr>
      <w:r w:rsidRPr="00EB2E7B">
        <w:rPr>
          <w:rFonts w:asciiTheme="minorHAnsi" w:hAnsiTheme="minorHAnsi" w:cstheme="minorHAnsi"/>
          <w:sz w:val="20"/>
          <w:szCs w:val="20"/>
        </w:rPr>
        <w:t>rozwiązania lub wygaśnięcia umowy sprzedaży albo umowy kompleksowej, albo</w:t>
      </w:r>
    </w:p>
    <w:p w14:paraId="4E12F2AE" w14:textId="46F41262" w:rsidR="00D876CC" w:rsidRPr="00EB2E7B" w:rsidRDefault="00D876CC" w:rsidP="00A90CDC">
      <w:pPr>
        <w:pStyle w:val="Akapitzlist"/>
        <w:numPr>
          <w:ilvl w:val="0"/>
          <w:numId w:val="429"/>
        </w:numPr>
        <w:ind w:left="1701" w:hanging="567"/>
        <w:rPr>
          <w:rFonts w:asciiTheme="minorHAnsi" w:hAnsiTheme="minorHAnsi" w:cstheme="minorHAnsi"/>
          <w:sz w:val="20"/>
          <w:szCs w:val="20"/>
        </w:rPr>
      </w:pPr>
      <w:r w:rsidRPr="00EB2E7B">
        <w:rPr>
          <w:rFonts w:asciiTheme="minorHAnsi" w:hAnsiTheme="minorHAnsi" w:cstheme="minorHAnsi"/>
          <w:sz w:val="20"/>
          <w:szCs w:val="20"/>
        </w:rPr>
        <w:t>rozwiązania umowy sprzedaży rezerwowej albo rezerwowej umowy kompleksowej.</w:t>
      </w:r>
    </w:p>
    <w:p w14:paraId="6CE5E38E" w14:textId="6E15B7AA" w:rsidR="00473957" w:rsidRPr="00EB2E7B" w:rsidRDefault="00D876CC" w:rsidP="00A90CDC">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niedotrzymania przez sprzedawcę tego terminu, ACPRO będzie realizował dotychczasową umowę sprzedaży albo umowę kompleksową, albo umowę sprzedaży rezerwowej albo rezerwową umowę kompleksową do 21 dnia kalendarzowego od uzyskania tej informacji przez ACPRO od sprzedawcy, chyba, że w terminie wcześniejszym nastąpi zmiana sprzedawcy</w:t>
      </w:r>
      <w:r w:rsidR="0077111A" w:rsidRPr="00EB2E7B">
        <w:rPr>
          <w:rFonts w:asciiTheme="minorHAnsi" w:hAnsiTheme="minorHAnsi" w:cstheme="minorHAnsi"/>
          <w:sz w:val="20"/>
          <w:szCs w:val="20"/>
        </w:rPr>
        <w:t>.</w:t>
      </w:r>
    </w:p>
    <w:p w14:paraId="4A57A623" w14:textId="6F8B69EC"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URD może mieć w danym okresie dla jednego PPE zawartą obowiązującą tylko jedną umowę kompleksową albo o świadczenie usług dystrybucji.</w:t>
      </w:r>
    </w:p>
    <w:p w14:paraId="1F8D67C1" w14:textId="6FDAFA69"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Wymiana informacji między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i sprzedawcami odbywa się poprzez dedykowany system informatyczny </w:t>
      </w:r>
      <w:r w:rsidR="00232DA9" w:rsidRPr="00EB2E7B">
        <w:rPr>
          <w:rFonts w:asciiTheme="minorHAnsi" w:hAnsiTheme="minorHAnsi" w:cstheme="minorHAnsi"/>
          <w:sz w:val="20"/>
          <w:szCs w:val="20"/>
        </w:rPr>
        <w:t>ACPRO</w:t>
      </w:r>
      <w:r w:rsidR="006B027E" w:rsidRPr="00EB2E7B">
        <w:rPr>
          <w:rFonts w:asciiTheme="minorHAnsi" w:hAnsiTheme="minorHAnsi" w:cstheme="minorHAnsi"/>
          <w:sz w:val="20"/>
          <w:szCs w:val="20"/>
        </w:rPr>
        <w:t xml:space="preserve"> lub w formie określonej w GUD.</w:t>
      </w:r>
    </w:p>
    <w:p w14:paraId="50D36259" w14:textId="77777777" w:rsidR="002F5A54"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Zmiana sprzedawcy nie może powodować pogorszenia technicznych warunków świadczenia usługi dystrybucji energii elektrycznej.</w:t>
      </w:r>
    </w:p>
    <w:p w14:paraId="5EBBD54F" w14:textId="6CE9B27F" w:rsidR="002F5A54" w:rsidRPr="00EB2E7B" w:rsidRDefault="002F5A54" w:rsidP="004854C6">
      <w:pPr>
        <w:pStyle w:val="ANagwek3"/>
        <w:rPr>
          <w:rFonts w:asciiTheme="minorHAnsi" w:hAnsiTheme="minorHAnsi" w:cstheme="minorHAnsi"/>
          <w:sz w:val="20"/>
          <w:szCs w:val="20"/>
        </w:rPr>
      </w:pPr>
      <w:r w:rsidRPr="00EB2E7B">
        <w:rPr>
          <w:rFonts w:asciiTheme="minorHAnsi" w:hAnsiTheme="minorHAnsi" w:cstheme="minorHAnsi"/>
          <w:sz w:val="20"/>
          <w:szCs w:val="20"/>
        </w:rPr>
        <w:lastRenderedPageBreak/>
        <w:t xml:space="preserve">Proces zmiany sprzedawcy nie powinien przekroczyć okresu 21 dni kalendarzowych licząc od momentu otrzymania przez </w:t>
      </w:r>
      <w:r w:rsidR="00310AC7"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powiadomień, o których mowa w pkt </w:t>
      </w:r>
      <w:r w:rsidR="00E92E54" w:rsidRPr="00EB2E7B">
        <w:rPr>
          <w:rFonts w:asciiTheme="minorHAnsi" w:hAnsiTheme="minorHAnsi" w:cstheme="minorHAnsi"/>
          <w:sz w:val="20"/>
          <w:szCs w:val="20"/>
        </w:rPr>
        <w:fldChar w:fldCharType="begin"/>
      </w:r>
      <w:r w:rsidR="00E92E54" w:rsidRPr="00EB2E7B">
        <w:rPr>
          <w:rFonts w:asciiTheme="minorHAnsi" w:hAnsiTheme="minorHAnsi" w:cstheme="minorHAnsi"/>
          <w:sz w:val="20"/>
          <w:szCs w:val="20"/>
        </w:rPr>
        <w:instrText xml:space="preserve"> REF _Ref183180640 \w \h  \* MERGEFORMAT </w:instrText>
      </w:r>
      <w:r w:rsidR="00E92E54" w:rsidRPr="00EB2E7B">
        <w:rPr>
          <w:rFonts w:asciiTheme="minorHAnsi" w:hAnsiTheme="minorHAnsi" w:cstheme="minorHAnsi"/>
          <w:sz w:val="20"/>
          <w:szCs w:val="20"/>
        </w:rPr>
      </w:r>
      <w:r w:rsidR="00E92E5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E92E54"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6F54D75" w14:textId="09E9A140" w:rsidR="002F5A54" w:rsidRPr="00EB2E7B" w:rsidRDefault="002F5A54" w:rsidP="004854C6">
      <w:pPr>
        <w:pStyle w:val="ANagwek3"/>
        <w:rPr>
          <w:rFonts w:asciiTheme="minorHAnsi" w:hAnsiTheme="minorHAnsi" w:cstheme="minorHAnsi"/>
          <w:sz w:val="20"/>
          <w:szCs w:val="20"/>
        </w:rPr>
      </w:pPr>
      <w:r w:rsidRPr="00EB2E7B">
        <w:rPr>
          <w:rFonts w:asciiTheme="minorHAnsi" w:hAnsiTheme="minorHAnsi" w:cstheme="minorHAnsi"/>
          <w:sz w:val="20"/>
          <w:szCs w:val="20"/>
        </w:rPr>
        <w:t>Zakończenie na wniosek URD świadczenia usługi dystrybucji na podstawie umowy kompleksowej następuje w dacie odłączenia zasilania w danym PPE, tj. stworzenia fizycznej przerwy w torze prądowym (np. demontaż układu pomiarowo</w:t>
      </w:r>
      <w:r w:rsidR="00DC7A4F" w:rsidRPr="00EB2E7B">
        <w:rPr>
          <w:rFonts w:asciiTheme="minorHAnsi" w:hAnsiTheme="minorHAnsi" w:cstheme="minorHAnsi"/>
          <w:sz w:val="20"/>
          <w:szCs w:val="20"/>
        </w:rPr>
        <w:t xml:space="preserve"> - </w:t>
      </w:r>
      <w:r w:rsidRPr="00EB2E7B">
        <w:rPr>
          <w:rFonts w:asciiTheme="minorHAnsi" w:hAnsiTheme="minorHAnsi" w:cstheme="minorHAnsi"/>
          <w:sz w:val="20"/>
          <w:szCs w:val="20"/>
        </w:rPr>
        <w:t>rozliczeniowego, demontaż przyłącza bądź jego fragmentu, wyjęcie wkładki bezpiecznikowej, odłączenie stycznika w LZO, itp.).</w:t>
      </w:r>
    </w:p>
    <w:p w14:paraId="21AE93A4" w14:textId="726C01C9" w:rsidR="00842534" w:rsidRPr="00EB2E7B" w:rsidRDefault="009B1530" w:rsidP="004854C6">
      <w:pPr>
        <w:pStyle w:val="ANagwek3"/>
        <w:rPr>
          <w:rFonts w:asciiTheme="minorHAnsi" w:hAnsiTheme="minorHAnsi" w:cstheme="minorHAnsi"/>
          <w:sz w:val="20"/>
          <w:szCs w:val="20"/>
        </w:rPr>
      </w:pPr>
      <w:r w:rsidRPr="00EB2E7B">
        <w:rPr>
          <w:rFonts w:asciiTheme="minorHAnsi" w:hAnsiTheme="minorHAnsi" w:cstheme="minorHAnsi"/>
          <w:sz w:val="20"/>
          <w:szCs w:val="20"/>
        </w:rPr>
        <w:t>Od dnia przystąpienia ACPRO do CSIRE</w:t>
      </w:r>
      <w:r w:rsidR="00F550C6"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r w:rsidR="00291055" w:rsidRPr="00EB2E7B">
        <w:rPr>
          <w:rFonts w:asciiTheme="minorHAnsi" w:hAnsiTheme="minorHAnsi" w:cstheme="minorHAnsi"/>
          <w:sz w:val="20"/>
          <w:szCs w:val="20"/>
        </w:rPr>
        <w:t>ACPRO może zgłosić zakończenie:</w:t>
      </w:r>
    </w:p>
    <w:p w14:paraId="4446765D" w14:textId="57C48F80" w:rsidR="004C62FE" w:rsidRPr="00EB2E7B" w:rsidRDefault="004C62FE" w:rsidP="00723C64">
      <w:pPr>
        <w:pStyle w:val="Akapitzlist"/>
        <w:numPr>
          <w:ilvl w:val="0"/>
          <w:numId w:val="514"/>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umowy sprzedaży albo umowy kompleksowej w przypadku zaniechania obowiązków sprzedawcy wynikających z realizacji umowy GUD pod warunkiem otrzymania od OIRE poprzez CSIRE informacji o niedopełnieniu tych obowiązków przez sprzedawcę, </w:t>
      </w:r>
    </w:p>
    <w:p w14:paraId="0121C890" w14:textId="0BFF7CF7" w:rsidR="00291055" w:rsidRPr="00EB2E7B" w:rsidRDefault="004C62FE" w:rsidP="00723C64">
      <w:pPr>
        <w:pStyle w:val="Akapitzlist"/>
        <w:numPr>
          <w:ilvl w:val="0"/>
          <w:numId w:val="514"/>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bilansowania handlowego dla pojedynczego PPE lub bilansowania handlowego dla wszystkich PPE danego sprzedawcy w przypadku zaniechania obowiązku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wynikającego z realizacji umowy, o której mowa w pkt </w:t>
      </w:r>
      <w:r w:rsidR="00642677" w:rsidRPr="00EB2E7B">
        <w:rPr>
          <w:rFonts w:asciiTheme="minorHAnsi" w:hAnsiTheme="minorHAnsi" w:cstheme="minorHAnsi"/>
          <w:sz w:val="20"/>
          <w:szCs w:val="20"/>
        </w:rPr>
        <w:fldChar w:fldCharType="begin"/>
      </w:r>
      <w:r w:rsidR="00642677" w:rsidRPr="00EB2E7B">
        <w:rPr>
          <w:rFonts w:asciiTheme="minorHAnsi" w:hAnsiTheme="minorHAnsi" w:cstheme="minorHAnsi"/>
          <w:sz w:val="20"/>
          <w:szCs w:val="20"/>
        </w:rPr>
        <w:instrText xml:space="preserve"> REF _Ref189420169 \w \h  \* MERGEFORMAT </w:instrText>
      </w:r>
      <w:r w:rsidR="00642677" w:rsidRPr="00EB2E7B">
        <w:rPr>
          <w:rFonts w:asciiTheme="minorHAnsi" w:hAnsiTheme="minorHAnsi" w:cstheme="minorHAnsi"/>
          <w:sz w:val="20"/>
          <w:szCs w:val="20"/>
        </w:rPr>
      </w:r>
      <w:r w:rsidR="0064267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A.4.3.5</w:t>
      </w:r>
      <w:r w:rsidR="0064267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pod warunkiem otrzymania od OIRE poprzez CSIRE informacji o niedopełnieniu tych obowiązków przez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w:t>
      </w:r>
    </w:p>
    <w:p w14:paraId="3416C2FE" w14:textId="7A257EE3" w:rsidR="00CD386E" w:rsidRPr="00EB2E7B" w:rsidRDefault="00F701BF" w:rsidP="004D1C36">
      <w:pPr>
        <w:pStyle w:val="ANagwek2"/>
        <w:rPr>
          <w:rFonts w:asciiTheme="minorHAnsi" w:hAnsiTheme="minorHAnsi" w:cstheme="minorHAnsi"/>
          <w:sz w:val="20"/>
          <w:szCs w:val="20"/>
        </w:rPr>
      </w:pPr>
      <w:bookmarkStart w:id="607" w:name="_Ref189086193"/>
      <w:bookmarkStart w:id="608" w:name="_Toc239333404"/>
      <w:r w:rsidRPr="00EB2E7B">
        <w:rPr>
          <w:rFonts w:asciiTheme="minorHAnsi" w:hAnsiTheme="minorHAnsi" w:cstheme="minorHAnsi"/>
          <w:sz w:val="20"/>
          <w:szCs w:val="20"/>
        </w:rPr>
        <w:t>ZASADY POWIADAMIANIA O ZAWARTYCH UMOWACH SPRZEDAŻY ALBO UMOWACH KOMPLEKSOWYCH</w:t>
      </w:r>
      <w:bookmarkEnd w:id="607"/>
      <w:bookmarkEnd w:id="608"/>
    </w:p>
    <w:p w14:paraId="3A783A38" w14:textId="4317F9E6" w:rsidR="00416540" w:rsidRPr="00EB2E7B" w:rsidRDefault="00CE2FBA" w:rsidP="004854C6">
      <w:pPr>
        <w:pStyle w:val="ANagwek3"/>
        <w:rPr>
          <w:rFonts w:asciiTheme="minorHAnsi" w:hAnsiTheme="minorHAnsi" w:cstheme="minorHAnsi"/>
          <w:sz w:val="20"/>
          <w:szCs w:val="20"/>
        </w:rPr>
      </w:pPr>
      <w:bookmarkStart w:id="609" w:name="_Ref183180640"/>
      <w:r w:rsidRPr="00EB2E7B">
        <w:rPr>
          <w:rFonts w:asciiTheme="minorHAnsi" w:hAnsiTheme="minorHAnsi" w:cstheme="minorHAnsi"/>
          <w:sz w:val="20"/>
          <w:szCs w:val="20"/>
        </w:rPr>
        <w:t xml:space="preserve">Nowy Sprzedawca w imieniu własnym oraz URD powiadamia </w:t>
      </w:r>
      <w:r w:rsidR="00703396"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o zawarciu umowy sprzedaży albo umowy kompleksowej oraz o planowanym terminie rozpoczęcia sprzedaży energii elektrycznej, nie późniejszym niż 90 dni kalendarzowych od dnia złożenia powiadomienia.</w:t>
      </w:r>
      <w:bookmarkEnd w:id="609"/>
    </w:p>
    <w:p w14:paraId="3D6819D1"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nowy sprzedawca w imieniu własnym oraz URD powiadamia OIRE o zawarciu umowy sprzedaży albo umowy kompleksowej oraz o planowanej dacie przypisania umowy sprzedaży albo umowy kompleksowej do PPE w CSIRE. Powiadomienie składa się poprzez CSIRE:</w:t>
      </w:r>
    </w:p>
    <w:p w14:paraId="5DB32D35"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w przypadku umowy kompleksowej — nie wcześniej niż na 30 dni kalendarzowych i nie później niż na 1 dzień kalendarzowy względem daty określonej w tym powiadomieniu,</w:t>
      </w:r>
    </w:p>
    <w:p w14:paraId="3DDA32A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w przypadku umowy sprzedaży, gdy umowa dystrybucji jest przypisana do PPE w CSIRE — nie wcześniej niż na 30 dni kalendarzowych i nie później niż na 1 dzień kalendarzowy względem daty określonej w tym powiadomieniu,</w:t>
      </w:r>
    </w:p>
    <w:p w14:paraId="76D5254C"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w przypadku umowy sprzedaży, gdy umowa dystrybucji jest zawierana w trybie powiadomienia CSIRE przez upoważnionego sprzedawcę — nie wcześniej niż na 30 dni kalendarzowych i nie później niż na 3 dni kalendarzowe względem daty określonej w tym powiadomieniu.</w:t>
      </w:r>
    </w:p>
    <w:p w14:paraId="6A04DA81"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W przypadku zawarcia umowy sprzedaży albo umowy kompleksowej z konsumentem lub osobą fizyczną, o której mowa w art. 7aa ustawy o prawach konsumenta, tj. zawierającą umowę bezpośrednio związaną z jej działalnością gospodarczą, gdy ta umowa nie posiada dla tej osoby charakteru zawodowego, powiadomienia należy dokonać po bezskutecznym upływie terminu na odstąpienie od umowy przewidzianego w art. 27 ustawy o prawach konsumenta, o ile konsument lub ww. osoba fizyczna nie złożyli żądania wcześniejszego rozpoczęcia sprzedaży energii elektrycznej lub świadczenia usługi kompleksowej przed upływem ww. terminu na odstąpienie od umowy.</w:t>
      </w:r>
    </w:p>
    <w:p w14:paraId="573F777B"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Sprzedawca nie może dokonać powiadomienia OIRE o zawarciu umowy kompleksowej z URD w gospodarstwie domowym w przypadku, gdy umowa ta została zawarta poza lokalem przedsiębiorstwa.</w:t>
      </w:r>
    </w:p>
    <w:p w14:paraId="3BD802AC" w14:textId="305DF15C" w:rsidR="000607C7" w:rsidRPr="00EB2E7B" w:rsidRDefault="3FE7975F"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Powiadomienie jest zgłaszane </w:t>
      </w:r>
      <w:r w:rsidR="00CB6D00" w:rsidRPr="00EB2E7B">
        <w:rPr>
          <w:rFonts w:asciiTheme="minorHAnsi" w:hAnsiTheme="minorHAnsi" w:cstheme="minorHAnsi"/>
          <w:sz w:val="20"/>
          <w:szCs w:val="20"/>
        </w:rPr>
        <w:t xml:space="preserve">do ACPRO </w:t>
      </w:r>
      <w:r w:rsidRPr="00EB2E7B">
        <w:rPr>
          <w:rFonts w:asciiTheme="minorHAnsi" w:hAnsiTheme="minorHAnsi" w:cstheme="minorHAnsi"/>
          <w:sz w:val="20"/>
          <w:szCs w:val="20"/>
        </w:rPr>
        <w:t xml:space="preserve">w formie elektronicznej za pomocą udostępnionego przez </w:t>
      </w:r>
      <w:r w:rsidR="00642737"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dedykowanego oprogramowania lub systemu wymiany informacji lub formie papierowej w przypadku nie posiadania </w:t>
      </w:r>
      <w:r w:rsidR="007D073C" w:rsidRPr="00EB2E7B">
        <w:rPr>
          <w:rFonts w:asciiTheme="minorHAnsi" w:hAnsiTheme="minorHAnsi" w:cstheme="minorHAnsi"/>
          <w:sz w:val="20"/>
          <w:szCs w:val="20"/>
        </w:rPr>
        <w:t xml:space="preserve">dedykowanego oprogramowania lub </w:t>
      </w:r>
      <w:r w:rsidRPr="00EB2E7B">
        <w:rPr>
          <w:rFonts w:asciiTheme="minorHAnsi" w:hAnsiTheme="minorHAnsi" w:cstheme="minorHAnsi"/>
          <w:sz w:val="20"/>
          <w:szCs w:val="20"/>
        </w:rPr>
        <w:t>systemu wymiany informacji</w:t>
      </w:r>
      <w:r w:rsidR="005624B5" w:rsidRPr="00EB2E7B">
        <w:rPr>
          <w:rFonts w:asciiTheme="minorHAnsi" w:hAnsiTheme="minorHAnsi" w:cstheme="minorHAnsi"/>
          <w:sz w:val="20"/>
          <w:szCs w:val="20"/>
        </w:rPr>
        <w:t>.</w:t>
      </w:r>
      <w:r w:rsidR="00456572" w:rsidRPr="00EB2E7B">
        <w:rPr>
          <w:rFonts w:asciiTheme="minorHAnsi" w:hAnsiTheme="minorHAnsi" w:cstheme="minorHAnsi"/>
          <w:sz w:val="20"/>
          <w:szCs w:val="20"/>
        </w:rPr>
        <w:t xml:space="preserve"> </w:t>
      </w:r>
    </w:p>
    <w:p w14:paraId="0D21DE8D" w14:textId="300E57A0" w:rsidR="009111F7" w:rsidRPr="00EB2E7B" w:rsidRDefault="009111F7"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Formę dokonania zgłosze</w:t>
      </w:r>
      <w:r w:rsidR="0012059B" w:rsidRPr="00EB2E7B">
        <w:rPr>
          <w:rFonts w:asciiTheme="minorHAnsi" w:hAnsiTheme="minorHAnsi" w:cstheme="minorHAnsi"/>
          <w:sz w:val="20"/>
          <w:szCs w:val="20"/>
        </w:rPr>
        <w:t>ń umów sprzedaży określa ACPRO oraz zamieszcza pod adresem</w:t>
      </w:r>
      <w:r w:rsidR="0009296C" w:rsidRPr="00EB2E7B">
        <w:rPr>
          <w:rFonts w:asciiTheme="minorHAnsi" w:hAnsiTheme="minorHAnsi" w:cstheme="minorHAnsi"/>
          <w:sz w:val="20"/>
          <w:szCs w:val="20"/>
        </w:rPr>
        <w:t xml:space="preserve"> https://www.</w:t>
      </w:r>
      <w:r w:rsidR="00574D97">
        <w:rPr>
          <w:rFonts w:asciiTheme="minorHAnsi" w:hAnsiTheme="minorHAnsi" w:cstheme="minorHAnsi"/>
          <w:sz w:val="20"/>
          <w:szCs w:val="20"/>
        </w:rPr>
        <w:t>acpro</w:t>
      </w:r>
      <w:r w:rsidR="0009296C" w:rsidRPr="00EB2E7B">
        <w:rPr>
          <w:rFonts w:asciiTheme="minorHAnsi" w:hAnsiTheme="minorHAnsi" w:cstheme="minorHAnsi"/>
          <w:sz w:val="20"/>
          <w:szCs w:val="20"/>
        </w:rPr>
        <w:t>.pl.</w:t>
      </w:r>
    </w:p>
    <w:p w14:paraId="4EF88F51" w14:textId="0B32CADB" w:rsidR="00006E56" w:rsidRPr="00EB2E7B" w:rsidRDefault="00006E56"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zawarcia umowy sprzedaży albo umowy kompleksowej z konsumentem lub osobą fizyczną, o której mowa w art. 7aa ustawy o prawach konsumenta tj. zawierającą umowę sprzedaży albo umowę kompleksową bezpośrednio związaną z jej działalnością gospodarczą, gdy ta umowa nie posiada dla tej osoby charakteru zawodowego, powiadomienia należy dokonać po bezskutecznym upływie terminu na odstąpienie od umowy przewidzianego w art. 27 ustawy o prawach konsumenta, o ile konsument lub ww. osoba fizyczna, nie złożyli żądania wcześniejszego rozpoczęcia sprzedaży energii elektrycznej lub świadczenia usługi kompleksowej przed upływem terminu 14 dni na odstąpienie od umów.</w:t>
      </w:r>
    </w:p>
    <w:p w14:paraId="65E75FA1" w14:textId="0D48542B" w:rsidR="00006E56" w:rsidRPr="00EB2E7B" w:rsidRDefault="00006E56"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Dodatkowo URD może dokonać powiadomienia</w:t>
      </w:r>
      <w:r w:rsidR="00703396"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o zawarciu umowy sprzedaży albo umowy kompleksowej, poprzez złożenie wniosku (wzór wniosku powiadomienia jest publikowany na stronie internetowej</w:t>
      </w:r>
      <w:r w:rsidR="00703396"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w:t>
      </w:r>
    </w:p>
    <w:p w14:paraId="574A361D" w14:textId="2A94694C" w:rsidR="001D39E1" w:rsidRPr="00EB2E7B" w:rsidRDefault="00AD49B8" w:rsidP="004854C6">
      <w:pPr>
        <w:pStyle w:val="ANagwek3"/>
        <w:rPr>
          <w:rFonts w:asciiTheme="minorHAnsi" w:hAnsiTheme="minorHAnsi" w:cstheme="minorHAnsi"/>
          <w:sz w:val="20"/>
          <w:szCs w:val="20"/>
        </w:rPr>
      </w:pPr>
      <w:bookmarkStart w:id="610" w:name="_Ref190118720"/>
      <w:r w:rsidRPr="00EB2E7B">
        <w:rPr>
          <w:rFonts w:asciiTheme="minorHAnsi" w:hAnsiTheme="minorHAnsi" w:cstheme="minorHAnsi"/>
          <w:sz w:val="20"/>
          <w:szCs w:val="20"/>
        </w:rPr>
        <w:t xml:space="preserve">Zawartość formularza powiadomienia, o którym mowa w pkt. </w:t>
      </w:r>
      <w:r w:rsidR="00642677" w:rsidRPr="00EB2E7B">
        <w:rPr>
          <w:rFonts w:asciiTheme="minorHAnsi" w:hAnsiTheme="minorHAnsi" w:cstheme="minorHAnsi"/>
          <w:sz w:val="20"/>
          <w:szCs w:val="20"/>
        </w:rPr>
        <w:fldChar w:fldCharType="begin"/>
      </w:r>
      <w:r w:rsidR="00642677" w:rsidRPr="00EB2E7B">
        <w:rPr>
          <w:rFonts w:asciiTheme="minorHAnsi" w:hAnsiTheme="minorHAnsi" w:cstheme="minorHAnsi"/>
          <w:sz w:val="20"/>
          <w:szCs w:val="20"/>
        </w:rPr>
        <w:instrText xml:space="preserve"> REF _Ref183180640 \w \h  \* MERGEFORMAT </w:instrText>
      </w:r>
      <w:r w:rsidR="00642677" w:rsidRPr="00EB2E7B">
        <w:rPr>
          <w:rFonts w:asciiTheme="minorHAnsi" w:hAnsiTheme="minorHAnsi" w:cstheme="minorHAnsi"/>
          <w:sz w:val="20"/>
          <w:szCs w:val="20"/>
        </w:rPr>
      </w:r>
      <w:r w:rsidR="0064267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64267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305BE7" w:rsidRPr="00EB2E7B">
        <w:rPr>
          <w:rFonts w:asciiTheme="minorHAnsi" w:hAnsiTheme="minorHAnsi" w:cstheme="minorHAnsi"/>
          <w:sz w:val="20"/>
          <w:szCs w:val="20"/>
        </w:rPr>
        <w:t xml:space="preserve">i </w:t>
      </w:r>
      <w:r w:rsidR="000469E2" w:rsidRPr="00EB2E7B">
        <w:rPr>
          <w:rFonts w:asciiTheme="minorHAnsi" w:hAnsiTheme="minorHAnsi" w:cstheme="minorHAnsi"/>
          <w:sz w:val="20"/>
          <w:szCs w:val="20"/>
        </w:rPr>
        <w:fldChar w:fldCharType="begin"/>
      </w:r>
      <w:r w:rsidR="000469E2" w:rsidRPr="00EB2E7B">
        <w:rPr>
          <w:rFonts w:asciiTheme="minorHAnsi" w:hAnsiTheme="minorHAnsi" w:cstheme="minorHAnsi"/>
          <w:sz w:val="20"/>
          <w:szCs w:val="20"/>
        </w:rPr>
        <w:instrText xml:space="preserve"> REF _Ref190291765 \w \h </w:instrText>
      </w:r>
      <w:r w:rsidR="005E3FEE" w:rsidRPr="00EB2E7B">
        <w:rPr>
          <w:rFonts w:asciiTheme="minorHAnsi" w:hAnsiTheme="minorHAnsi" w:cstheme="minorHAnsi"/>
          <w:sz w:val="20"/>
          <w:szCs w:val="20"/>
        </w:rPr>
        <w:instrText xml:space="preserve"> \* MERGEFORMAT </w:instrText>
      </w:r>
      <w:r w:rsidR="000469E2" w:rsidRPr="00EB2E7B">
        <w:rPr>
          <w:rFonts w:asciiTheme="minorHAnsi" w:hAnsiTheme="minorHAnsi" w:cstheme="minorHAnsi"/>
          <w:sz w:val="20"/>
          <w:szCs w:val="20"/>
        </w:rPr>
      </w:r>
      <w:r w:rsidR="000469E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F.1.1</w:t>
      </w:r>
      <w:r w:rsidR="000469E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określa Załącznik nr </w:t>
      </w:r>
      <w:r w:rsidR="00FB6191" w:rsidRPr="00EB2E7B">
        <w:rPr>
          <w:rFonts w:asciiTheme="minorHAnsi" w:hAnsiTheme="minorHAnsi" w:cstheme="minorHAnsi"/>
          <w:sz w:val="20"/>
          <w:szCs w:val="20"/>
        </w:rPr>
        <w:t>2</w:t>
      </w:r>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610"/>
    </w:p>
    <w:p w14:paraId="2A61F7D6" w14:textId="3F930574" w:rsidR="00AD49B8" w:rsidRPr="00EB2E7B" w:rsidRDefault="00CA417A"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Wzór formularza powiadomienia stosowany przez </w:t>
      </w:r>
      <w:r w:rsidR="00703396"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zamieszczony jest na stronie internetowej pod adresem</w:t>
      </w:r>
      <w:r w:rsidR="00AF6ED8" w:rsidRPr="00EB2E7B">
        <w:rPr>
          <w:rFonts w:asciiTheme="minorHAnsi" w:hAnsiTheme="minorHAnsi" w:cstheme="minorHAnsi"/>
          <w:sz w:val="20"/>
          <w:szCs w:val="20"/>
        </w:rPr>
        <w:t xml:space="preserve"> </w:t>
      </w:r>
      <w:r w:rsidR="00AF6ED8" w:rsidRPr="00877E4D">
        <w:rPr>
          <w:rFonts w:asciiTheme="minorHAnsi" w:hAnsiTheme="minorHAnsi" w:cstheme="minorHAnsi"/>
          <w:sz w:val="20"/>
          <w:szCs w:val="20"/>
        </w:rPr>
        <w:t>www.</w:t>
      </w:r>
      <w:r w:rsidR="00877E4D">
        <w:rPr>
          <w:rFonts w:asciiTheme="minorHAnsi" w:hAnsiTheme="minorHAnsi" w:cstheme="minorHAnsi"/>
          <w:sz w:val="20"/>
          <w:szCs w:val="20"/>
        </w:rPr>
        <w:t>acpro.pl</w:t>
      </w:r>
      <w:r w:rsidR="00AF6ED8" w:rsidRPr="00EB2E7B">
        <w:rPr>
          <w:rFonts w:asciiTheme="minorHAnsi" w:hAnsiTheme="minorHAnsi" w:cstheme="minorHAnsi"/>
          <w:sz w:val="20"/>
          <w:szCs w:val="20"/>
        </w:rPr>
        <w:t xml:space="preserve"> </w:t>
      </w:r>
      <w:r w:rsidRPr="00EB2E7B">
        <w:rPr>
          <w:rFonts w:asciiTheme="minorHAnsi" w:hAnsiTheme="minorHAnsi" w:cstheme="minorHAnsi"/>
          <w:sz w:val="20"/>
          <w:szCs w:val="20"/>
        </w:rPr>
        <w:t>(w</w:t>
      </w:r>
      <w:r w:rsidR="008E4BAC" w:rsidRPr="00EB2E7B">
        <w:rPr>
          <w:rFonts w:asciiTheme="minorHAnsi" w:hAnsiTheme="minorHAnsi" w:cstheme="minorHAnsi"/>
          <w:sz w:val="20"/>
          <w:szCs w:val="20"/>
        </w:rPr>
        <w:t> </w:t>
      </w:r>
      <w:r w:rsidRPr="00EB2E7B">
        <w:rPr>
          <w:rFonts w:asciiTheme="minorHAnsi" w:hAnsiTheme="minorHAnsi" w:cstheme="minorHAnsi"/>
          <w:sz w:val="20"/>
          <w:szCs w:val="20"/>
        </w:rPr>
        <w:t xml:space="preserve">przypadku przyjmowania zgłoszeń w formie papierowej) lub udostępniany przez </w:t>
      </w:r>
      <w:r w:rsidR="00703396"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za pomocą dedykowanego oprogramowania lub systemu wymiany informacji. Do powiadomienia należy dołączyć dokumenty zgodnie z</w:t>
      </w:r>
      <w:r w:rsidR="008E4BAC" w:rsidRPr="00EB2E7B">
        <w:rPr>
          <w:rFonts w:asciiTheme="minorHAnsi" w:hAnsiTheme="minorHAnsi" w:cstheme="minorHAnsi"/>
          <w:sz w:val="20"/>
          <w:szCs w:val="20"/>
        </w:rPr>
        <w:t> </w:t>
      </w:r>
      <w:r w:rsidRPr="00EB2E7B">
        <w:rPr>
          <w:rFonts w:asciiTheme="minorHAnsi" w:hAnsiTheme="minorHAnsi" w:cstheme="minorHAnsi"/>
          <w:sz w:val="20"/>
          <w:szCs w:val="20"/>
        </w:rPr>
        <w:t>wykazem zawartym w formularzu powiadomienia. W przypadku zgłoszeń dokonywanych poprzez dedykowane oprogramowania lub systemy wymiany informacji dopuszcza się załączenie ww. dokumentów w formie elektronicznej – skan, o ile Strony w zawartej Umowie GUD uzgodniły taką formę przekazywania dokumentów.</w:t>
      </w:r>
    </w:p>
    <w:p w14:paraId="75997728" w14:textId="40B69469" w:rsidR="001D39E1" w:rsidRPr="00EB2E7B" w:rsidRDefault="00AD602F" w:rsidP="004854C6">
      <w:pPr>
        <w:pStyle w:val="ANagwek3"/>
        <w:rPr>
          <w:rFonts w:asciiTheme="minorHAnsi" w:hAnsiTheme="minorHAnsi" w:cstheme="minorHAnsi"/>
          <w:sz w:val="20"/>
          <w:szCs w:val="20"/>
        </w:rPr>
      </w:pPr>
      <w:bookmarkStart w:id="611" w:name="_Ref190118889"/>
      <w:r w:rsidRPr="00EB2E7B">
        <w:rPr>
          <w:rFonts w:asciiTheme="minorHAnsi" w:hAnsiTheme="minorHAnsi" w:cstheme="minorHAnsi"/>
          <w:sz w:val="20"/>
          <w:szCs w:val="20"/>
        </w:rPr>
        <w:t xml:space="preserve">Powiadomienie o zawartej umowie sprzedaży albo umowie kompleksowej winno być dokonane </w:t>
      </w:r>
      <w:r w:rsidR="005624B5" w:rsidRPr="00EB2E7B">
        <w:rPr>
          <w:rFonts w:asciiTheme="minorHAnsi" w:hAnsiTheme="minorHAnsi" w:cstheme="minorHAnsi"/>
          <w:sz w:val="20"/>
          <w:szCs w:val="20"/>
        </w:rPr>
        <w:t>nie później niż na 21 dni kalendarzowych przed planowanym terminem wejścia w życie umowy sprzedaży lub umowy kompleksowej.</w:t>
      </w:r>
      <w:bookmarkEnd w:id="611"/>
      <w:r w:rsidR="005624B5" w:rsidRPr="00EB2E7B">
        <w:rPr>
          <w:rFonts w:asciiTheme="minorHAnsi" w:hAnsiTheme="minorHAnsi" w:cstheme="minorHAnsi"/>
          <w:sz w:val="20"/>
          <w:szCs w:val="20"/>
        </w:rPr>
        <w:t xml:space="preserve"> </w:t>
      </w:r>
    </w:p>
    <w:p w14:paraId="601FFBB9" w14:textId="07F03145" w:rsidR="00AD602F" w:rsidRPr="00EB2E7B" w:rsidRDefault="00AD602F"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Dla umów sprzedaży albo umów kompleksowych dotyczących nowego PPE lub nowego URD w danym PPE, sprzedawca zgłasza je do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za pośrednictwem powiadomienia, o którym mowa w pkt </w:t>
      </w:r>
      <w:r w:rsidR="00EC49FA" w:rsidRPr="00EB2E7B">
        <w:rPr>
          <w:rFonts w:asciiTheme="minorHAnsi" w:hAnsiTheme="minorHAnsi" w:cstheme="minorHAnsi"/>
          <w:sz w:val="20"/>
          <w:szCs w:val="20"/>
        </w:rPr>
        <w:fldChar w:fldCharType="begin"/>
      </w:r>
      <w:r w:rsidR="00EC49FA" w:rsidRPr="00EB2E7B">
        <w:rPr>
          <w:rFonts w:asciiTheme="minorHAnsi" w:hAnsiTheme="minorHAnsi" w:cstheme="minorHAnsi"/>
          <w:sz w:val="20"/>
          <w:szCs w:val="20"/>
        </w:rPr>
        <w:instrText xml:space="preserve"> REF _Ref183180640 \w \h  \* MERGEFORMAT </w:instrText>
      </w:r>
      <w:r w:rsidR="00EC49FA" w:rsidRPr="00EB2E7B">
        <w:rPr>
          <w:rFonts w:asciiTheme="minorHAnsi" w:hAnsiTheme="minorHAnsi" w:cstheme="minorHAnsi"/>
          <w:sz w:val="20"/>
          <w:szCs w:val="20"/>
        </w:rPr>
      </w:r>
      <w:r w:rsidR="00EC49F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EC49FA" w:rsidRPr="00EB2E7B">
        <w:rPr>
          <w:rFonts w:asciiTheme="minorHAnsi" w:hAnsiTheme="minorHAnsi" w:cstheme="minorHAnsi"/>
          <w:sz w:val="20"/>
          <w:szCs w:val="20"/>
        </w:rPr>
        <w:fldChar w:fldCharType="end"/>
      </w:r>
      <w:r w:rsidR="00AE3220" w:rsidRPr="00EB2E7B">
        <w:rPr>
          <w:rFonts w:asciiTheme="minorHAnsi" w:hAnsiTheme="minorHAnsi" w:cstheme="minorHAnsi"/>
          <w:sz w:val="20"/>
          <w:szCs w:val="20"/>
        </w:rPr>
        <w:t xml:space="preserve"> i </w:t>
      </w:r>
      <w:r w:rsidR="00AE3220" w:rsidRPr="00EB2E7B">
        <w:rPr>
          <w:rFonts w:asciiTheme="minorHAnsi" w:hAnsiTheme="minorHAnsi" w:cstheme="minorHAnsi"/>
          <w:sz w:val="20"/>
          <w:szCs w:val="20"/>
        </w:rPr>
        <w:fldChar w:fldCharType="begin"/>
      </w:r>
      <w:r w:rsidR="00AE3220" w:rsidRPr="00EB2E7B">
        <w:rPr>
          <w:rFonts w:asciiTheme="minorHAnsi" w:hAnsiTheme="minorHAnsi" w:cstheme="minorHAnsi"/>
          <w:sz w:val="20"/>
          <w:szCs w:val="20"/>
        </w:rPr>
        <w:instrText xml:space="preserve"> REF _Ref190291765 \w \h  \* MERGEFORMAT </w:instrText>
      </w:r>
      <w:r w:rsidR="00AE3220" w:rsidRPr="00EB2E7B">
        <w:rPr>
          <w:rFonts w:asciiTheme="minorHAnsi" w:hAnsiTheme="minorHAnsi" w:cstheme="minorHAnsi"/>
          <w:sz w:val="20"/>
          <w:szCs w:val="20"/>
        </w:rPr>
      </w:r>
      <w:r w:rsidR="00AE322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F.1.1</w:t>
      </w:r>
      <w:r w:rsidR="00AE3220" w:rsidRPr="00EB2E7B">
        <w:rPr>
          <w:rFonts w:asciiTheme="minorHAnsi" w:hAnsiTheme="minorHAnsi" w:cstheme="minorHAnsi"/>
          <w:sz w:val="20"/>
          <w:szCs w:val="20"/>
        </w:rPr>
        <w:fldChar w:fldCharType="end"/>
      </w:r>
      <w:r w:rsidR="00EC49FA" w:rsidRPr="00EB2E7B">
        <w:rPr>
          <w:rFonts w:asciiTheme="minorHAnsi" w:hAnsiTheme="minorHAnsi" w:cstheme="minorHAnsi"/>
          <w:sz w:val="20"/>
          <w:szCs w:val="20"/>
        </w:rPr>
        <w:t>.</w:t>
      </w:r>
    </w:p>
    <w:p w14:paraId="69A25371" w14:textId="2C682642" w:rsidR="00AD602F" w:rsidRPr="00EB2E7B" w:rsidRDefault="00AD602F"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pozytywnej weryfikacji następuje zabudowa układu pomiarowo</w:t>
      </w:r>
      <w:r w:rsidR="00D60FD5"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rozliczeniowego lub podanie napięcia, a następnie </w:t>
      </w:r>
      <w:r w:rsidR="00703ACD"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informuje</w:t>
      </w:r>
      <w:r w:rsidR="00D60FD5" w:rsidRPr="00EB2E7B">
        <w:rPr>
          <w:rFonts w:asciiTheme="minorHAnsi" w:hAnsiTheme="minorHAnsi" w:cstheme="minorHAnsi"/>
          <w:sz w:val="20"/>
          <w:szCs w:val="20"/>
        </w:rPr>
        <w:t xml:space="preserve"> sprzedawcę o dacie rozpoczęcia realizacji zgłoszonej przez niego umowy sprzedaży albo umowy kompleksowej.</w:t>
      </w:r>
    </w:p>
    <w:p w14:paraId="66373AEB" w14:textId="7CB441AF" w:rsidR="001D39E1" w:rsidRPr="00EB2E7B" w:rsidRDefault="00D60FD5" w:rsidP="004854C6">
      <w:pPr>
        <w:pStyle w:val="ANagwek3"/>
        <w:rPr>
          <w:rFonts w:asciiTheme="minorHAnsi" w:hAnsiTheme="minorHAnsi" w:cstheme="minorHAnsi"/>
          <w:sz w:val="20"/>
          <w:szCs w:val="20"/>
        </w:rPr>
      </w:pPr>
      <w:r w:rsidRPr="00EB2E7B">
        <w:rPr>
          <w:rFonts w:asciiTheme="minorHAnsi" w:hAnsiTheme="minorHAnsi" w:cstheme="minorHAnsi"/>
          <w:sz w:val="20"/>
          <w:szCs w:val="20"/>
        </w:rPr>
        <w:t>Sprzedawca zobowiązany jest uzyskać pełnomocnictwo URD do dokonania powiadomienia</w:t>
      </w:r>
      <w:r w:rsidR="00703ACD"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o którym mowa w pkt. </w:t>
      </w:r>
      <w:r w:rsidR="00EC49FA" w:rsidRPr="00EB2E7B">
        <w:rPr>
          <w:rFonts w:asciiTheme="minorHAnsi" w:hAnsiTheme="minorHAnsi" w:cstheme="minorHAnsi"/>
          <w:sz w:val="20"/>
          <w:szCs w:val="20"/>
        </w:rPr>
        <w:fldChar w:fldCharType="begin"/>
      </w:r>
      <w:r w:rsidR="00EC49FA" w:rsidRPr="00EB2E7B">
        <w:rPr>
          <w:rFonts w:asciiTheme="minorHAnsi" w:hAnsiTheme="minorHAnsi" w:cstheme="minorHAnsi"/>
          <w:sz w:val="20"/>
          <w:szCs w:val="20"/>
        </w:rPr>
        <w:instrText xml:space="preserve"> REF _Ref183180640 \w \h  \* MERGEFORMAT </w:instrText>
      </w:r>
      <w:r w:rsidR="00EC49FA" w:rsidRPr="00EB2E7B">
        <w:rPr>
          <w:rFonts w:asciiTheme="minorHAnsi" w:hAnsiTheme="minorHAnsi" w:cstheme="minorHAnsi"/>
          <w:sz w:val="20"/>
          <w:szCs w:val="20"/>
        </w:rPr>
      </w:r>
      <w:r w:rsidR="00EC49F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EC49FA" w:rsidRPr="00EB2E7B">
        <w:rPr>
          <w:rFonts w:asciiTheme="minorHAnsi" w:hAnsiTheme="minorHAnsi" w:cstheme="minorHAnsi"/>
          <w:sz w:val="20"/>
          <w:szCs w:val="20"/>
        </w:rPr>
        <w:fldChar w:fldCharType="end"/>
      </w:r>
      <w:r w:rsidR="00EC49FA" w:rsidRPr="00EB2E7B">
        <w:rPr>
          <w:rFonts w:asciiTheme="minorHAnsi" w:hAnsiTheme="minorHAnsi" w:cstheme="minorHAnsi"/>
          <w:sz w:val="20"/>
          <w:szCs w:val="20"/>
        </w:rPr>
        <w:t>.</w:t>
      </w:r>
      <w:r w:rsidRPr="00EB2E7B">
        <w:rPr>
          <w:rFonts w:asciiTheme="minorHAnsi" w:hAnsiTheme="minorHAnsi" w:cstheme="minorHAnsi"/>
          <w:sz w:val="20"/>
          <w:szCs w:val="20"/>
        </w:rPr>
        <w:t xml:space="preserve">, w imieniu URD oraz złożyć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oświadczenie o fakcie posiadania tego pełnomocnictwa.</w:t>
      </w:r>
    </w:p>
    <w:p w14:paraId="4ED7FF09" w14:textId="2CF92219" w:rsidR="001D39E1" w:rsidRPr="00EB2E7B" w:rsidRDefault="00D60FD5"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Strony umowy sprzedaży albo umowy kompleksowej są zobowiązane do informowania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o zmianach dokonanych w ww. umow</w:t>
      </w:r>
      <w:r w:rsidR="00CD6012" w:rsidRPr="00EB2E7B">
        <w:rPr>
          <w:rFonts w:asciiTheme="minorHAnsi" w:hAnsiTheme="minorHAnsi" w:cstheme="minorHAnsi"/>
          <w:sz w:val="20"/>
          <w:szCs w:val="20"/>
        </w:rPr>
        <w:t>ach</w:t>
      </w:r>
      <w:r w:rsidRPr="00EB2E7B">
        <w:rPr>
          <w:rFonts w:asciiTheme="minorHAnsi" w:hAnsiTheme="minorHAnsi" w:cstheme="minorHAnsi"/>
          <w:sz w:val="20"/>
          <w:szCs w:val="20"/>
        </w:rPr>
        <w:t>, w</w:t>
      </w:r>
      <w:r w:rsidR="00DC6185" w:rsidRPr="00EB2E7B">
        <w:rPr>
          <w:rFonts w:asciiTheme="minorHAnsi" w:hAnsiTheme="minorHAnsi" w:cstheme="minorHAnsi"/>
          <w:sz w:val="20"/>
          <w:szCs w:val="20"/>
        </w:rPr>
        <w:t> </w:t>
      </w:r>
      <w:r w:rsidRPr="00EB2E7B">
        <w:rPr>
          <w:rFonts w:asciiTheme="minorHAnsi" w:hAnsiTheme="minorHAnsi" w:cstheme="minorHAnsi"/>
          <w:sz w:val="20"/>
          <w:szCs w:val="20"/>
        </w:rPr>
        <w:t xml:space="preserve">zakresie danych określonych w formularzu, o którym mowa w pkt. </w:t>
      </w:r>
      <w:r w:rsidR="00EC49FA" w:rsidRPr="00EB2E7B">
        <w:rPr>
          <w:rFonts w:asciiTheme="minorHAnsi" w:hAnsiTheme="minorHAnsi" w:cstheme="minorHAnsi"/>
          <w:sz w:val="20"/>
          <w:szCs w:val="20"/>
        </w:rPr>
        <w:fldChar w:fldCharType="begin"/>
      </w:r>
      <w:r w:rsidR="00EC49FA" w:rsidRPr="00EB2E7B">
        <w:rPr>
          <w:rFonts w:asciiTheme="minorHAnsi" w:hAnsiTheme="minorHAnsi" w:cstheme="minorHAnsi"/>
          <w:sz w:val="20"/>
          <w:szCs w:val="20"/>
        </w:rPr>
        <w:instrText xml:space="preserve"> REF _Ref190118720 \w \h  \* MERGEFORMAT </w:instrText>
      </w:r>
      <w:r w:rsidR="00EC49FA" w:rsidRPr="00EB2E7B">
        <w:rPr>
          <w:rFonts w:asciiTheme="minorHAnsi" w:hAnsiTheme="minorHAnsi" w:cstheme="minorHAnsi"/>
          <w:sz w:val="20"/>
          <w:szCs w:val="20"/>
        </w:rPr>
      </w:r>
      <w:r w:rsidR="00EC49F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D.2.2</w:t>
      </w:r>
      <w:r w:rsidR="00EC49F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0854DA" w:rsidRPr="00EB2E7B">
        <w:rPr>
          <w:rFonts w:asciiTheme="minorHAnsi" w:hAnsiTheme="minorHAnsi" w:cstheme="minorHAnsi"/>
          <w:sz w:val="20"/>
          <w:szCs w:val="20"/>
        </w:rPr>
        <w:t xml:space="preserve">i </w:t>
      </w:r>
      <w:r w:rsidR="000854DA" w:rsidRPr="00EB2E7B">
        <w:rPr>
          <w:rFonts w:asciiTheme="minorHAnsi" w:hAnsiTheme="minorHAnsi" w:cstheme="minorHAnsi"/>
          <w:sz w:val="20"/>
          <w:szCs w:val="20"/>
        </w:rPr>
        <w:fldChar w:fldCharType="begin"/>
      </w:r>
      <w:r w:rsidR="000854DA" w:rsidRPr="00EB2E7B">
        <w:rPr>
          <w:rFonts w:asciiTheme="minorHAnsi" w:hAnsiTheme="minorHAnsi" w:cstheme="minorHAnsi"/>
          <w:sz w:val="20"/>
          <w:szCs w:val="20"/>
        </w:rPr>
        <w:instrText xml:space="preserve"> REF _Ref190291987 \w \h  \* MERGEFORMAT </w:instrText>
      </w:r>
      <w:r w:rsidR="000854DA" w:rsidRPr="00EB2E7B">
        <w:rPr>
          <w:rFonts w:asciiTheme="minorHAnsi" w:hAnsiTheme="minorHAnsi" w:cstheme="minorHAnsi"/>
          <w:sz w:val="20"/>
          <w:szCs w:val="20"/>
        </w:rPr>
      </w:r>
      <w:r w:rsidR="000854D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F.1.3</w:t>
      </w:r>
      <w:r w:rsidR="000854DA" w:rsidRPr="00EB2E7B">
        <w:rPr>
          <w:rFonts w:asciiTheme="minorHAnsi" w:hAnsiTheme="minorHAnsi" w:cstheme="minorHAnsi"/>
          <w:sz w:val="20"/>
          <w:szCs w:val="20"/>
        </w:rPr>
        <w:fldChar w:fldCharType="end"/>
      </w:r>
      <w:r w:rsidR="000854DA" w:rsidRPr="00EB2E7B">
        <w:rPr>
          <w:rFonts w:asciiTheme="minorHAnsi" w:hAnsiTheme="minorHAnsi" w:cstheme="minorHAnsi"/>
          <w:sz w:val="20"/>
          <w:szCs w:val="20"/>
        </w:rPr>
        <w:t>.</w:t>
      </w:r>
      <w:r w:rsidRPr="00EB2E7B">
        <w:rPr>
          <w:rFonts w:asciiTheme="minorHAnsi" w:hAnsiTheme="minorHAnsi" w:cstheme="minorHAnsi"/>
          <w:sz w:val="20"/>
          <w:szCs w:val="20"/>
        </w:rPr>
        <w:t xml:space="preserve"> Powiadomienia należy dokonać zgodnie z pkt. </w:t>
      </w:r>
      <w:r w:rsidR="00EC49FA" w:rsidRPr="00EB2E7B">
        <w:rPr>
          <w:rFonts w:asciiTheme="minorHAnsi" w:hAnsiTheme="minorHAnsi" w:cstheme="minorHAnsi"/>
          <w:sz w:val="20"/>
          <w:szCs w:val="20"/>
        </w:rPr>
        <w:fldChar w:fldCharType="begin"/>
      </w:r>
      <w:r w:rsidR="00EC49FA" w:rsidRPr="00EB2E7B">
        <w:rPr>
          <w:rFonts w:asciiTheme="minorHAnsi" w:hAnsiTheme="minorHAnsi" w:cstheme="minorHAnsi"/>
          <w:sz w:val="20"/>
          <w:szCs w:val="20"/>
        </w:rPr>
        <w:instrText xml:space="preserve"> REF _Ref183180640 \w \h  \* MERGEFORMAT </w:instrText>
      </w:r>
      <w:r w:rsidR="00EC49FA" w:rsidRPr="00EB2E7B">
        <w:rPr>
          <w:rFonts w:asciiTheme="minorHAnsi" w:hAnsiTheme="minorHAnsi" w:cstheme="minorHAnsi"/>
          <w:sz w:val="20"/>
          <w:szCs w:val="20"/>
        </w:rPr>
      </w:r>
      <w:r w:rsidR="00EC49F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EC49FA" w:rsidRPr="00EB2E7B">
        <w:rPr>
          <w:rFonts w:asciiTheme="minorHAnsi" w:hAnsiTheme="minorHAnsi" w:cstheme="minorHAnsi"/>
          <w:sz w:val="20"/>
          <w:szCs w:val="20"/>
        </w:rPr>
        <w:fldChar w:fldCharType="end"/>
      </w:r>
      <w:r w:rsidR="00EC49FA" w:rsidRPr="00EB2E7B">
        <w:rPr>
          <w:rFonts w:asciiTheme="minorHAnsi" w:hAnsiTheme="minorHAnsi" w:cstheme="minorHAnsi"/>
          <w:sz w:val="20"/>
          <w:szCs w:val="20"/>
        </w:rPr>
        <w:t>.</w:t>
      </w:r>
      <w:r w:rsidRPr="00EB2E7B">
        <w:rPr>
          <w:rFonts w:asciiTheme="minorHAnsi" w:hAnsiTheme="minorHAnsi" w:cstheme="minorHAnsi"/>
          <w:sz w:val="20"/>
          <w:szCs w:val="20"/>
        </w:rPr>
        <w:t xml:space="preserve"> na formularzu </w:t>
      </w:r>
      <w:r w:rsidRPr="00EB2E7B">
        <w:rPr>
          <w:rFonts w:asciiTheme="minorHAnsi" w:hAnsiTheme="minorHAnsi" w:cstheme="minorHAnsi"/>
          <w:sz w:val="20"/>
          <w:szCs w:val="20"/>
        </w:rPr>
        <w:lastRenderedPageBreak/>
        <w:t xml:space="preserve">określonym przez </w:t>
      </w:r>
      <w:r w:rsidR="00703ACD"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 co najmniej </w:t>
      </w:r>
      <w:r w:rsidR="00BA3593" w:rsidRPr="00EB2E7B">
        <w:rPr>
          <w:rFonts w:asciiTheme="minorHAnsi" w:hAnsiTheme="minorHAnsi" w:cstheme="minorHAnsi"/>
          <w:sz w:val="20"/>
          <w:szCs w:val="20"/>
        </w:rPr>
        <w:t>7</w:t>
      </w:r>
      <w:r w:rsidRPr="00EB2E7B">
        <w:rPr>
          <w:rFonts w:asciiTheme="minorHAnsi" w:hAnsiTheme="minorHAnsi" w:cstheme="minorHAnsi"/>
          <w:sz w:val="20"/>
          <w:szCs w:val="20"/>
        </w:rPr>
        <w:t xml:space="preserve"> dniowym wyprzedzeniem</w:t>
      </w:r>
      <w:r w:rsidR="00703ACD" w:rsidRPr="00EB2E7B">
        <w:rPr>
          <w:rFonts w:asciiTheme="minorHAnsi" w:hAnsiTheme="minorHAnsi" w:cstheme="minorHAnsi"/>
          <w:sz w:val="20"/>
          <w:szCs w:val="20"/>
        </w:rPr>
        <w:t xml:space="preserve"> </w:t>
      </w:r>
      <w:r w:rsidRPr="00EB2E7B">
        <w:rPr>
          <w:rFonts w:asciiTheme="minorHAnsi" w:hAnsiTheme="minorHAnsi" w:cstheme="minorHAnsi"/>
          <w:sz w:val="20"/>
          <w:szCs w:val="20"/>
        </w:rPr>
        <w:t>lub niezwłocznie po uzyskaniu dokumentów potwierdzających aktualizację danych.</w:t>
      </w:r>
    </w:p>
    <w:p w14:paraId="1C176FBB" w14:textId="01076A39" w:rsidR="001D39E1" w:rsidRPr="00EB2E7B" w:rsidRDefault="00D60FD5" w:rsidP="004854C6">
      <w:pPr>
        <w:pStyle w:val="ANagwek3"/>
        <w:rPr>
          <w:rFonts w:asciiTheme="minorHAnsi" w:hAnsiTheme="minorHAnsi" w:cstheme="minorHAnsi"/>
          <w:sz w:val="20"/>
          <w:szCs w:val="20"/>
        </w:rPr>
      </w:pPr>
      <w:bookmarkStart w:id="612" w:name="_Ref190118789"/>
      <w:r w:rsidRPr="00EB2E7B">
        <w:rPr>
          <w:rFonts w:asciiTheme="minorHAnsi" w:hAnsiTheme="minorHAnsi" w:cstheme="minorHAnsi"/>
          <w:sz w:val="20"/>
          <w:szCs w:val="20"/>
        </w:rPr>
        <w:t>Strony umowy sprzedaży albo umowy kompleksowej są zobowiązane do powiadomienia</w:t>
      </w:r>
      <w:r w:rsidR="00703ACD"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nie później niż na 14 dni kalendarzowych przed upływem terminu obowiązywania umowy sprzedaży albo umowy kompleksowej zawartej z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na czas określony, o zawarciu przez Sprzedawcę nowej umowy sprzedaży albo umowy kompleksowej z tym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lub przedłużenia obowiązywania dotychczasowej umowy w drodze aneksu. Powiadomienia należy dokonać zgodnie z pkt. </w:t>
      </w:r>
      <w:r w:rsidR="009F2E49" w:rsidRPr="00EB2E7B">
        <w:rPr>
          <w:rFonts w:asciiTheme="minorHAnsi" w:hAnsiTheme="minorHAnsi" w:cstheme="minorHAnsi"/>
          <w:sz w:val="20"/>
          <w:szCs w:val="20"/>
        </w:rPr>
        <w:fldChar w:fldCharType="begin"/>
      </w:r>
      <w:r w:rsidR="009F2E49" w:rsidRPr="00EB2E7B">
        <w:rPr>
          <w:rFonts w:asciiTheme="minorHAnsi" w:hAnsiTheme="minorHAnsi" w:cstheme="minorHAnsi"/>
          <w:sz w:val="20"/>
          <w:szCs w:val="20"/>
        </w:rPr>
        <w:instrText xml:space="preserve"> REF _Ref183180640 \w \h  \* MERGEFORMAT </w:instrText>
      </w:r>
      <w:r w:rsidR="009F2E49" w:rsidRPr="00EB2E7B">
        <w:rPr>
          <w:rFonts w:asciiTheme="minorHAnsi" w:hAnsiTheme="minorHAnsi" w:cstheme="minorHAnsi"/>
          <w:sz w:val="20"/>
          <w:szCs w:val="20"/>
        </w:rPr>
      </w:r>
      <w:r w:rsidR="009F2E4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9F2E4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na formularzu, którego zakres określa Załącznik nr </w:t>
      </w:r>
      <w:r w:rsidR="00FB6191" w:rsidRPr="00EB2E7B">
        <w:rPr>
          <w:rFonts w:asciiTheme="minorHAnsi" w:hAnsiTheme="minorHAnsi" w:cstheme="minorHAnsi"/>
          <w:sz w:val="20"/>
          <w:szCs w:val="20"/>
        </w:rPr>
        <w:t>2</w:t>
      </w:r>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612"/>
    </w:p>
    <w:p w14:paraId="79D3C372" w14:textId="44C42907" w:rsidR="001D39E1" w:rsidRPr="00EB2E7B" w:rsidRDefault="00144389" w:rsidP="004854C6">
      <w:pPr>
        <w:pStyle w:val="ANagwek3"/>
        <w:rPr>
          <w:rFonts w:asciiTheme="minorHAnsi" w:hAnsiTheme="minorHAnsi" w:cstheme="minorHAnsi"/>
          <w:sz w:val="20"/>
          <w:szCs w:val="20"/>
        </w:rPr>
      </w:pPr>
      <w:bookmarkStart w:id="613" w:name="_Ref182429462"/>
      <w:r w:rsidRPr="00EB2E7B">
        <w:rPr>
          <w:rFonts w:asciiTheme="minorHAnsi" w:hAnsiTheme="minorHAnsi" w:cstheme="minorHAnsi"/>
          <w:sz w:val="20"/>
          <w:szCs w:val="20"/>
        </w:rPr>
        <w:t>Sprzedawca nie później niż na 21 oraz nie wcześniej niż na 90 dni kalendarzowych przed zaprzestaniem sprzedaży energii elektrycznej albo świadczenia usługi kompleksowej, informuje</w:t>
      </w:r>
      <w:r w:rsidR="00703ACD"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o dacie:</w:t>
      </w:r>
      <w:bookmarkEnd w:id="613"/>
    </w:p>
    <w:p w14:paraId="2BED475F" w14:textId="0C06A565" w:rsidR="00144389" w:rsidRPr="00EB2E7B" w:rsidRDefault="00B059B8" w:rsidP="00B059B8">
      <w:pPr>
        <w:pStyle w:val="Akapitzlist"/>
        <w:numPr>
          <w:ilvl w:val="0"/>
          <w:numId w:val="398"/>
        </w:numPr>
        <w:ind w:left="1701" w:hanging="567"/>
        <w:rPr>
          <w:rFonts w:asciiTheme="minorHAnsi" w:hAnsiTheme="minorHAnsi" w:cstheme="minorHAnsi"/>
          <w:sz w:val="20"/>
          <w:szCs w:val="20"/>
        </w:rPr>
      </w:pPr>
      <w:r w:rsidRPr="00EB2E7B">
        <w:rPr>
          <w:rFonts w:asciiTheme="minorHAnsi" w:hAnsiTheme="minorHAnsi" w:cstheme="minorHAnsi"/>
          <w:sz w:val="20"/>
          <w:szCs w:val="20"/>
        </w:rPr>
        <w:t>rozwiązania lub wygaśnięcia umowy sprzedaży albo umowy kompleksowej, albo</w:t>
      </w:r>
    </w:p>
    <w:p w14:paraId="4FB346F9" w14:textId="1FE6FDC9" w:rsidR="00B059B8" w:rsidRPr="00EB2E7B" w:rsidRDefault="00145C5A" w:rsidP="00AD6251">
      <w:pPr>
        <w:pStyle w:val="Akapitzlist"/>
        <w:numPr>
          <w:ilvl w:val="0"/>
          <w:numId w:val="398"/>
        </w:numPr>
        <w:ind w:left="1701" w:hanging="567"/>
        <w:rPr>
          <w:rFonts w:asciiTheme="minorHAnsi" w:hAnsiTheme="minorHAnsi" w:cstheme="minorHAnsi"/>
          <w:sz w:val="20"/>
          <w:szCs w:val="20"/>
        </w:rPr>
      </w:pPr>
      <w:r w:rsidRPr="00EB2E7B">
        <w:rPr>
          <w:rFonts w:asciiTheme="minorHAnsi" w:hAnsiTheme="minorHAnsi" w:cstheme="minorHAnsi"/>
          <w:sz w:val="20"/>
          <w:szCs w:val="20"/>
        </w:rPr>
        <w:t>rozwiązania umowy sprzedaży rezerwowej albo rezerwowej umowy kompleksowej.</w:t>
      </w:r>
    </w:p>
    <w:p w14:paraId="342D2199" w14:textId="6D8EED80" w:rsidR="001D39E1" w:rsidRPr="00EB2E7B" w:rsidRDefault="00145C5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przypadku niedotrzymania przez sprzedawcę terminu, o którym mowa w pkt </w:t>
      </w:r>
      <w:r w:rsidR="00D52D82" w:rsidRPr="00EB2E7B">
        <w:rPr>
          <w:rFonts w:asciiTheme="minorHAnsi" w:hAnsiTheme="minorHAnsi" w:cstheme="minorHAnsi"/>
          <w:sz w:val="20"/>
          <w:szCs w:val="20"/>
        </w:rPr>
        <w:fldChar w:fldCharType="begin"/>
      </w:r>
      <w:r w:rsidR="00D52D82" w:rsidRPr="00EB2E7B">
        <w:rPr>
          <w:rFonts w:asciiTheme="minorHAnsi" w:hAnsiTheme="minorHAnsi" w:cstheme="minorHAnsi"/>
          <w:sz w:val="20"/>
          <w:szCs w:val="20"/>
        </w:rPr>
        <w:instrText xml:space="preserve"> REF _Ref190118789 \w \h  \* MERGEFORMAT </w:instrText>
      </w:r>
      <w:r w:rsidR="00D52D82" w:rsidRPr="00EB2E7B">
        <w:rPr>
          <w:rFonts w:asciiTheme="minorHAnsi" w:hAnsiTheme="minorHAnsi" w:cstheme="minorHAnsi"/>
          <w:sz w:val="20"/>
          <w:szCs w:val="20"/>
        </w:rPr>
      </w:r>
      <w:r w:rsidR="00D52D8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D.2.6</w:t>
      </w:r>
      <w:r w:rsidR="00D52D8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w:t>
      </w:r>
      <w:r w:rsidR="00D52D82" w:rsidRPr="00EB2E7B">
        <w:rPr>
          <w:rFonts w:asciiTheme="minorHAnsi" w:hAnsiTheme="minorHAnsi" w:cstheme="minorHAnsi"/>
          <w:sz w:val="20"/>
          <w:szCs w:val="20"/>
        </w:rPr>
        <w:fldChar w:fldCharType="begin"/>
      </w:r>
      <w:r w:rsidR="00D52D82" w:rsidRPr="00EB2E7B">
        <w:rPr>
          <w:rFonts w:asciiTheme="minorHAnsi" w:hAnsiTheme="minorHAnsi" w:cstheme="minorHAnsi"/>
          <w:sz w:val="20"/>
          <w:szCs w:val="20"/>
        </w:rPr>
        <w:instrText xml:space="preserve"> REF _Ref182429462 \w \h  \* MERGEFORMAT </w:instrText>
      </w:r>
      <w:r w:rsidR="00D52D82" w:rsidRPr="00EB2E7B">
        <w:rPr>
          <w:rFonts w:asciiTheme="minorHAnsi" w:hAnsiTheme="minorHAnsi" w:cstheme="minorHAnsi"/>
          <w:sz w:val="20"/>
          <w:szCs w:val="20"/>
        </w:rPr>
      </w:r>
      <w:r w:rsidR="00D52D8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D.2.7</w:t>
      </w:r>
      <w:r w:rsidR="00D52D82"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00703ACD"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będzie realizował dotychczasową umowę sprzedaży albo umowę kompleksową, albo umowę sprzedaży rezerwowej albo rezerwową umowę kompleksową do 21 dnia kalendarzowego od uzyskania tej informacji przez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od sprzedawcy, chyba, że w terminie wcześniejszym zostanie dokonane zgłoszenie nowych warunków umowy zgodnie z pkt </w:t>
      </w:r>
      <w:r w:rsidR="00D35AB8" w:rsidRPr="00EB2E7B">
        <w:rPr>
          <w:rFonts w:asciiTheme="minorHAnsi" w:hAnsiTheme="minorHAnsi" w:cstheme="minorHAnsi"/>
          <w:sz w:val="20"/>
          <w:szCs w:val="20"/>
        </w:rPr>
        <w:fldChar w:fldCharType="begin"/>
      </w:r>
      <w:r w:rsidR="00D35AB8" w:rsidRPr="00EB2E7B">
        <w:rPr>
          <w:rFonts w:asciiTheme="minorHAnsi" w:hAnsiTheme="minorHAnsi" w:cstheme="minorHAnsi"/>
          <w:sz w:val="20"/>
          <w:szCs w:val="20"/>
        </w:rPr>
        <w:instrText xml:space="preserve"> REF _Ref190118789 \w \h  \* MERGEFORMAT </w:instrText>
      </w:r>
      <w:r w:rsidR="00D35AB8" w:rsidRPr="00EB2E7B">
        <w:rPr>
          <w:rFonts w:asciiTheme="minorHAnsi" w:hAnsiTheme="minorHAnsi" w:cstheme="minorHAnsi"/>
          <w:sz w:val="20"/>
          <w:szCs w:val="20"/>
        </w:rPr>
      </w:r>
      <w:r w:rsidR="00D35AB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D.2.6</w:t>
      </w:r>
      <w:r w:rsidR="00D35AB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powiadomienie, o którym mowa w pkt </w:t>
      </w:r>
      <w:r w:rsidR="00D35AB8" w:rsidRPr="00EB2E7B">
        <w:rPr>
          <w:rFonts w:asciiTheme="minorHAnsi" w:hAnsiTheme="minorHAnsi" w:cstheme="minorHAnsi"/>
          <w:sz w:val="20"/>
          <w:szCs w:val="20"/>
        </w:rPr>
        <w:fldChar w:fldCharType="begin"/>
      </w:r>
      <w:r w:rsidR="00D35AB8" w:rsidRPr="00EB2E7B">
        <w:rPr>
          <w:rFonts w:asciiTheme="minorHAnsi" w:hAnsiTheme="minorHAnsi" w:cstheme="minorHAnsi"/>
          <w:sz w:val="20"/>
          <w:szCs w:val="20"/>
        </w:rPr>
        <w:instrText xml:space="preserve"> REF _Ref183180640 \w \h  \* MERGEFORMAT </w:instrText>
      </w:r>
      <w:r w:rsidR="00D35AB8" w:rsidRPr="00EB2E7B">
        <w:rPr>
          <w:rFonts w:asciiTheme="minorHAnsi" w:hAnsiTheme="minorHAnsi" w:cstheme="minorHAnsi"/>
          <w:sz w:val="20"/>
          <w:szCs w:val="20"/>
        </w:rPr>
      </w:r>
      <w:r w:rsidR="00D35AB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D35AB8"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1D0C4B0" w14:textId="42B61204" w:rsidR="001D39E1" w:rsidRPr="00EB2E7B" w:rsidRDefault="00145C5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W przypadku otrzymania przez</w:t>
      </w:r>
      <w:r w:rsidR="00703ACD"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dla tego samego PPE, więcej niż jednego powiadomienia do realizacji umowy sprzedaży albo umowy kompleksowej od tego samego lub różnych sprzedawców na ten sam termin rozpoczęcia sprzedaży energii elektrycznej na podstawie umowy sprzedaży albo umowy kompleksowej</w:t>
      </w:r>
      <w:r w:rsidR="00703ACD" w:rsidRPr="00EB2E7B">
        <w:rPr>
          <w:rFonts w:asciiTheme="minorHAnsi" w:hAnsiTheme="minorHAnsi" w:cstheme="minorHAnsi"/>
          <w:sz w:val="20"/>
          <w:szCs w:val="20"/>
        </w:rPr>
        <w:t xml:space="preserve"> ACPRO </w:t>
      </w:r>
      <w:r w:rsidRPr="00EB2E7B">
        <w:rPr>
          <w:rFonts w:asciiTheme="minorHAnsi" w:hAnsiTheme="minorHAnsi" w:cstheme="minorHAnsi"/>
          <w:sz w:val="20"/>
          <w:szCs w:val="20"/>
        </w:rPr>
        <w:t xml:space="preserve">przyjmie do realizacji umowę sprzedaży albo umowę kompleksową dla której otrzymał powiadomienie jako pierwsze, z zachowaniem terminów, o których mowa w pkt </w:t>
      </w:r>
      <w:r w:rsidR="00D35AB8" w:rsidRPr="00EB2E7B">
        <w:rPr>
          <w:rFonts w:asciiTheme="minorHAnsi" w:hAnsiTheme="minorHAnsi" w:cstheme="minorHAnsi"/>
          <w:sz w:val="20"/>
          <w:szCs w:val="20"/>
        </w:rPr>
        <w:fldChar w:fldCharType="begin"/>
      </w:r>
      <w:r w:rsidR="00D35AB8" w:rsidRPr="00EB2E7B">
        <w:rPr>
          <w:rFonts w:asciiTheme="minorHAnsi" w:hAnsiTheme="minorHAnsi" w:cstheme="minorHAnsi"/>
          <w:sz w:val="20"/>
          <w:szCs w:val="20"/>
        </w:rPr>
        <w:instrText xml:space="preserve"> REF _Ref183180640 \w \h  \* MERGEFORMAT </w:instrText>
      </w:r>
      <w:r w:rsidR="00D35AB8" w:rsidRPr="00EB2E7B">
        <w:rPr>
          <w:rFonts w:asciiTheme="minorHAnsi" w:hAnsiTheme="minorHAnsi" w:cstheme="minorHAnsi"/>
          <w:sz w:val="20"/>
          <w:szCs w:val="20"/>
        </w:rPr>
      </w:r>
      <w:r w:rsidR="00D35AB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D35AB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D35AB8" w:rsidRPr="00EB2E7B">
        <w:rPr>
          <w:rFonts w:asciiTheme="minorHAnsi" w:hAnsiTheme="minorHAnsi" w:cstheme="minorHAnsi"/>
          <w:sz w:val="20"/>
          <w:szCs w:val="20"/>
        </w:rPr>
        <w:fldChar w:fldCharType="begin"/>
      </w:r>
      <w:r w:rsidR="00D35AB8" w:rsidRPr="00EB2E7B">
        <w:rPr>
          <w:rFonts w:asciiTheme="minorHAnsi" w:hAnsiTheme="minorHAnsi" w:cstheme="minorHAnsi"/>
          <w:sz w:val="20"/>
          <w:szCs w:val="20"/>
        </w:rPr>
        <w:instrText xml:space="preserve"> REF _Ref190118889 \w \h  \* MERGEFORMAT </w:instrText>
      </w:r>
      <w:r w:rsidR="00D35AB8" w:rsidRPr="00EB2E7B">
        <w:rPr>
          <w:rFonts w:asciiTheme="minorHAnsi" w:hAnsiTheme="minorHAnsi" w:cstheme="minorHAnsi"/>
          <w:sz w:val="20"/>
          <w:szCs w:val="20"/>
        </w:rPr>
      </w:r>
      <w:r w:rsidR="00D35AB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D.2.3</w:t>
      </w:r>
      <w:r w:rsidR="00D35AB8"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1B74340" w14:textId="36527147" w:rsidR="00E7034C" w:rsidRPr="00EB2E7B" w:rsidRDefault="00752F63" w:rsidP="004854C6">
      <w:pPr>
        <w:pStyle w:val="ANagwek3"/>
        <w:rPr>
          <w:rFonts w:asciiTheme="minorHAnsi" w:hAnsiTheme="minorHAnsi" w:cstheme="minorHAnsi"/>
          <w:sz w:val="20"/>
          <w:szCs w:val="20"/>
        </w:rPr>
      </w:pPr>
      <w:bookmarkStart w:id="614" w:name="_Ref190116304"/>
      <w:r w:rsidRPr="00EB2E7B">
        <w:rPr>
          <w:rFonts w:asciiTheme="minorHAnsi" w:hAnsiTheme="minorHAnsi" w:cstheme="minorHAnsi"/>
          <w:sz w:val="20"/>
          <w:szCs w:val="20"/>
        </w:rPr>
        <w:t xml:space="preserve">Sprzedawca który dokonał powiadomienia, o którym mowa w pkt </w:t>
      </w:r>
      <w:r w:rsidR="00D35AB8" w:rsidRPr="00EB2E7B">
        <w:rPr>
          <w:rFonts w:asciiTheme="minorHAnsi" w:hAnsiTheme="minorHAnsi" w:cstheme="minorHAnsi"/>
          <w:sz w:val="20"/>
          <w:szCs w:val="20"/>
        </w:rPr>
        <w:fldChar w:fldCharType="begin"/>
      </w:r>
      <w:r w:rsidR="00D35AB8" w:rsidRPr="00EB2E7B">
        <w:rPr>
          <w:rFonts w:asciiTheme="minorHAnsi" w:hAnsiTheme="minorHAnsi" w:cstheme="minorHAnsi"/>
          <w:sz w:val="20"/>
          <w:szCs w:val="20"/>
        </w:rPr>
        <w:instrText xml:space="preserve"> REF _Ref183180640 \w \h  \* MERGEFORMAT </w:instrText>
      </w:r>
      <w:r w:rsidR="00D35AB8" w:rsidRPr="00EB2E7B">
        <w:rPr>
          <w:rFonts w:asciiTheme="minorHAnsi" w:hAnsiTheme="minorHAnsi" w:cstheme="minorHAnsi"/>
          <w:sz w:val="20"/>
          <w:szCs w:val="20"/>
        </w:rPr>
      </w:r>
      <w:r w:rsidR="00D35AB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D35AB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może w terminie do 5 dni kalendarzowych przed planowanym terminem rozpoczęcia sprzedaży energii elektrycznej albo świadczenia usługi kompleksowej, złożyć w imieniu swoim i URD oświadczenie o anulowaniu tego powiadomienia i cofnięciu wszystkich oświadczeń złożonych przez niego w imieniu URD w ramach zmiany sprzedawcy. Dokonanie przez sprzedawcę powiadomienia, o którym mowa w pkt </w:t>
      </w:r>
      <w:r w:rsidR="00244AD0" w:rsidRPr="00EB2E7B">
        <w:rPr>
          <w:rFonts w:asciiTheme="minorHAnsi" w:hAnsiTheme="minorHAnsi" w:cstheme="minorHAnsi"/>
          <w:sz w:val="20"/>
          <w:szCs w:val="20"/>
        </w:rPr>
        <w:fldChar w:fldCharType="begin"/>
      </w:r>
      <w:r w:rsidR="00244AD0" w:rsidRPr="00EB2E7B">
        <w:rPr>
          <w:rFonts w:asciiTheme="minorHAnsi" w:hAnsiTheme="minorHAnsi" w:cstheme="minorHAnsi"/>
          <w:sz w:val="20"/>
          <w:szCs w:val="20"/>
        </w:rPr>
        <w:instrText xml:space="preserve"> REF _Ref183180640 \w \h  \* MERGEFORMAT </w:instrText>
      </w:r>
      <w:r w:rsidR="00244AD0" w:rsidRPr="00EB2E7B">
        <w:rPr>
          <w:rFonts w:asciiTheme="minorHAnsi" w:hAnsiTheme="minorHAnsi" w:cstheme="minorHAnsi"/>
          <w:sz w:val="20"/>
          <w:szCs w:val="20"/>
        </w:rPr>
      </w:r>
      <w:r w:rsidR="00244AD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244AD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jest równoznaczne z dysponowaniem przez niego pełnomocnictwem do złożenia oświadczenia o anulowaniu tego powiadomienia i cofnięciu wszystkich oświadczeń złożonych przez niego w imieniu URD w ramach zmiany sprzedawcy. W takim przypadku</w:t>
      </w:r>
      <w:r w:rsidR="00703ACD"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nie przyjmuje do realizacji umowy sprzedaży albo umowy kompleksowej objętej tym powiadomieniem.</w:t>
      </w:r>
      <w:bookmarkEnd w:id="614"/>
    </w:p>
    <w:p w14:paraId="76D36F8A" w14:textId="63E25CFD" w:rsidR="00752F63" w:rsidRPr="00EB2E7B" w:rsidRDefault="00775FC1"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Złożenie oświadczenia o anulowaniu tego powiadomienia po wskazanym terminie będzie nieskuteczne wobec </w:t>
      </w:r>
      <w:r w:rsidR="00703ACD" w:rsidRPr="00EB2E7B">
        <w:rPr>
          <w:rFonts w:asciiTheme="minorHAnsi" w:hAnsiTheme="minorHAnsi" w:cstheme="minorHAnsi"/>
          <w:sz w:val="20"/>
          <w:szCs w:val="20"/>
        </w:rPr>
        <w:t>ACPRO</w:t>
      </w:r>
      <w:r w:rsidRPr="00EB2E7B">
        <w:rPr>
          <w:rFonts w:asciiTheme="minorHAnsi" w:hAnsiTheme="minorHAnsi" w:cstheme="minorHAnsi"/>
          <w:sz w:val="20"/>
          <w:szCs w:val="20"/>
        </w:rPr>
        <w:t>.</w:t>
      </w:r>
    </w:p>
    <w:p w14:paraId="1C0AA50E" w14:textId="27B29EC6" w:rsidR="00106E08" w:rsidRPr="00EB2E7B" w:rsidRDefault="00106E08" w:rsidP="009A58F4">
      <w:pPr>
        <w:ind w:left="1134" w:firstLine="0"/>
        <w:rPr>
          <w:rFonts w:asciiTheme="minorHAnsi" w:hAnsiTheme="minorHAnsi" w:cstheme="minorHAnsi"/>
          <w:sz w:val="20"/>
          <w:szCs w:val="20"/>
        </w:rPr>
      </w:pPr>
      <w:r w:rsidRPr="00EB2E7B">
        <w:rPr>
          <w:rFonts w:asciiTheme="minorHAnsi" w:hAnsiTheme="minorHAnsi" w:cstheme="minorHAnsi"/>
          <w:sz w:val="20"/>
          <w:szCs w:val="20"/>
        </w:rPr>
        <w:t>Sprzedawca, informuje URD – w imieniu którego złożył oświadczenie o anulowaniu tego powiadomienia i cofnięciu wszystkich oświadczeń złożonych przez niego w</w:t>
      </w:r>
      <w:r w:rsidR="009E7DA1" w:rsidRPr="00EB2E7B">
        <w:rPr>
          <w:rFonts w:asciiTheme="minorHAnsi" w:hAnsiTheme="minorHAnsi" w:cstheme="minorHAnsi"/>
          <w:sz w:val="20"/>
          <w:szCs w:val="20"/>
        </w:rPr>
        <w:t> </w:t>
      </w:r>
      <w:r w:rsidRPr="00EB2E7B">
        <w:rPr>
          <w:rFonts w:asciiTheme="minorHAnsi" w:hAnsiTheme="minorHAnsi" w:cstheme="minorHAnsi"/>
          <w:sz w:val="20"/>
          <w:szCs w:val="20"/>
        </w:rPr>
        <w:t xml:space="preserve">imieniu URD w ramach procesu zmiany sprzedawcy - o anulowaniu powiadomienia, o którym mowa w pkt. </w:t>
      </w:r>
      <w:r w:rsidR="00244AD0" w:rsidRPr="00EB2E7B">
        <w:rPr>
          <w:rFonts w:asciiTheme="minorHAnsi" w:hAnsiTheme="minorHAnsi" w:cstheme="minorHAnsi"/>
          <w:sz w:val="20"/>
          <w:szCs w:val="20"/>
        </w:rPr>
        <w:fldChar w:fldCharType="begin"/>
      </w:r>
      <w:r w:rsidR="00244AD0" w:rsidRPr="00EB2E7B">
        <w:rPr>
          <w:rFonts w:asciiTheme="minorHAnsi" w:hAnsiTheme="minorHAnsi" w:cstheme="minorHAnsi"/>
          <w:sz w:val="20"/>
          <w:szCs w:val="20"/>
        </w:rPr>
        <w:instrText xml:space="preserve"> REF _Ref183180640 \w \h  \* MERGEFORMAT </w:instrText>
      </w:r>
      <w:r w:rsidR="00244AD0" w:rsidRPr="00EB2E7B">
        <w:rPr>
          <w:rFonts w:asciiTheme="minorHAnsi" w:hAnsiTheme="minorHAnsi" w:cstheme="minorHAnsi"/>
          <w:sz w:val="20"/>
          <w:szCs w:val="20"/>
        </w:rPr>
      </w:r>
      <w:r w:rsidR="00244AD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244AD0"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71A09ACE" w14:textId="336A2B52" w:rsidR="00106E08" w:rsidRPr="00EB2E7B" w:rsidRDefault="00106E08"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przypadku anulowania przez sprzedawcę powiadomienia zgodnie z pkt. </w:t>
      </w:r>
      <w:r w:rsidR="00477CEE" w:rsidRPr="00EB2E7B">
        <w:rPr>
          <w:rFonts w:asciiTheme="minorHAnsi" w:hAnsiTheme="minorHAnsi" w:cstheme="minorHAnsi"/>
          <w:sz w:val="20"/>
          <w:szCs w:val="20"/>
        </w:rPr>
        <w:fldChar w:fldCharType="begin"/>
      </w:r>
      <w:r w:rsidR="00477CEE" w:rsidRPr="00EB2E7B">
        <w:rPr>
          <w:rFonts w:asciiTheme="minorHAnsi" w:hAnsiTheme="minorHAnsi" w:cstheme="minorHAnsi"/>
          <w:sz w:val="20"/>
          <w:szCs w:val="20"/>
        </w:rPr>
        <w:instrText xml:space="preserve"> REF _Ref190116304 \w \h  \* MERGEFORMAT </w:instrText>
      </w:r>
      <w:r w:rsidR="00477CEE" w:rsidRPr="00EB2E7B">
        <w:rPr>
          <w:rFonts w:asciiTheme="minorHAnsi" w:hAnsiTheme="minorHAnsi" w:cstheme="minorHAnsi"/>
          <w:sz w:val="20"/>
          <w:szCs w:val="20"/>
        </w:rPr>
      </w:r>
      <w:r w:rsidR="00477CE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D.2.10</w:t>
      </w:r>
      <w:r w:rsidR="00477CEE"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71C8D7C5" w14:textId="00B0AD67" w:rsidR="00106E08" w:rsidRPr="00EB2E7B" w:rsidRDefault="00CD74DC" w:rsidP="00AD6251">
      <w:pPr>
        <w:pStyle w:val="Akapitzlist"/>
        <w:numPr>
          <w:ilvl w:val="0"/>
          <w:numId w:val="39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lastRenderedPageBreak/>
        <w:t>dla URD, który posiada zawartą rezerwową umowę kompleksową z</w:t>
      </w:r>
      <w:r w:rsidR="009E7DA1" w:rsidRPr="00EB2E7B">
        <w:rPr>
          <w:rFonts w:asciiTheme="minorHAnsi" w:hAnsiTheme="minorHAnsi" w:cstheme="minorHAnsi"/>
          <w:sz w:val="20"/>
          <w:szCs w:val="20"/>
        </w:rPr>
        <w:t> </w:t>
      </w:r>
      <w:r w:rsidRPr="00EB2E7B">
        <w:rPr>
          <w:rFonts w:asciiTheme="minorHAnsi" w:hAnsiTheme="minorHAnsi" w:cstheme="minorHAnsi"/>
          <w:sz w:val="20"/>
          <w:szCs w:val="20"/>
        </w:rPr>
        <w:t xml:space="preserve">dotychczasowym sprzedawcą, </w:t>
      </w:r>
      <w:r w:rsidR="00703ACD"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będzie kontynuował realizację rezerwowej umowy kompleksowej, a jeżeli sprzedawca poinformował</w:t>
      </w:r>
      <w:r w:rsidR="00703ACD"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o dacie rozwiązania rezerwowej umowy kompleksowej zgodnie z pkt. </w:t>
      </w:r>
      <w:r w:rsidR="00336F71" w:rsidRPr="00EB2E7B">
        <w:rPr>
          <w:rFonts w:asciiTheme="minorHAnsi" w:hAnsiTheme="minorHAnsi" w:cstheme="minorHAnsi"/>
          <w:sz w:val="20"/>
          <w:szCs w:val="20"/>
        </w:rPr>
        <w:fldChar w:fldCharType="begin"/>
      </w:r>
      <w:r w:rsidR="00336F71" w:rsidRPr="00EB2E7B">
        <w:rPr>
          <w:rFonts w:asciiTheme="minorHAnsi" w:hAnsiTheme="minorHAnsi" w:cstheme="minorHAnsi"/>
          <w:sz w:val="20"/>
          <w:szCs w:val="20"/>
        </w:rPr>
        <w:instrText xml:space="preserve"> REF _Ref182429462 \w \h  \* MERGEFORMAT </w:instrText>
      </w:r>
      <w:r w:rsidR="00336F71" w:rsidRPr="00EB2E7B">
        <w:rPr>
          <w:rFonts w:asciiTheme="minorHAnsi" w:hAnsiTheme="minorHAnsi" w:cstheme="minorHAnsi"/>
          <w:sz w:val="20"/>
          <w:szCs w:val="20"/>
        </w:rPr>
      </w:r>
      <w:r w:rsidR="00336F7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D.2.7</w:t>
      </w:r>
      <w:r w:rsidR="00336F7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zaprzestaje dostarczania energii elektrycznej;</w:t>
      </w:r>
    </w:p>
    <w:p w14:paraId="4635DA66" w14:textId="7498713F" w:rsidR="00106E08" w:rsidRPr="00EB2E7B" w:rsidRDefault="00E573CE" w:rsidP="00AD6251">
      <w:pPr>
        <w:pStyle w:val="Akapitzlist"/>
        <w:numPr>
          <w:ilvl w:val="0"/>
          <w:numId w:val="39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dla URD nie będącego odbiorcą w gospodarstwie domowym, który posiada zawartą umowę kompleksową z dotychczasowym sprzedawcą,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będzie kontynuował realizację dotychczasowej umowy kompleksowej, a jeżeli sprzedawca poinformował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o</w:t>
      </w:r>
      <w:r w:rsidR="009E7DA1" w:rsidRPr="00EB2E7B">
        <w:rPr>
          <w:rFonts w:asciiTheme="minorHAnsi" w:hAnsiTheme="minorHAnsi" w:cstheme="minorHAnsi"/>
          <w:sz w:val="20"/>
          <w:szCs w:val="20"/>
        </w:rPr>
        <w:t> </w:t>
      </w:r>
      <w:r w:rsidRPr="00EB2E7B">
        <w:rPr>
          <w:rFonts w:asciiTheme="minorHAnsi" w:hAnsiTheme="minorHAnsi" w:cstheme="minorHAnsi"/>
          <w:sz w:val="20"/>
          <w:szCs w:val="20"/>
        </w:rPr>
        <w:t xml:space="preserve">dacie rozwiązania lub wygaśnięcia umowy kompleksowej zgodnie z pkt </w:t>
      </w:r>
      <w:r w:rsidR="00336F71" w:rsidRPr="00EB2E7B">
        <w:rPr>
          <w:rFonts w:asciiTheme="minorHAnsi" w:hAnsiTheme="minorHAnsi" w:cstheme="minorHAnsi"/>
          <w:sz w:val="20"/>
          <w:szCs w:val="20"/>
        </w:rPr>
        <w:fldChar w:fldCharType="begin"/>
      </w:r>
      <w:r w:rsidR="00336F71" w:rsidRPr="00EB2E7B">
        <w:rPr>
          <w:rFonts w:asciiTheme="minorHAnsi" w:hAnsiTheme="minorHAnsi" w:cstheme="minorHAnsi"/>
          <w:sz w:val="20"/>
          <w:szCs w:val="20"/>
        </w:rPr>
        <w:instrText xml:space="preserve"> REF _Ref182429462 \w \h  \* MERGEFORMAT </w:instrText>
      </w:r>
      <w:r w:rsidR="00336F71" w:rsidRPr="00EB2E7B">
        <w:rPr>
          <w:rFonts w:asciiTheme="minorHAnsi" w:hAnsiTheme="minorHAnsi" w:cstheme="minorHAnsi"/>
          <w:sz w:val="20"/>
          <w:szCs w:val="20"/>
        </w:rPr>
      </w:r>
      <w:r w:rsidR="00336F7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D.2.7</w:t>
      </w:r>
      <w:r w:rsidR="00336F7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703ACD"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zawrze zgodnie z pkt </w:t>
      </w:r>
      <w:r w:rsidR="002366E4" w:rsidRPr="00EB2E7B">
        <w:rPr>
          <w:rFonts w:asciiTheme="minorHAnsi" w:hAnsiTheme="minorHAnsi" w:cstheme="minorHAnsi"/>
          <w:sz w:val="20"/>
          <w:szCs w:val="20"/>
        </w:rPr>
        <w:fldChar w:fldCharType="begin"/>
      </w:r>
      <w:r w:rsidR="002366E4" w:rsidRPr="00EB2E7B">
        <w:rPr>
          <w:rFonts w:asciiTheme="minorHAnsi" w:hAnsiTheme="minorHAnsi" w:cstheme="minorHAnsi"/>
          <w:sz w:val="20"/>
          <w:szCs w:val="20"/>
        </w:rPr>
        <w:instrText xml:space="preserve"> REF _Ref190119102 \w \h  \* MERGEFORMAT </w:instrText>
      </w:r>
      <w:r w:rsidR="002366E4" w:rsidRPr="00EB2E7B">
        <w:rPr>
          <w:rFonts w:asciiTheme="minorHAnsi" w:hAnsiTheme="minorHAnsi" w:cstheme="minorHAnsi"/>
          <w:sz w:val="20"/>
          <w:szCs w:val="20"/>
        </w:rPr>
      </w:r>
      <w:r w:rsidR="002366E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A.7</w:t>
      </w:r>
      <w:r w:rsidR="002366E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rezerwową umowę kompleksową ze sprzedawcą rezerwowym albo umowę kompleksową ze sprzedawcą z urzędu;</w:t>
      </w:r>
    </w:p>
    <w:p w14:paraId="24CB775F" w14:textId="5D6FC921" w:rsidR="00106E08" w:rsidRPr="00EB2E7B" w:rsidRDefault="00E573CE" w:rsidP="00AD6251">
      <w:pPr>
        <w:pStyle w:val="Akapitzlist"/>
        <w:numPr>
          <w:ilvl w:val="0"/>
          <w:numId w:val="39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dla URD nie będącego URD w gospodarstwie domowym posiadającego zawartą umowę sprzedaży z dotychczasowym sprzedawcą, </w:t>
      </w:r>
      <w:r w:rsidR="00703ACD"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będzie kontynuował realizacje dotychczasowej umowy sprzedaży, a</w:t>
      </w:r>
      <w:r w:rsidR="009E7DA1" w:rsidRPr="00EB2E7B">
        <w:rPr>
          <w:rFonts w:asciiTheme="minorHAnsi" w:hAnsiTheme="minorHAnsi" w:cstheme="minorHAnsi"/>
          <w:sz w:val="20"/>
          <w:szCs w:val="20"/>
        </w:rPr>
        <w:t> </w:t>
      </w:r>
      <w:r w:rsidRPr="00EB2E7B">
        <w:rPr>
          <w:rFonts w:asciiTheme="minorHAnsi" w:hAnsiTheme="minorHAnsi" w:cstheme="minorHAnsi"/>
          <w:sz w:val="20"/>
          <w:szCs w:val="20"/>
        </w:rPr>
        <w:t xml:space="preserve">jeżeli sprzedawca poinformował o rozwiązaniu lub wygaśnięciu umowy sprzedaży zgodnie z pkt </w:t>
      </w:r>
      <w:r w:rsidR="002366E4" w:rsidRPr="00EB2E7B">
        <w:rPr>
          <w:rFonts w:asciiTheme="minorHAnsi" w:hAnsiTheme="minorHAnsi" w:cstheme="minorHAnsi"/>
          <w:sz w:val="20"/>
          <w:szCs w:val="20"/>
        </w:rPr>
        <w:fldChar w:fldCharType="begin"/>
      </w:r>
      <w:r w:rsidR="002366E4" w:rsidRPr="00EB2E7B">
        <w:rPr>
          <w:rFonts w:asciiTheme="minorHAnsi" w:hAnsiTheme="minorHAnsi" w:cstheme="minorHAnsi"/>
          <w:sz w:val="20"/>
          <w:szCs w:val="20"/>
        </w:rPr>
        <w:instrText xml:space="preserve"> REF _Ref182429462 \w \h  \* MERGEFORMAT </w:instrText>
      </w:r>
      <w:r w:rsidR="002366E4" w:rsidRPr="00EB2E7B">
        <w:rPr>
          <w:rFonts w:asciiTheme="minorHAnsi" w:hAnsiTheme="minorHAnsi" w:cstheme="minorHAnsi"/>
          <w:sz w:val="20"/>
          <w:szCs w:val="20"/>
        </w:rPr>
      </w:r>
      <w:r w:rsidR="002366E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D.2.7</w:t>
      </w:r>
      <w:r w:rsidR="002366E4" w:rsidRPr="00EB2E7B">
        <w:rPr>
          <w:rFonts w:asciiTheme="minorHAnsi" w:hAnsiTheme="minorHAnsi" w:cstheme="minorHAnsi"/>
          <w:sz w:val="20"/>
          <w:szCs w:val="20"/>
        </w:rPr>
        <w:fldChar w:fldCharType="end"/>
      </w:r>
      <w:r w:rsidR="002366E4" w:rsidRPr="00EB2E7B">
        <w:rPr>
          <w:rFonts w:asciiTheme="minorHAnsi" w:hAnsiTheme="minorHAnsi" w:cstheme="minorHAnsi"/>
          <w:sz w:val="20"/>
          <w:szCs w:val="20"/>
        </w:rPr>
        <w:t>.</w:t>
      </w:r>
      <w:r w:rsidRPr="00EB2E7B">
        <w:rPr>
          <w:rFonts w:asciiTheme="minorHAnsi" w:hAnsiTheme="minorHAnsi" w:cstheme="minorHAnsi"/>
          <w:sz w:val="20"/>
          <w:szCs w:val="20"/>
        </w:rPr>
        <w:t xml:space="preserve"> -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zawrze zgodnie z pkt </w:t>
      </w:r>
      <w:r w:rsidR="00B72303" w:rsidRPr="00EB2E7B">
        <w:rPr>
          <w:rFonts w:asciiTheme="minorHAnsi" w:hAnsiTheme="minorHAnsi" w:cstheme="minorHAnsi"/>
          <w:sz w:val="20"/>
          <w:szCs w:val="20"/>
        </w:rPr>
        <w:fldChar w:fldCharType="begin"/>
      </w:r>
      <w:r w:rsidR="00B72303" w:rsidRPr="00EB2E7B">
        <w:rPr>
          <w:rFonts w:asciiTheme="minorHAnsi" w:hAnsiTheme="minorHAnsi" w:cstheme="minorHAnsi"/>
          <w:sz w:val="20"/>
          <w:szCs w:val="20"/>
        </w:rPr>
        <w:instrText xml:space="preserve"> REF _Ref190119102 \w \h  \* MERGEFORMAT </w:instrText>
      </w:r>
      <w:r w:rsidR="00B72303" w:rsidRPr="00EB2E7B">
        <w:rPr>
          <w:rFonts w:asciiTheme="minorHAnsi" w:hAnsiTheme="minorHAnsi" w:cstheme="minorHAnsi"/>
          <w:sz w:val="20"/>
          <w:szCs w:val="20"/>
        </w:rPr>
      </w:r>
      <w:r w:rsidR="00B7230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A.7</w:t>
      </w:r>
      <w:r w:rsidR="00B7230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umowę sprzedaży rezerwowej ze sprzedawcą rezerwowym albo umowę kompleksową ze sprzedawcą z urzędu;</w:t>
      </w:r>
    </w:p>
    <w:p w14:paraId="50B35129" w14:textId="7178F4F8" w:rsidR="00106E08" w:rsidRPr="00EB2E7B" w:rsidRDefault="00106E3F" w:rsidP="00AD6251">
      <w:pPr>
        <w:pStyle w:val="Akapitzlist"/>
        <w:numPr>
          <w:ilvl w:val="0"/>
          <w:numId w:val="39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dla URD posiadającego zawartą umowę sprzedaży rezerwowej z</w:t>
      </w:r>
      <w:r w:rsidR="009E7DA1" w:rsidRPr="00EB2E7B">
        <w:rPr>
          <w:rFonts w:asciiTheme="minorHAnsi" w:hAnsiTheme="minorHAnsi" w:cstheme="minorHAnsi"/>
          <w:sz w:val="20"/>
          <w:szCs w:val="20"/>
        </w:rPr>
        <w:t> </w:t>
      </w:r>
      <w:r w:rsidRPr="00EB2E7B">
        <w:rPr>
          <w:rFonts w:asciiTheme="minorHAnsi" w:hAnsiTheme="minorHAnsi" w:cstheme="minorHAnsi"/>
          <w:sz w:val="20"/>
          <w:szCs w:val="20"/>
        </w:rPr>
        <w:t>dotychczasowym sprzedawcą,</w:t>
      </w:r>
      <w:r w:rsidR="00703ACD" w:rsidRPr="00EB2E7B">
        <w:rPr>
          <w:rFonts w:asciiTheme="minorHAnsi" w:hAnsiTheme="minorHAnsi" w:cstheme="minorHAnsi"/>
          <w:sz w:val="20"/>
          <w:szCs w:val="20"/>
        </w:rPr>
        <w:t xml:space="preserve"> ACPRO</w:t>
      </w:r>
      <w:r w:rsidRPr="00EB2E7B">
        <w:rPr>
          <w:rFonts w:asciiTheme="minorHAnsi" w:hAnsiTheme="minorHAnsi" w:cstheme="minorHAnsi"/>
          <w:sz w:val="20"/>
          <w:szCs w:val="20"/>
        </w:rPr>
        <w:t xml:space="preserve"> będzie kontynuował umowę sprzedaży rezerwowej, a jeżeli sprzedawca poinformował o</w:t>
      </w:r>
      <w:r w:rsidR="009E7DA1" w:rsidRPr="00EB2E7B">
        <w:rPr>
          <w:rFonts w:asciiTheme="minorHAnsi" w:hAnsiTheme="minorHAnsi" w:cstheme="minorHAnsi"/>
          <w:sz w:val="20"/>
          <w:szCs w:val="20"/>
        </w:rPr>
        <w:t> </w:t>
      </w:r>
      <w:r w:rsidRPr="00EB2E7B">
        <w:rPr>
          <w:rFonts w:asciiTheme="minorHAnsi" w:hAnsiTheme="minorHAnsi" w:cstheme="minorHAnsi"/>
          <w:sz w:val="20"/>
          <w:szCs w:val="20"/>
        </w:rPr>
        <w:t xml:space="preserve">rozwiązaniu umowy sprzedaży rezerwowej zgodnie z pkt </w:t>
      </w:r>
      <w:r w:rsidR="00C52ED0" w:rsidRPr="00EB2E7B">
        <w:rPr>
          <w:rFonts w:asciiTheme="minorHAnsi" w:hAnsiTheme="minorHAnsi" w:cstheme="minorHAnsi"/>
          <w:sz w:val="20"/>
          <w:szCs w:val="20"/>
        </w:rPr>
        <w:fldChar w:fldCharType="begin"/>
      </w:r>
      <w:r w:rsidR="00C52ED0" w:rsidRPr="00EB2E7B">
        <w:rPr>
          <w:rFonts w:asciiTheme="minorHAnsi" w:hAnsiTheme="minorHAnsi" w:cstheme="minorHAnsi"/>
          <w:sz w:val="20"/>
          <w:szCs w:val="20"/>
        </w:rPr>
        <w:instrText xml:space="preserve"> REF _Ref182429462 \w \h  \* MERGEFORMAT </w:instrText>
      </w:r>
      <w:r w:rsidR="00C52ED0" w:rsidRPr="00EB2E7B">
        <w:rPr>
          <w:rFonts w:asciiTheme="minorHAnsi" w:hAnsiTheme="minorHAnsi" w:cstheme="minorHAnsi"/>
          <w:sz w:val="20"/>
          <w:szCs w:val="20"/>
        </w:rPr>
      </w:r>
      <w:r w:rsidR="00C52ED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D.2.7</w:t>
      </w:r>
      <w:r w:rsidR="00C52ED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t>
      </w:r>
      <w:r w:rsidR="00703ACD"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zaprzestaje dostarczania energii elektrycznej;</w:t>
      </w:r>
    </w:p>
    <w:p w14:paraId="1FE3A6D2" w14:textId="7FD6A246" w:rsidR="00416540" w:rsidRPr="00EB2E7B" w:rsidRDefault="009E7DA1" w:rsidP="00AD6251">
      <w:pPr>
        <w:pStyle w:val="Akapitzlist"/>
        <w:numPr>
          <w:ilvl w:val="0"/>
          <w:numId w:val="39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dla URD w </w:t>
      </w:r>
      <w:proofErr w:type="spellStart"/>
      <w:r w:rsidRPr="00EB2E7B">
        <w:rPr>
          <w:rFonts w:asciiTheme="minorHAnsi" w:hAnsiTheme="minorHAnsi" w:cstheme="minorHAnsi"/>
          <w:sz w:val="20"/>
          <w:szCs w:val="20"/>
        </w:rPr>
        <w:t>nowoprzyłączonym</w:t>
      </w:r>
      <w:proofErr w:type="spellEnd"/>
      <w:r w:rsidRPr="00EB2E7B">
        <w:rPr>
          <w:rFonts w:asciiTheme="minorHAnsi" w:hAnsiTheme="minorHAnsi" w:cstheme="minorHAnsi"/>
          <w:sz w:val="20"/>
          <w:szCs w:val="20"/>
        </w:rPr>
        <w:t xml:space="preserve"> PPE lub nowego URD w istniejącym PPE, </w:t>
      </w:r>
      <w:r w:rsidR="00703ACD" w:rsidRPr="00EB2E7B">
        <w:rPr>
          <w:rFonts w:asciiTheme="minorHAnsi" w:hAnsiTheme="minorHAnsi" w:cstheme="minorHAnsi"/>
          <w:sz w:val="20"/>
          <w:szCs w:val="20"/>
        </w:rPr>
        <w:t xml:space="preserve"> ACPRO </w:t>
      </w:r>
      <w:r w:rsidRPr="00EB2E7B">
        <w:rPr>
          <w:rFonts w:asciiTheme="minorHAnsi" w:hAnsiTheme="minorHAnsi" w:cstheme="minorHAnsi"/>
          <w:sz w:val="20"/>
          <w:szCs w:val="20"/>
        </w:rPr>
        <w:t>nie świadczy usługi dystrybucji.</w:t>
      </w:r>
    </w:p>
    <w:p w14:paraId="62735A31" w14:textId="51F742E4" w:rsidR="00F701BF" w:rsidRPr="00EB2E7B" w:rsidRDefault="00F701BF" w:rsidP="004D1C36">
      <w:pPr>
        <w:pStyle w:val="ANagwek2"/>
        <w:rPr>
          <w:rFonts w:asciiTheme="minorHAnsi" w:hAnsiTheme="minorHAnsi" w:cstheme="minorHAnsi"/>
          <w:sz w:val="20"/>
          <w:szCs w:val="20"/>
        </w:rPr>
      </w:pPr>
      <w:bookmarkStart w:id="615" w:name="_Ref189087240"/>
      <w:bookmarkStart w:id="616" w:name="_Toc239333405"/>
      <w:r w:rsidRPr="00EB2E7B">
        <w:rPr>
          <w:rFonts w:asciiTheme="minorHAnsi" w:hAnsiTheme="minorHAnsi" w:cstheme="minorHAnsi"/>
          <w:sz w:val="20"/>
          <w:szCs w:val="20"/>
        </w:rPr>
        <w:t xml:space="preserve">PROCEDURA ZMIANY SPRZEDAWCY PRZEZ </w:t>
      </w:r>
      <w:r w:rsidR="00EB0BFC" w:rsidRPr="00EB2E7B">
        <w:rPr>
          <w:rFonts w:asciiTheme="minorHAnsi" w:hAnsiTheme="minorHAnsi" w:cstheme="minorHAnsi"/>
          <w:sz w:val="20"/>
          <w:szCs w:val="20"/>
        </w:rPr>
        <w:t xml:space="preserve"> URD</w:t>
      </w:r>
      <w:r w:rsidR="00EB0BFC" w:rsidRPr="00EB2E7B">
        <w:rPr>
          <w:rFonts w:asciiTheme="minorHAnsi" w:hAnsiTheme="minorHAnsi" w:cstheme="minorHAnsi"/>
          <w:sz w:val="20"/>
          <w:szCs w:val="20"/>
          <w:vertAlign w:val="subscript"/>
        </w:rPr>
        <w:t>O</w:t>
      </w:r>
      <w:bookmarkEnd w:id="615"/>
      <w:bookmarkEnd w:id="616"/>
      <w:r w:rsidR="00EB0BFC" w:rsidRPr="00EB2E7B">
        <w:rPr>
          <w:rFonts w:asciiTheme="minorHAnsi" w:hAnsiTheme="minorHAnsi" w:cstheme="minorHAnsi"/>
          <w:sz w:val="20"/>
          <w:szCs w:val="20"/>
        </w:rPr>
        <w:t xml:space="preserve"> </w:t>
      </w:r>
    </w:p>
    <w:p w14:paraId="08B0175D" w14:textId="6EF54A26" w:rsidR="008078D6" w:rsidRPr="00EB2E7B" w:rsidRDefault="008078D6" w:rsidP="004854C6">
      <w:pPr>
        <w:pStyle w:val="ANagwek3"/>
        <w:rPr>
          <w:rFonts w:asciiTheme="minorHAnsi" w:hAnsiTheme="minorHAnsi" w:cstheme="minorHAnsi"/>
          <w:sz w:val="20"/>
          <w:szCs w:val="20"/>
        </w:rPr>
      </w:pPr>
      <w:bookmarkStart w:id="617" w:name="_Ref190119778"/>
      <w:r w:rsidRPr="00EB2E7B">
        <w:rPr>
          <w:rFonts w:asciiTheme="minorHAnsi" w:hAnsiTheme="minorHAnsi" w:cstheme="minorHAnsi"/>
          <w:sz w:val="20"/>
          <w:szCs w:val="20"/>
        </w:rPr>
        <w:t>URD dokonuje wyboru sprzedawcy i zawiera z nim umowę sprzedaży albo umowę kompleksową</w:t>
      </w:r>
      <w:r w:rsidR="00F8743F" w:rsidRPr="00EB2E7B">
        <w:rPr>
          <w:rFonts w:asciiTheme="minorHAnsi" w:hAnsiTheme="minorHAnsi" w:cstheme="minorHAnsi"/>
          <w:sz w:val="20"/>
          <w:szCs w:val="20"/>
        </w:rPr>
        <w:t>.</w:t>
      </w:r>
      <w:bookmarkEnd w:id="617"/>
      <w:r w:rsidR="00B22A75" w:rsidRPr="00EB2E7B">
        <w:rPr>
          <w:rFonts w:asciiTheme="minorHAnsi" w:hAnsiTheme="minorHAnsi" w:cstheme="minorHAnsi"/>
          <w:sz w:val="20"/>
          <w:szCs w:val="20"/>
        </w:rPr>
        <w:t xml:space="preserve"> </w:t>
      </w:r>
    </w:p>
    <w:p w14:paraId="38D783C0"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 dnia przystąpienia ACPRO do CSIRE — URD dokonuje wyboru sprzedawcy i zawiera z nim umowę sprzedaży albo umowę kompleksową, przy czym URD w gospodarstwie domowym może zawierać ze sprzedawcą wyłącznie umowę kompleksową, z zastrzeżeniem postanowień pkt A.3.16.</w:t>
      </w:r>
    </w:p>
    <w:p w14:paraId="3EE61CF7"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Umowa sprzedaży albo umowa kompleksowa zawierana jest przed rozwiązaniem umowy sprzedaży albo umowy kompleksowej zawartej przez tego URD z dotychczasowym sprzedawcą.</w:t>
      </w:r>
    </w:p>
    <w:p w14:paraId="4C2C8491" w14:textId="2901C712" w:rsidR="00A150FE" w:rsidRPr="00EB2E7B" w:rsidRDefault="00A150FE" w:rsidP="004854C6">
      <w:pPr>
        <w:pStyle w:val="ANagwek3"/>
        <w:rPr>
          <w:rFonts w:asciiTheme="minorHAnsi" w:hAnsiTheme="minorHAnsi" w:cstheme="minorHAnsi"/>
          <w:sz w:val="20"/>
          <w:szCs w:val="20"/>
        </w:rPr>
      </w:pP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lub upoważniony przez niego nowy sprzedawca energii elektrycznej wypowiada umowę sprzedaży albo umowę kompleksową zawartą z dotychczasowym sprzedawcą energii elektrycznej.</w:t>
      </w:r>
    </w:p>
    <w:p w14:paraId="27ADFE03" w14:textId="7E1E2910" w:rsidR="00FA0D70" w:rsidRPr="00EB2E7B" w:rsidRDefault="00FA0D70" w:rsidP="00FA0D70">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Umowa sprzedaży albo umowa kompleksowa zawierana jest przed rozwiązaniem umowy sprzedaży albo umowy kompleksowej, zawartej przez tego </w:t>
      </w:r>
      <w:proofErr w:type="spellStart"/>
      <w:r w:rsidRPr="00EB2E7B">
        <w:rPr>
          <w:rFonts w:asciiTheme="minorHAnsi" w:hAnsiTheme="minorHAnsi" w:cstheme="minorHAnsi"/>
          <w:sz w:val="20"/>
          <w:szCs w:val="20"/>
        </w:rPr>
        <w:t>URD</w:t>
      </w:r>
      <w:r w:rsidR="00846C0E" w:rsidRPr="00EB2E7B">
        <w:rPr>
          <w:rFonts w:asciiTheme="minorHAnsi" w:hAnsiTheme="minorHAnsi" w:cstheme="minorHAnsi"/>
          <w:sz w:val="20"/>
          <w:szCs w:val="20"/>
        </w:rPr>
        <w:t>o</w:t>
      </w:r>
      <w:proofErr w:type="spellEnd"/>
      <w:r w:rsidRPr="00EB2E7B">
        <w:rPr>
          <w:rFonts w:asciiTheme="minorHAnsi" w:hAnsiTheme="minorHAnsi" w:cstheme="minorHAnsi"/>
          <w:sz w:val="20"/>
          <w:szCs w:val="20"/>
        </w:rPr>
        <w:t xml:space="preserve"> z dotychczasowym sprzedawcą.</w:t>
      </w:r>
    </w:p>
    <w:p w14:paraId="4FDE2F9E" w14:textId="5A78DBAB" w:rsidR="00473957" w:rsidRPr="00EB2E7B" w:rsidRDefault="00D876CC"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Warunkiem koniecznym umożliwiającym zmianę sprzedawcy przez URD jest spełnienie wymagań określonych w pkt </w:t>
      </w:r>
      <w:r w:rsidR="007D1146" w:rsidRPr="00EB2E7B">
        <w:rPr>
          <w:rFonts w:asciiTheme="minorHAnsi" w:hAnsiTheme="minorHAnsi" w:cstheme="minorHAnsi"/>
          <w:sz w:val="20"/>
          <w:szCs w:val="20"/>
        </w:rPr>
        <w:fldChar w:fldCharType="begin"/>
      </w:r>
      <w:r w:rsidR="007D1146" w:rsidRPr="00EB2E7B">
        <w:rPr>
          <w:rFonts w:asciiTheme="minorHAnsi" w:hAnsiTheme="minorHAnsi" w:cstheme="minorHAnsi"/>
          <w:sz w:val="20"/>
          <w:szCs w:val="20"/>
        </w:rPr>
        <w:instrText xml:space="preserve"> REF _Ref75765387 \r \h </w:instrText>
      </w:r>
      <w:r w:rsidR="0013201D" w:rsidRPr="00EB2E7B">
        <w:rPr>
          <w:rFonts w:asciiTheme="minorHAnsi" w:hAnsiTheme="minorHAnsi" w:cstheme="minorHAnsi"/>
          <w:sz w:val="20"/>
          <w:szCs w:val="20"/>
        </w:rPr>
        <w:instrText xml:space="preserve"> \* MERGEFORMAT </w:instrText>
      </w:r>
      <w:r w:rsidR="007D1146" w:rsidRPr="00EB2E7B">
        <w:rPr>
          <w:rFonts w:asciiTheme="minorHAnsi" w:hAnsiTheme="minorHAnsi" w:cstheme="minorHAnsi"/>
          <w:sz w:val="20"/>
          <w:szCs w:val="20"/>
        </w:rPr>
      </w:r>
      <w:r w:rsidR="007D114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D.1</w:t>
      </w:r>
      <w:r w:rsidR="007D11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oraz zawarcie</w:t>
      </w:r>
      <w:r w:rsidR="0077111A" w:rsidRPr="00EB2E7B">
        <w:rPr>
          <w:rFonts w:asciiTheme="minorHAnsi" w:hAnsiTheme="minorHAnsi" w:cstheme="minorHAnsi"/>
          <w:sz w:val="20"/>
          <w:szCs w:val="20"/>
        </w:rPr>
        <w:t>:</w:t>
      </w:r>
    </w:p>
    <w:p w14:paraId="19D5A089" w14:textId="0B9B4547" w:rsidR="00473957" w:rsidRPr="00EB2E7B" w:rsidRDefault="00D876CC" w:rsidP="00FA0D70">
      <w:pPr>
        <w:pStyle w:val="1przed"/>
        <w:numPr>
          <w:ilvl w:val="0"/>
          <w:numId w:val="290"/>
        </w:numPr>
        <w:ind w:left="1701" w:hanging="567"/>
        <w:rPr>
          <w:rFonts w:asciiTheme="minorHAnsi" w:hAnsiTheme="minorHAnsi" w:cstheme="minorHAnsi"/>
          <w:sz w:val="20"/>
          <w:szCs w:val="20"/>
        </w:rPr>
      </w:pPr>
      <w:r w:rsidRPr="00EB2E7B">
        <w:rPr>
          <w:rFonts w:asciiTheme="minorHAnsi" w:hAnsiTheme="minorHAnsi" w:cstheme="minorHAnsi"/>
          <w:sz w:val="20"/>
          <w:szCs w:val="20"/>
        </w:rPr>
        <w:t>umowy dystrybucji pomiędzy ACPRO, a URD nie będącym URD w gospodarstwie domowym,</w:t>
      </w:r>
      <w:r w:rsidR="007F04CE" w:rsidRPr="00EB2E7B">
        <w:rPr>
          <w:rFonts w:asciiTheme="minorHAnsi" w:hAnsiTheme="minorHAnsi" w:cstheme="minorHAnsi"/>
          <w:sz w:val="20"/>
          <w:szCs w:val="20"/>
        </w:rPr>
        <w:t xml:space="preserve"> </w:t>
      </w:r>
      <w:r w:rsidRPr="00EB2E7B">
        <w:rPr>
          <w:rFonts w:asciiTheme="minorHAnsi" w:hAnsiTheme="minorHAnsi" w:cstheme="minorHAnsi"/>
          <w:sz w:val="20"/>
          <w:szCs w:val="20"/>
        </w:rPr>
        <w:t>w przypadku zawarcia przez tego URD umowy sprzedaży, albo</w:t>
      </w:r>
    </w:p>
    <w:p w14:paraId="337C5CF8" w14:textId="092DFF68" w:rsidR="00473957" w:rsidRPr="00EB2E7B" w:rsidRDefault="00D876CC" w:rsidP="00FA0D70">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umowy kompleksowej pomiędzy sprzedawcą a URD.</w:t>
      </w:r>
    </w:p>
    <w:p w14:paraId="699DC54E" w14:textId="581E9B3C" w:rsidR="001E70E8" w:rsidRPr="00EB2E7B" w:rsidRDefault="001E70E8"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dniu złożenia powiadomienia, o którym mowa w pkt </w:t>
      </w:r>
      <w:r w:rsidR="0013201D" w:rsidRPr="00EB2E7B">
        <w:rPr>
          <w:rFonts w:asciiTheme="minorHAnsi" w:hAnsiTheme="minorHAnsi" w:cstheme="minorHAnsi"/>
          <w:sz w:val="20"/>
          <w:szCs w:val="20"/>
        </w:rPr>
        <w:fldChar w:fldCharType="begin"/>
      </w:r>
      <w:r w:rsidR="0013201D" w:rsidRPr="00EB2E7B">
        <w:rPr>
          <w:rFonts w:asciiTheme="minorHAnsi" w:hAnsiTheme="minorHAnsi" w:cstheme="minorHAnsi"/>
          <w:sz w:val="20"/>
          <w:szCs w:val="20"/>
        </w:rPr>
        <w:instrText xml:space="preserve"> REF _Ref183180640 \w \h </w:instrText>
      </w:r>
      <w:r w:rsidR="0072770A" w:rsidRPr="00EB2E7B">
        <w:rPr>
          <w:rFonts w:asciiTheme="minorHAnsi" w:hAnsiTheme="minorHAnsi" w:cstheme="minorHAnsi"/>
          <w:sz w:val="20"/>
          <w:szCs w:val="20"/>
        </w:rPr>
        <w:instrText xml:space="preserve"> \* MERGEFORMAT </w:instrText>
      </w:r>
      <w:r w:rsidR="0013201D" w:rsidRPr="00EB2E7B">
        <w:rPr>
          <w:rFonts w:asciiTheme="minorHAnsi" w:hAnsiTheme="minorHAnsi" w:cstheme="minorHAnsi"/>
          <w:sz w:val="20"/>
          <w:szCs w:val="20"/>
        </w:rPr>
      </w:r>
      <w:r w:rsidR="0013201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13201D"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URD powinien mieć zawartą umowę dystrybucji z </w:t>
      </w:r>
      <w:r w:rsidR="00B079E5"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albo umowę kompleksową z nowym sprzedawcą.</w:t>
      </w:r>
    </w:p>
    <w:p w14:paraId="69C1D768" w14:textId="395F19A2" w:rsidR="002E774C" w:rsidRPr="00EB2E7B" w:rsidRDefault="002E774C" w:rsidP="004854C6">
      <w:pPr>
        <w:pStyle w:val="ANagwek3"/>
        <w:rPr>
          <w:rFonts w:asciiTheme="minorHAnsi" w:hAnsiTheme="minorHAnsi" w:cstheme="minorHAnsi"/>
          <w:sz w:val="20"/>
          <w:szCs w:val="20"/>
        </w:rPr>
      </w:pPr>
      <w:r w:rsidRPr="00EB2E7B">
        <w:rPr>
          <w:rFonts w:asciiTheme="minorHAnsi" w:hAnsiTheme="minorHAnsi" w:cstheme="minorHAnsi"/>
          <w:sz w:val="20"/>
          <w:szCs w:val="20"/>
        </w:rPr>
        <w:lastRenderedPageBreak/>
        <w:t>Zmiana sprzedawcy i rozpoczęcie sprzedaży energii elektrycznej albo świadczenia usługi kompleksowej przez nowego sprzedawcę następuje w terminie nie później niż 21 dni kalendarzowych od dnia dokonania powiadomienia, o którym mowa w pkt</w:t>
      </w:r>
      <w:r w:rsidR="0072770A" w:rsidRPr="00EB2E7B">
        <w:rPr>
          <w:rFonts w:asciiTheme="minorHAnsi" w:hAnsiTheme="minorHAnsi" w:cstheme="minorHAnsi"/>
          <w:sz w:val="20"/>
          <w:szCs w:val="20"/>
        </w:rPr>
        <w:t xml:space="preserve"> </w:t>
      </w:r>
      <w:r w:rsidR="0072770A" w:rsidRPr="00EB2E7B">
        <w:rPr>
          <w:rFonts w:asciiTheme="minorHAnsi" w:hAnsiTheme="minorHAnsi" w:cstheme="minorHAnsi"/>
          <w:sz w:val="20"/>
          <w:szCs w:val="20"/>
        </w:rPr>
        <w:fldChar w:fldCharType="begin"/>
      </w:r>
      <w:r w:rsidR="0072770A" w:rsidRPr="00EB2E7B">
        <w:rPr>
          <w:rFonts w:asciiTheme="minorHAnsi" w:hAnsiTheme="minorHAnsi" w:cstheme="minorHAnsi"/>
          <w:sz w:val="20"/>
          <w:szCs w:val="20"/>
        </w:rPr>
        <w:instrText xml:space="preserve"> REF _Ref183180640 \w \h  \* MERGEFORMAT </w:instrText>
      </w:r>
      <w:r w:rsidR="0072770A" w:rsidRPr="00EB2E7B">
        <w:rPr>
          <w:rFonts w:asciiTheme="minorHAnsi" w:hAnsiTheme="minorHAnsi" w:cstheme="minorHAnsi"/>
          <w:sz w:val="20"/>
          <w:szCs w:val="20"/>
        </w:rPr>
      </w:r>
      <w:r w:rsidR="0072770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72770A" w:rsidRPr="00EB2E7B">
        <w:rPr>
          <w:rFonts w:asciiTheme="minorHAnsi" w:hAnsiTheme="minorHAnsi" w:cstheme="minorHAnsi"/>
          <w:sz w:val="20"/>
          <w:szCs w:val="20"/>
        </w:rPr>
        <w:fldChar w:fldCharType="end"/>
      </w:r>
      <w:r w:rsidR="0072770A" w:rsidRPr="00EB2E7B">
        <w:rPr>
          <w:rFonts w:asciiTheme="minorHAnsi" w:hAnsiTheme="minorHAnsi" w:cstheme="minorHAnsi"/>
          <w:sz w:val="20"/>
          <w:szCs w:val="20"/>
        </w:rPr>
        <w:t>.</w:t>
      </w:r>
      <w:r w:rsidRPr="00EB2E7B">
        <w:rPr>
          <w:rFonts w:asciiTheme="minorHAnsi" w:hAnsiTheme="minorHAnsi" w:cstheme="minorHAnsi"/>
          <w:sz w:val="20"/>
          <w:szCs w:val="20"/>
        </w:rPr>
        <w:t xml:space="preserve"> pod warunkiem jego pozytywnej weryfikacji przez ACPRO, chyba, że w powiadomieniu tym określony został termin późniejszy, z zastrzeżeniem terminów o których mowa w pkt</w:t>
      </w:r>
      <w:r w:rsidR="0072770A" w:rsidRPr="00EB2E7B">
        <w:rPr>
          <w:rFonts w:asciiTheme="minorHAnsi" w:hAnsiTheme="minorHAnsi" w:cstheme="minorHAnsi"/>
          <w:sz w:val="20"/>
          <w:szCs w:val="20"/>
        </w:rPr>
        <w:t xml:space="preserve"> </w:t>
      </w:r>
      <w:r w:rsidR="0072770A" w:rsidRPr="00EB2E7B">
        <w:rPr>
          <w:rFonts w:asciiTheme="minorHAnsi" w:hAnsiTheme="minorHAnsi" w:cstheme="minorHAnsi"/>
          <w:sz w:val="20"/>
          <w:szCs w:val="20"/>
        </w:rPr>
        <w:fldChar w:fldCharType="begin"/>
      </w:r>
      <w:r w:rsidR="0072770A" w:rsidRPr="00EB2E7B">
        <w:rPr>
          <w:rFonts w:asciiTheme="minorHAnsi" w:hAnsiTheme="minorHAnsi" w:cstheme="minorHAnsi"/>
          <w:sz w:val="20"/>
          <w:szCs w:val="20"/>
        </w:rPr>
        <w:instrText xml:space="preserve"> REF _Ref183180640 \w \h  \* MERGEFORMAT </w:instrText>
      </w:r>
      <w:r w:rsidR="0072770A" w:rsidRPr="00EB2E7B">
        <w:rPr>
          <w:rFonts w:asciiTheme="minorHAnsi" w:hAnsiTheme="minorHAnsi" w:cstheme="minorHAnsi"/>
          <w:sz w:val="20"/>
          <w:szCs w:val="20"/>
        </w:rPr>
      </w:r>
      <w:r w:rsidR="0072770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72770A" w:rsidRPr="00EB2E7B">
        <w:rPr>
          <w:rFonts w:asciiTheme="minorHAnsi" w:hAnsiTheme="minorHAnsi" w:cstheme="minorHAnsi"/>
          <w:sz w:val="20"/>
          <w:szCs w:val="20"/>
        </w:rPr>
        <w:fldChar w:fldCharType="end"/>
      </w:r>
      <w:r w:rsidR="0072770A" w:rsidRPr="00EB2E7B">
        <w:rPr>
          <w:rFonts w:asciiTheme="minorHAnsi" w:hAnsiTheme="minorHAnsi" w:cstheme="minorHAnsi"/>
          <w:sz w:val="20"/>
          <w:szCs w:val="20"/>
        </w:rPr>
        <w:t>.</w:t>
      </w:r>
    </w:p>
    <w:p w14:paraId="15D0DD25" w14:textId="40BBCF36" w:rsidR="00EE2DF7" w:rsidRPr="00EB2E7B" w:rsidRDefault="00EE2DF7" w:rsidP="004854C6">
      <w:pPr>
        <w:pStyle w:val="ANagwek3"/>
        <w:rPr>
          <w:rFonts w:asciiTheme="minorHAnsi" w:hAnsiTheme="minorHAnsi" w:cstheme="minorHAnsi"/>
          <w:sz w:val="20"/>
          <w:szCs w:val="20"/>
        </w:rPr>
      </w:pPr>
      <w:bookmarkStart w:id="618" w:name="_Ref190119678"/>
      <w:r w:rsidRPr="00EB2E7B">
        <w:rPr>
          <w:rFonts w:asciiTheme="minorHAnsi" w:hAnsiTheme="minorHAnsi" w:cstheme="minorHAnsi"/>
          <w:sz w:val="20"/>
          <w:szCs w:val="20"/>
        </w:rPr>
        <w:t>ACPRO w terminie nie dłuższym niż 5 dni roboczych od dnia otrzymania powiadomienia, o którym mowa w pkt.</w:t>
      </w:r>
      <w:r w:rsidR="004A0DD7" w:rsidRPr="00EB2E7B">
        <w:rPr>
          <w:rFonts w:asciiTheme="minorHAnsi" w:hAnsiTheme="minorHAnsi" w:cstheme="minorHAnsi"/>
          <w:sz w:val="20"/>
          <w:szCs w:val="20"/>
        </w:rPr>
        <w:t xml:space="preserve"> </w:t>
      </w:r>
      <w:r w:rsidR="004A0DD7" w:rsidRPr="00EB2E7B">
        <w:rPr>
          <w:rFonts w:asciiTheme="minorHAnsi" w:hAnsiTheme="minorHAnsi" w:cstheme="minorHAnsi"/>
          <w:sz w:val="20"/>
          <w:szCs w:val="20"/>
        </w:rPr>
        <w:fldChar w:fldCharType="begin"/>
      </w:r>
      <w:r w:rsidR="004A0DD7" w:rsidRPr="00EB2E7B">
        <w:rPr>
          <w:rFonts w:asciiTheme="minorHAnsi" w:hAnsiTheme="minorHAnsi" w:cstheme="minorHAnsi"/>
          <w:sz w:val="20"/>
          <w:szCs w:val="20"/>
        </w:rPr>
        <w:instrText xml:space="preserve"> REF _Ref183180640 \w \h  \* MERGEFORMAT </w:instrText>
      </w:r>
      <w:r w:rsidR="004A0DD7" w:rsidRPr="00EB2E7B">
        <w:rPr>
          <w:rFonts w:asciiTheme="minorHAnsi" w:hAnsiTheme="minorHAnsi" w:cstheme="minorHAnsi"/>
          <w:sz w:val="20"/>
          <w:szCs w:val="20"/>
        </w:rPr>
      </w:r>
      <w:r w:rsidR="004A0DD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4A0DD7" w:rsidRPr="00EB2E7B">
        <w:rPr>
          <w:rFonts w:asciiTheme="minorHAnsi" w:hAnsiTheme="minorHAnsi" w:cstheme="minorHAnsi"/>
          <w:sz w:val="20"/>
          <w:szCs w:val="20"/>
        </w:rPr>
        <w:fldChar w:fldCharType="end"/>
      </w:r>
      <w:r w:rsidR="004A0DD7" w:rsidRPr="00EB2E7B">
        <w:rPr>
          <w:rFonts w:asciiTheme="minorHAnsi" w:hAnsiTheme="minorHAnsi" w:cstheme="minorHAnsi"/>
          <w:sz w:val="20"/>
          <w:szCs w:val="20"/>
        </w:rPr>
        <w:t>.</w:t>
      </w:r>
      <w:r w:rsidRPr="00EB2E7B">
        <w:rPr>
          <w:rFonts w:asciiTheme="minorHAnsi" w:hAnsiTheme="minorHAnsi" w:cstheme="minorHAnsi"/>
          <w:sz w:val="20"/>
          <w:szCs w:val="20"/>
        </w:rPr>
        <w:t>1, dokonuje jego weryfikacji</w:t>
      </w:r>
      <w:r w:rsidR="00DD1F43" w:rsidRPr="00EB2E7B">
        <w:rPr>
          <w:rFonts w:asciiTheme="minorHAnsi" w:hAnsiTheme="minorHAnsi" w:cstheme="minorHAnsi"/>
          <w:sz w:val="20"/>
          <w:szCs w:val="20"/>
        </w:rPr>
        <w:t xml:space="preserve"> w zakresie </w:t>
      </w:r>
      <w:r w:rsidR="00BA4524" w:rsidRPr="00EB2E7B">
        <w:rPr>
          <w:rFonts w:asciiTheme="minorHAnsi" w:hAnsiTheme="minorHAnsi" w:cstheme="minorHAnsi"/>
          <w:sz w:val="20"/>
          <w:szCs w:val="20"/>
        </w:rPr>
        <w:t xml:space="preserve">określonym w pkt </w:t>
      </w:r>
      <w:r w:rsidR="00810997" w:rsidRPr="00EB2E7B">
        <w:rPr>
          <w:rFonts w:asciiTheme="minorHAnsi" w:hAnsiTheme="minorHAnsi" w:cstheme="minorHAnsi"/>
          <w:sz w:val="20"/>
          <w:szCs w:val="20"/>
        </w:rPr>
        <w:fldChar w:fldCharType="begin"/>
      </w:r>
      <w:r w:rsidR="00810997" w:rsidRPr="00EB2E7B">
        <w:rPr>
          <w:rFonts w:asciiTheme="minorHAnsi" w:hAnsiTheme="minorHAnsi" w:cstheme="minorHAnsi"/>
          <w:sz w:val="20"/>
          <w:szCs w:val="20"/>
        </w:rPr>
        <w:instrText xml:space="preserve"> REF _Ref190118720 \w \h  \* MERGEFORMAT </w:instrText>
      </w:r>
      <w:r w:rsidR="00810997" w:rsidRPr="00EB2E7B">
        <w:rPr>
          <w:rFonts w:asciiTheme="minorHAnsi" w:hAnsiTheme="minorHAnsi" w:cstheme="minorHAnsi"/>
          <w:sz w:val="20"/>
          <w:szCs w:val="20"/>
        </w:rPr>
      </w:r>
      <w:r w:rsidR="0081099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D.2.2</w:t>
      </w:r>
      <w:r w:rsidR="00810997" w:rsidRPr="00EB2E7B">
        <w:rPr>
          <w:rFonts w:asciiTheme="minorHAnsi" w:hAnsiTheme="minorHAnsi" w:cstheme="minorHAnsi"/>
          <w:sz w:val="20"/>
          <w:szCs w:val="20"/>
        </w:rPr>
        <w:fldChar w:fldCharType="end"/>
      </w:r>
      <w:r w:rsidR="00BA4524" w:rsidRPr="00EB2E7B">
        <w:rPr>
          <w:rFonts w:asciiTheme="minorHAnsi" w:hAnsiTheme="minorHAnsi" w:cstheme="minorHAnsi"/>
          <w:sz w:val="20"/>
          <w:szCs w:val="20"/>
        </w:rPr>
        <w:t>.</w:t>
      </w:r>
      <w:r w:rsidRPr="00EB2E7B">
        <w:rPr>
          <w:rFonts w:asciiTheme="minorHAnsi" w:hAnsiTheme="minorHAnsi" w:cstheme="minorHAnsi"/>
          <w:sz w:val="20"/>
          <w:szCs w:val="20"/>
        </w:rPr>
        <w:t xml:space="preserve"> oraz informuje podmiot który przedłożył powiadomienie o wyniku weryfikacji.</w:t>
      </w:r>
      <w:bookmarkEnd w:id="618"/>
    </w:p>
    <w:p w14:paraId="373397D8" w14:textId="76EE4F06" w:rsidR="005F48D8" w:rsidRPr="00EB2E7B" w:rsidRDefault="005F48D8" w:rsidP="00AD6251">
      <w:pPr>
        <w:ind w:left="1134"/>
        <w:rPr>
          <w:rFonts w:asciiTheme="minorHAnsi" w:hAnsiTheme="minorHAnsi" w:cstheme="minorHAnsi"/>
          <w:sz w:val="20"/>
          <w:szCs w:val="20"/>
        </w:rPr>
      </w:pPr>
      <w:r w:rsidRPr="00EB2E7B">
        <w:rPr>
          <w:rFonts w:asciiTheme="minorHAnsi" w:hAnsiTheme="minorHAnsi" w:cstheme="minorHAnsi"/>
          <w:sz w:val="20"/>
          <w:szCs w:val="20"/>
        </w:rPr>
        <w:t xml:space="preserve">ACPRO dokonuje weryfikacji, zgodnie z zapisami rozdziału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_Ref75525260 \r \h </w:instrText>
      </w:r>
      <w:r w:rsidR="00520823"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44C17796" w14:textId="3D8DD418" w:rsidR="00473957" w:rsidRPr="00EB2E7B" w:rsidRDefault="0063166A" w:rsidP="00006840">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Powiadomienia weryfikowane są również w zakresie dostosowania układu pomiarowo-rozliczeniowego do wymagań zawartych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posiadania przez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umowy dystrybucji zawartej z </w:t>
      </w:r>
      <w:r w:rsidR="00232274"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oświadczenia, o którym mowa w pkt. </w:t>
      </w:r>
      <w:r w:rsidR="00CC2F49" w:rsidRPr="00EB2E7B">
        <w:rPr>
          <w:rFonts w:asciiTheme="minorHAnsi" w:hAnsiTheme="minorHAnsi" w:cstheme="minorHAnsi"/>
          <w:sz w:val="20"/>
          <w:szCs w:val="20"/>
        </w:rPr>
        <w:fldChar w:fldCharType="begin"/>
      </w:r>
      <w:r w:rsidR="00CC2F49" w:rsidRPr="00EB2E7B">
        <w:rPr>
          <w:rFonts w:asciiTheme="minorHAnsi" w:hAnsiTheme="minorHAnsi" w:cstheme="minorHAnsi"/>
          <w:sz w:val="20"/>
          <w:szCs w:val="20"/>
        </w:rPr>
        <w:instrText xml:space="preserve"> REF _Ref190119466 \w \h  \* MERGEFORMAT </w:instrText>
      </w:r>
      <w:r w:rsidR="00CC2F49" w:rsidRPr="00EB2E7B">
        <w:rPr>
          <w:rFonts w:asciiTheme="minorHAnsi" w:hAnsiTheme="minorHAnsi" w:cstheme="minorHAnsi"/>
          <w:sz w:val="20"/>
          <w:szCs w:val="20"/>
        </w:rPr>
      </w:r>
      <w:r w:rsidR="00CC2F4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B.2</w:t>
      </w:r>
      <w:r w:rsidR="00CC2F4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oraz w przypadku zgłaszania umów kompleksowych parametrów technicznych dostaw.</w:t>
      </w:r>
    </w:p>
    <w:p w14:paraId="5DC5AE95" w14:textId="0C395CEE" w:rsidR="009F32A5" w:rsidRPr="00EB2E7B" w:rsidRDefault="0077111A" w:rsidP="004854C6">
      <w:pPr>
        <w:pStyle w:val="ANagwek3"/>
        <w:rPr>
          <w:rFonts w:asciiTheme="minorHAnsi" w:hAnsiTheme="minorHAnsi" w:cstheme="minorHAnsi"/>
          <w:sz w:val="20"/>
          <w:szCs w:val="20"/>
        </w:rPr>
      </w:pPr>
      <w:bookmarkStart w:id="619" w:name="_Ref190117807"/>
      <w:bookmarkStart w:id="620" w:name="_Ref75526792"/>
      <w:r w:rsidRPr="00EB2E7B">
        <w:rPr>
          <w:rFonts w:asciiTheme="minorHAnsi" w:hAnsiTheme="minorHAnsi" w:cstheme="minorHAnsi"/>
          <w:sz w:val="20"/>
          <w:szCs w:val="20"/>
        </w:rPr>
        <w:t>Jeżeli powiadomienie, o którym mowa w pkt.</w:t>
      </w:r>
      <w:r w:rsidR="00334603" w:rsidRPr="00EB2E7B">
        <w:rPr>
          <w:rFonts w:asciiTheme="minorHAnsi" w:hAnsiTheme="minorHAnsi" w:cstheme="minorHAnsi"/>
          <w:sz w:val="20"/>
          <w:szCs w:val="20"/>
        </w:rPr>
        <w:t xml:space="preserve"> </w:t>
      </w:r>
      <w:r w:rsidR="00C01EFC" w:rsidRPr="00EB2E7B">
        <w:rPr>
          <w:rFonts w:asciiTheme="minorHAnsi" w:hAnsiTheme="minorHAnsi" w:cstheme="minorHAnsi"/>
          <w:sz w:val="20"/>
          <w:szCs w:val="20"/>
        </w:rPr>
        <w:fldChar w:fldCharType="begin"/>
      </w:r>
      <w:r w:rsidR="00C01EFC" w:rsidRPr="00EB2E7B">
        <w:rPr>
          <w:rFonts w:asciiTheme="minorHAnsi" w:hAnsiTheme="minorHAnsi" w:cstheme="minorHAnsi"/>
          <w:sz w:val="20"/>
          <w:szCs w:val="20"/>
        </w:rPr>
        <w:instrText xml:space="preserve"> REF _Ref183180640 \w \h  \* MERGEFORMAT </w:instrText>
      </w:r>
      <w:r w:rsidR="00C01EFC" w:rsidRPr="00EB2E7B">
        <w:rPr>
          <w:rFonts w:asciiTheme="minorHAnsi" w:hAnsiTheme="minorHAnsi" w:cstheme="minorHAnsi"/>
          <w:sz w:val="20"/>
          <w:szCs w:val="20"/>
        </w:rPr>
      </w:r>
      <w:r w:rsidR="00C01EF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C01EFC" w:rsidRPr="00EB2E7B">
        <w:rPr>
          <w:rFonts w:asciiTheme="minorHAnsi" w:hAnsiTheme="minorHAnsi" w:cstheme="minorHAnsi"/>
          <w:sz w:val="20"/>
          <w:szCs w:val="20"/>
        </w:rPr>
        <w:fldChar w:fldCharType="end"/>
      </w:r>
      <w:r w:rsidR="00992F07"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zawiera błędy lub braki formalne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informuje o tym sprzedawcę</w:t>
      </w:r>
      <w:r w:rsidR="00E931B3" w:rsidRPr="00EB2E7B">
        <w:rPr>
          <w:rFonts w:asciiTheme="minorHAnsi" w:hAnsiTheme="minorHAnsi" w:cstheme="minorHAnsi"/>
          <w:sz w:val="20"/>
          <w:szCs w:val="20"/>
        </w:rPr>
        <w:t xml:space="preserve"> lub odbiorcę</w:t>
      </w:r>
      <w:r w:rsidRPr="00EB2E7B">
        <w:rPr>
          <w:rFonts w:asciiTheme="minorHAnsi" w:hAnsiTheme="minorHAnsi" w:cstheme="minorHAnsi"/>
          <w:sz w:val="20"/>
          <w:szCs w:val="20"/>
        </w:rPr>
        <w:t>, który przedłożył powiadomienie w</w:t>
      </w:r>
      <w:r w:rsidR="00DF1B30" w:rsidRPr="00EB2E7B">
        <w:rPr>
          <w:rFonts w:asciiTheme="minorHAnsi" w:hAnsiTheme="minorHAnsi" w:cstheme="minorHAnsi"/>
          <w:sz w:val="20"/>
          <w:szCs w:val="20"/>
        </w:rPr>
        <w:t> </w:t>
      </w:r>
      <w:r w:rsidRPr="00EB2E7B">
        <w:rPr>
          <w:rFonts w:asciiTheme="minorHAnsi" w:hAnsiTheme="minorHAnsi" w:cstheme="minorHAnsi"/>
          <w:sz w:val="20"/>
          <w:szCs w:val="20"/>
        </w:rPr>
        <w:t>terminie nie dłuższym niż 5 dni roboczych od dnia otrzymania tego powiadomienia, wykazując wszystkie braki</w:t>
      </w:r>
      <w:r w:rsidR="00E30BCF" w:rsidRPr="00EB2E7B">
        <w:rPr>
          <w:rFonts w:asciiTheme="minorHAnsi" w:hAnsiTheme="minorHAnsi" w:cstheme="minorHAnsi"/>
          <w:sz w:val="20"/>
          <w:szCs w:val="20"/>
        </w:rPr>
        <w:t xml:space="preserve"> i błędy</w:t>
      </w:r>
      <w:r w:rsidRPr="00EB2E7B">
        <w:rPr>
          <w:rFonts w:asciiTheme="minorHAnsi" w:hAnsiTheme="minorHAnsi" w:cstheme="minorHAnsi"/>
          <w:sz w:val="20"/>
          <w:szCs w:val="20"/>
        </w:rPr>
        <w:t xml:space="preserve"> i informując o konieczności ich uzupełnienia.</w:t>
      </w:r>
      <w:bookmarkEnd w:id="619"/>
      <w:r w:rsidRPr="00EB2E7B">
        <w:rPr>
          <w:rFonts w:asciiTheme="minorHAnsi" w:hAnsiTheme="minorHAnsi" w:cstheme="minorHAnsi"/>
          <w:sz w:val="20"/>
          <w:szCs w:val="20"/>
        </w:rPr>
        <w:t xml:space="preserve"> </w:t>
      </w:r>
    </w:p>
    <w:p w14:paraId="521309A1" w14:textId="5E463F63" w:rsidR="00473957" w:rsidRPr="00EB2E7B" w:rsidRDefault="0077111A" w:rsidP="00AD6251">
      <w:pPr>
        <w:ind w:left="1134"/>
        <w:rPr>
          <w:rFonts w:asciiTheme="minorHAnsi" w:hAnsiTheme="minorHAnsi" w:cstheme="minorHAnsi"/>
          <w:sz w:val="20"/>
          <w:szCs w:val="20"/>
        </w:rPr>
      </w:pPr>
      <w:r w:rsidRPr="00EB2E7B">
        <w:rPr>
          <w:rFonts w:asciiTheme="minorHAnsi" w:hAnsiTheme="minorHAnsi" w:cstheme="minorHAnsi"/>
          <w:sz w:val="20"/>
          <w:szCs w:val="20"/>
        </w:rPr>
        <w:t xml:space="preserve">Listę kodów określających braki i błędy określa </w:t>
      </w:r>
      <w:r w:rsidR="00DF6A2E" w:rsidRPr="00EB2E7B">
        <w:rPr>
          <w:rFonts w:asciiTheme="minorHAnsi" w:hAnsiTheme="minorHAnsi" w:cstheme="minorHAnsi"/>
          <w:sz w:val="20"/>
          <w:szCs w:val="20"/>
        </w:rPr>
        <w:t>Z</w:t>
      </w:r>
      <w:r w:rsidRPr="00EB2E7B">
        <w:rPr>
          <w:rFonts w:asciiTheme="minorHAnsi" w:hAnsiTheme="minorHAnsi" w:cstheme="minorHAnsi"/>
          <w:sz w:val="20"/>
          <w:szCs w:val="20"/>
        </w:rPr>
        <w:t>ałącznik</w:t>
      </w:r>
      <w:r w:rsidR="009F32A5" w:rsidRPr="00EB2E7B">
        <w:rPr>
          <w:rFonts w:asciiTheme="minorHAnsi" w:hAnsiTheme="minorHAnsi" w:cstheme="minorHAnsi"/>
          <w:sz w:val="20"/>
          <w:szCs w:val="20"/>
        </w:rPr>
        <w:t xml:space="preserve"> nr </w:t>
      </w:r>
      <w:r w:rsidR="00DF6A2E" w:rsidRPr="00EB2E7B">
        <w:rPr>
          <w:rFonts w:asciiTheme="minorHAnsi" w:hAnsiTheme="minorHAnsi" w:cstheme="minorHAnsi"/>
          <w:sz w:val="20"/>
          <w:szCs w:val="20"/>
        </w:rPr>
        <w:t>3</w:t>
      </w:r>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620"/>
    </w:p>
    <w:p w14:paraId="3F654F10" w14:textId="17FDF114" w:rsidR="00473957" w:rsidRPr="00EB2E7B" w:rsidRDefault="0077111A" w:rsidP="004854C6">
      <w:pPr>
        <w:pStyle w:val="ANagwek3"/>
        <w:rPr>
          <w:rFonts w:asciiTheme="minorHAnsi" w:hAnsiTheme="minorHAnsi" w:cstheme="minorHAnsi"/>
          <w:sz w:val="20"/>
          <w:szCs w:val="20"/>
        </w:rPr>
      </w:pPr>
      <w:bookmarkStart w:id="621" w:name="_Ref75526799"/>
      <w:r w:rsidRPr="00EB2E7B">
        <w:rPr>
          <w:rFonts w:asciiTheme="minorHAnsi" w:hAnsiTheme="minorHAnsi" w:cstheme="minorHAnsi"/>
          <w:sz w:val="20"/>
          <w:szCs w:val="20"/>
        </w:rPr>
        <w:t>Jeżeli błędy lub braki formalne, o których mowa w pkt.</w:t>
      </w:r>
      <w:r w:rsidR="008B1C9A" w:rsidRPr="00EB2E7B">
        <w:rPr>
          <w:rFonts w:asciiTheme="minorHAnsi" w:hAnsiTheme="minorHAnsi" w:cstheme="minorHAnsi"/>
          <w:sz w:val="20"/>
          <w:szCs w:val="20"/>
        </w:rPr>
        <w:t xml:space="preserve"> </w:t>
      </w:r>
      <w:r w:rsidR="00B93B72" w:rsidRPr="00EB2E7B">
        <w:rPr>
          <w:rFonts w:asciiTheme="minorHAnsi" w:hAnsiTheme="minorHAnsi" w:cstheme="minorHAnsi"/>
          <w:sz w:val="20"/>
          <w:szCs w:val="20"/>
        </w:rPr>
        <w:fldChar w:fldCharType="begin"/>
      </w:r>
      <w:r w:rsidR="00B93B72" w:rsidRPr="00EB2E7B">
        <w:rPr>
          <w:rFonts w:asciiTheme="minorHAnsi" w:hAnsiTheme="minorHAnsi" w:cstheme="minorHAnsi"/>
          <w:sz w:val="20"/>
          <w:szCs w:val="20"/>
        </w:rPr>
        <w:instrText xml:space="preserve"> REF _Ref190117807 \w \h  \* MERGEFORMAT </w:instrText>
      </w:r>
      <w:r w:rsidR="00B93B72" w:rsidRPr="00EB2E7B">
        <w:rPr>
          <w:rFonts w:asciiTheme="minorHAnsi" w:hAnsiTheme="minorHAnsi" w:cstheme="minorHAnsi"/>
          <w:sz w:val="20"/>
          <w:szCs w:val="20"/>
        </w:rPr>
      </w:r>
      <w:r w:rsidR="00B93B7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D.3.7</w:t>
      </w:r>
      <w:r w:rsidR="00B93B7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nie zostaną uzupełnione w terminie nie dłuższym niż 5</w:t>
      </w:r>
      <w:r w:rsidR="00BE7151"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dni roboczych,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dokonuje negatywnej weryfikacji powiadomienia, o którym mowa w pkt. </w:t>
      </w:r>
      <w:r w:rsidR="00085698" w:rsidRPr="00EB2E7B">
        <w:rPr>
          <w:rFonts w:asciiTheme="minorHAnsi" w:hAnsiTheme="minorHAnsi" w:cstheme="minorHAnsi"/>
          <w:sz w:val="20"/>
          <w:szCs w:val="20"/>
        </w:rPr>
        <w:fldChar w:fldCharType="begin"/>
      </w:r>
      <w:r w:rsidR="00085698" w:rsidRPr="00EB2E7B">
        <w:rPr>
          <w:rFonts w:asciiTheme="minorHAnsi" w:hAnsiTheme="minorHAnsi" w:cstheme="minorHAnsi"/>
          <w:sz w:val="20"/>
          <w:szCs w:val="20"/>
        </w:rPr>
        <w:instrText xml:space="preserve"> REF _Ref183180640 \w \h  \* MERGEFORMAT </w:instrText>
      </w:r>
      <w:r w:rsidR="00085698" w:rsidRPr="00EB2E7B">
        <w:rPr>
          <w:rFonts w:asciiTheme="minorHAnsi" w:hAnsiTheme="minorHAnsi" w:cstheme="minorHAnsi"/>
          <w:sz w:val="20"/>
          <w:szCs w:val="20"/>
        </w:rPr>
      </w:r>
      <w:r w:rsidR="0008569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08569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0D0C63" w:rsidRPr="00EB2E7B">
        <w:rPr>
          <w:rFonts w:asciiTheme="minorHAnsi" w:hAnsiTheme="minorHAnsi" w:cstheme="minorHAnsi"/>
          <w:sz w:val="20"/>
          <w:szCs w:val="20"/>
        </w:rPr>
        <w:t>z</w:t>
      </w:r>
      <w:r w:rsidR="00DF1B30" w:rsidRPr="00EB2E7B">
        <w:rPr>
          <w:rFonts w:asciiTheme="minorHAnsi" w:hAnsiTheme="minorHAnsi" w:cstheme="minorHAnsi"/>
          <w:sz w:val="20"/>
          <w:szCs w:val="20"/>
        </w:rPr>
        <w:t> </w:t>
      </w:r>
      <w:r w:rsidR="000D0C63" w:rsidRPr="00EB2E7B">
        <w:rPr>
          <w:rFonts w:asciiTheme="minorHAnsi" w:hAnsiTheme="minorHAnsi" w:cstheme="minorHAnsi"/>
          <w:sz w:val="20"/>
          <w:szCs w:val="20"/>
        </w:rPr>
        <w:t>zastrzeżeniem</w:t>
      </w:r>
      <w:r w:rsidR="00F71612" w:rsidRPr="00EB2E7B">
        <w:rPr>
          <w:rFonts w:asciiTheme="minorHAnsi" w:hAnsiTheme="minorHAnsi" w:cstheme="minorHAnsi"/>
          <w:sz w:val="20"/>
          <w:szCs w:val="20"/>
        </w:rPr>
        <w:t xml:space="preserve"> pkt </w:t>
      </w:r>
      <w:r w:rsidR="00F71612" w:rsidRPr="00EB2E7B">
        <w:rPr>
          <w:rFonts w:asciiTheme="minorHAnsi" w:hAnsiTheme="minorHAnsi" w:cstheme="minorHAnsi"/>
          <w:sz w:val="20"/>
          <w:szCs w:val="20"/>
        </w:rPr>
        <w:fldChar w:fldCharType="begin"/>
      </w:r>
      <w:r w:rsidR="00F71612" w:rsidRPr="00EB2E7B">
        <w:rPr>
          <w:rFonts w:asciiTheme="minorHAnsi" w:hAnsiTheme="minorHAnsi" w:cstheme="minorHAnsi"/>
          <w:sz w:val="20"/>
          <w:szCs w:val="20"/>
        </w:rPr>
        <w:instrText xml:space="preserve"> REF _Ref190119621 \w \h  \* MERGEFORMAT </w:instrText>
      </w:r>
      <w:r w:rsidR="00F71612" w:rsidRPr="00EB2E7B">
        <w:rPr>
          <w:rFonts w:asciiTheme="minorHAnsi" w:hAnsiTheme="minorHAnsi" w:cstheme="minorHAnsi"/>
          <w:sz w:val="20"/>
          <w:szCs w:val="20"/>
        </w:rPr>
      </w:r>
      <w:r w:rsidR="00F7161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D.1.3</w:t>
      </w:r>
      <w:r w:rsidR="00F71612" w:rsidRPr="00EB2E7B">
        <w:rPr>
          <w:rFonts w:asciiTheme="minorHAnsi" w:hAnsiTheme="minorHAnsi" w:cstheme="minorHAnsi"/>
          <w:sz w:val="20"/>
          <w:szCs w:val="20"/>
        </w:rPr>
        <w:fldChar w:fldCharType="end"/>
      </w:r>
      <w:r w:rsidR="000D0C63" w:rsidRPr="00EB2E7B">
        <w:rPr>
          <w:rFonts w:asciiTheme="minorHAnsi" w:hAnsiTheme="minorHAnsi" w:cstheme="minorHAnsi"/>
          <w:sz w:val="20"/>
          <w:szCs w:val="20"/>
        </w:rPr>
        <w:t>., informując o tym sprzedawcę</w:t>
      </w:r>
      <w:r w:rsidR="00910A04" w:rsidRPr="00EB2E7B">
        <w:rPr>
          <w:rFonts w:asciiTheme="minorHAnsi" w:hAnsiTheme="minorHAnsi" w:cstheme="minorHAnsi"/>
          <w:sz w:val="20"/>
          <w:szCs w:val="20"/>
        </w:rPr>
        <w:t xml:space="preserve"> lub odbiorcę</w:t>
      </w:r>
      <w:r w:rsidR="000D0C63" w:rsidRPr="00EB2E7B">
        <w:rPr>
          <w:rFonts w:asciiTheme="minorHAnsi" w:hAnsiTheme="minorHAnsi" w:cstheme="minorHAnsi"/>
          <w:sz w:val="20"/>
          <w:szCs w:val="20"/>
        </w:rPr>
        <w:t>, który przedłożył powiadomienie.</w:t>
      </w:r>
      <w:bookmarkEnd w:id="621"/>
    </w:p>
    <w:p w14:paraId="2C96F008" w14:textId="7DC21550" w:rsidR="00473957" w:rsidRPr="00EB2E7B" w:rsidRDefault="00B06721"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ACPRO, w terminie nie przekraczającym ostatniego dnia weryfikacji, o którym mowa w pkt. </w:t>
      </w:r>
      <w:r w:rsidR="00165387" w:rsidRPr="00EB2E7B">
        <w:rPr>
          <w:rFonts w:asciiTheme="minorHAnsi" w:hAnsiTheme="minorHAnsi" w:cstheme="minorHAnsi"/>
          <w:sz w:val="20"/>
          <w:szCs w:val="20"/>
        </w:rPr>
        <w:fldChar w:fldCharType="begin"/>
      </w:r>
      <w:r w:rsidR="00165387" w:rsidRPr="00EB2E7B">
        <w:rPr>
          <w:rFonts w:asciiTheme="minorHAnsi" w:hAnsiTheme="minorHAnsi" w:cstheme="minorHAnsi"/>
          <w:sz w:val="20"/>
          <w:szCs w:val="20"/>
        </w:rPr>
        <w:instrText xml:space="preserve"> REF _Ref190119678 \w \h  \* MERGEFORMAT </w:instrText>
      </w:r>
      <w:r w:rsidR="00165387" w:rsidRPr="00EB2E7B">
        <w:rPr>
          <w:rFonts w:asciiTheme="minorHAnsi" w:hAnsiTheme="minorHAnsi" w:cstheme="minorHAnsi"/>
          <w:sz w:val="20"/>
          <w:szCs w:val="20"/>
        </w:rPr>
      </w:r>
      <w:r w:rsidR="0016538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D.3.6</w:t>
      </w:r>
      <w:r w:rsidR="0016538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przekazuje do nowego sprzedawcy</w:t>
      </w:r>
      <w:r w:rsidR="00343A4A" w:rsidRPr="00EB2E7B">
        <w:rPr>
          <w:rFonts w:asciiTheme="minorHAnsi" w:hAnsiTheme="minorHAnsi" w:cstheme="minorHAnsi"/>
          <w:sz w:val="20"/>
          <w:szCs w:val="20"/>
        </w:rPr>
        <w:t xml:space="preserve"> lub w przypadku</w:t>
      </w:r>
      <w:r w:rsidR="00BA4F58" w:rsidRPr="00EB2E7B">
        <w:rPr>
          <w:rFonts w:asciiTheme="minorHAnsi" w:hAnsiTheme="minorHAnsi" w:cstheme="minorHAnsi"/>
          <w:sz w:val="20"/>
          <w:szCs w:val="20"/>
        </w:rPr>
        <w:t xml:space="preserve"> przedłożenia powiadomienia, o którym mowa w pkt </w:t>
      </w:r>
      <w:r w:rsidR="00165387" w:rsidRPr="00EB2E7B">
        <w:rPr>
          <w:rFonts w:asciiTheme="minorHAnsi" w:hAnsiTheme="minorHAnsi" w:cstheme="minorHAnsi"/>
          <w:sz w:val="20"/>
          <w:szCs w:val="20"/>
        </w:rPr>
        <w:fldChar w:fldCharType="begin"/>
      </w:r>
      <w:r w:rsidR="00165387" w:rsidRPr="00EB2E7B">
        <w:rPr>
          <w:rFonts w:asciiTheme="minorHAnsi" w:hAnsiTheme="minorHAnsi" w:cstheme="minorHAnsi"/>
          <w:sz w:val="20"/>
          <w:szCs w:val="20"/>
        </w:rPr>
        <w:instrText xml:space="preserve"> REF _Ref183180640 \w \h  \* MERGEFORMAT </w:instrText>
      </w:r>
      <w:r w:rsidR="00165387" w:rsidRPr="00EB2E7B">
        <w:rPr>
          <w:rFonts w:asciiTheme="minorHAnsi" w:hAnsiTheme="minorHAnsi" w:cstheme="minorHAnsi"/>
          <w:sz w:val="20"/>
          <w:szCs w:val="20"/>
        </w:rPr>
      </w:r>
      <w:r w:rsidR="0016538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D.2.1</w:t>
      </w:r>
      <w:r w:rsidR="00165387" w:rsidRPr="00EB2E7B">
        <w:rPr>
          <w:rFonts w:asciiTheme="minorHAnsi" w:hAnsiTheme="minorHAnsi" w:cstheme="minorHAnsi"/>
          <w:sz w:val="20"/>
          <w:szCs w:val="20"/>
        </w:rPr>
        <w:fldChar w:fldCharType="end"/>
      </w:r>
      <w:r w:rsidR="00165387" w:rsidRPr="00EB2E7B">
        <w:rPr>
          <w:rFonts w:asciiTheme="minorHAnsi" w:hAnsiTheme="minorHAnsi" w:cstheme="minorHAnsi"/>
          <w:sz w:val="20"/>
          <w:szCs w:val="20"/>
        </w:rPr>
        <w:t>.</w:t>
      </w:r>
      <w:r w:rsidR="00BA4F58" w:rsidRPr="00EB2E7B">
        <w:rPr>
          <w:rFonts w:asciiTheme="minorHAnsi" w:hAnsiTheme="minorHAnsi" w:cstheme="minorHAnsi"/>
          <w:sz w:val="20"/>
          <w:szCs w:val="20"/>
        </w:rPr>
        <w:t xml:space="preserve"> przez odbiorcę, do odbiorcy,</w:t>
      </w:r>
      <w:r w:rsidRPr="00EB2E7B">
        <w:rPr>
          <w:rFonts w:asciiTheme="minorHAnsi" w:hAnsiTheme="minorHAnsi" w:cstheme="minorHAnsi"/>
          <w:sz w:val="20"/>
          <w:szCs w:val="20"/>
        </w:rPr>
        <w:t xml:space="preserve"> informację o pozytywnym lub negatywnym wyniku przeprowadzonej weryfikacji w postaci odpowiedniego kodu. Listę kodów zawiera Załącznik nr </w:t>
      </w:r>
      <w:r w:rsidR="00FB6191" w:rsidRPr="00EB2E7B">
        <w:rPr>
          <w:rFonts w:asciiTheme="minorHAnsi" w:hAnsiTheme="minorHAnsi" w:cstheme="minorHAnsi"/>
          <w:sz w:val="20"/>
          <w:szCs w:val="20"/>
        </w:rPr>
        <w:t>3</w:t>
      </w:r>
      <w:r w:rsidRPr="00EB2E7B">
        <w:rPr>
          <w:rFonts w:asciiTheme="minorHAnsi" w:hAnsiTheme="minorHAnsi" w:cstheme="minorHAnsi"/>
          <w:sz w:val="20"/>
          <w:szCs w:val="20"/>
        </w:rPr>
        <w:t xml:space="preserve"> do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3108E03B" w14:textId="5A268DD3" w:rsidR="005F48D8" w:rsidRPr="00EB2E7B" w:rsidRDefault="0017041D"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celu realizacji umowy sprzedaży energii elektrycznej, o której mowa w pkt. </w:t>
      </w:r>
      <w:r w:rsidR="00AB3BD6" w:rsidRPr="00EB2E7B">
        <w:rPr>
          <w:rFonts w:asciiTheme="minorHAnsi" w:hAnsiTheme="minorHAnsi" w:cstheme="minorHAnsi"/>
          <w:sz w:val="20"/>
          <w:szCs w:val="20"/>
        </w:rPr>
        <w:fldChar w:fldCharType="begin"/>
      </w:r>
      <w:r w:rsidR="00AB3BD6" w:rsidRPr="00EB2E7B">
        <w:rPr>
          <w:rFonts w:asciiTheme="minorHAnsi" w:hAnsiTheme="minorHAnsi" w:cstheme="minorHAnsi"/>
          <w:sz w:val="20"/>
          <w:szCs w:val="20"/>
        </w:rPr>
        <w:instrText xml:space="preserve"> REF _Ref190119778 \w \h  \* MERGEFORMAT </w:instrText>
      </w:r>
      <w:r w:rsidR="00AB3BD6" w:rsidRPr="00EB2E7B">
        <w:rPr>
          <w:rFonts w:asciiTheme="minorHAnsi" w:hAnsiTheme="minorHAnsi" w:cstheme="minorHAnsi"/>
          <w:sz w:val="20"/>
          <w:szCs w:val="20"/>
        </w:rPr>
      </w:r>
      <w:r w:rsidR="00AB3BD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D.3.1</w:t>
      </w:r>
      <w:r w:rsidR="00AB3BD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zawiera z </w:t>
      </w:r>
      <w:r w:rsidR="00D50896"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umowę dystrybucji lub dokonuje aktualizacji umowy. Umowa dystrybucji może być zawarta przez upoważniony podmiot (np. Sprzedawcę) w imieniu i na rzecz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Wymóg zawarcia umowy dystrybucji nie dotyczy zawartej wcześniej przez </w:t>
      </w:r>
      <w:proofErr w:type="spellStart"/>
      <w:r w:rsidRPr="00EB2E7B">
        <w:rPr>
          <w:rFonts w:asciiTheme="minorHAnsi" w:hAnsiTheme="minorHAnsi" w:cstheme="minorHAnsi"/>
          <w:sz w:val="20"/>
          <w:szCs w:val="20"/>
        </w:rPr>
        <w:t>URDo</w:t>
      </w:r>
      <w:proofErr w:type="spellEnd"/>
      <w:r w:rsidRPr="00EB2E7B">
        <w:rPr>
          <w:rFonts w:asciiTheme="minorHAnsi" w:hAnsiTheme="minorHAnsi" w:cstheme="minorHAnsi"/>
          <w:sz w:val="20"/>
          <w:szCs w:val="20"/>
        </w:rPr>
        <w:t xml:space="preserve"> i nowego Sprzedawcę umowy kompleksowej</w:t>
      </w:r>
      <w:r w:rsidR="005F48D8" w:rsidRPr="00EB2E7B">
        <w:rPr>
          <w:rFonts w:asciiTheme="minorHAnsi" w:hAnsiTheme="minorHAnsi" w:cstheme="minorHAnsi"/>
          <w:sz w:val="20"/>
          <w:szCs w:val="20"/>
        </w:rPr>
        <w:t>.</w:t>
      </w:r>
    </w:p>
    <w:p w14:paraId="2286603C" w14:textId="35C6A7FC" w:rsidR="00473957" w:rsidRPr="00EB2E7B" w:rsidRDefault="0077111A" w:rsidP="004D1C36">
      <w:pPr>
        <w:pStyle w:val="ANagwek2"/>
        <w:rPr>
          <w:rFonts w:asciiTheme="minorHAnsi" w:hAnsiTheme="minorHAnsi" w:cstheme="minorHAnsi"/>
          <w:sz w:val="20"/>
          <w:szCs w:val="20"/>
        </w:rPr>
      </w:pPr>
      <w:bookmarkStart w:id="622" w:name="_Toc180153777"/>
      <w:bookmarkStart w:id="623" w:name="_Toc239333406"/>
      <w:r w:rsidRPr="00EB2E7B">
        <w:rPr>
          <w:rFonts w:asciiTheme="minorHAnsi" w:hAnsiTheme="minorHAnsi" w:cstheme="minorHAnsi"/>
          <w:sz w:val="20"/>
          <w:szCs w:val="20"/>
        </w:rPr>
        <w:t>ZASADY UDZIELANIA INFORMACJI I OBSŁUGI ODBIORCÓW</w:t>
      </w:r>
      <w:bookmarkEnd w:id="622"/>
      <w:bookmarkEnd w:id="623"/>
    </w:p>
    <w:p w14:paraId="2E5CC366" w14:textId="01652830" w:rsidR="00375393" w:rsidRPr="00EB2E7B" w:rsidRDefault="00232DA9"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udziela informacji użytkownikom systemu oraz podmiotom ubiegającym się o przyłączenie do sieci nt. świadczonych usług dystrybucji oraz zasad i</w:t>
      </w:r>
      <w:r w:rsidR="00F5333B" w:rsidRPr="00EB2E7B">
        <w:rPr>
          <w:rFonts w:asciiTheme="minorHAnsi" w:hAnsiTheme="minorHAnsi" w:cstheme="minorHAnsi"/>
          <w:sz w:val="20"/>
          <w:szCs w:val="20"/>
        </w:rPr>
        <w:t> </w:t>
      </w:r>
      <w:r w:rsidR="0077111A" w:rsidRPr="00EB2E7B">
        <w:rPr>
          <w:rFonts w:asciiTheme="minorHAnsi" w:hAnsiTheme="minorHAnsi" w:cstheme="minorHAnsi"/>
          <w:sz w:val="20"/>
          <w:szCs w:val="20"/>
        </w:rPr>
        <w:t>procedur zmiany sprzedawcy</w:t>
      </w:r>
      <w:r w:rsidR="00375393" w:rsidRPr="00EB2E7B">
        <w:rPr>
          <w:rFonts w:asciiTheme="minorHAnsi" w:hAnsiTheme="minorHAnsi" w:cstheme="minorHAnsi"/>
          <w:sz w:val="20"/>
          <w:szCs w:val="20"/>
        </w:rPr>
        <w:t>.</w:t>
      </w:r>
    </w:p>
    <w:p w14:paraId="7E30523F" w14:textId="662AE2FA" w:rsidR="00375393" w:rsidRPr="00EB2E7B" w:rsidRDefault="00375393" w:rsidP="004854C6">
      <w:pPr>
        <w:pStyle w:val="ANagwek3"/>
        <w:rPr>
          <w:rFonts w:asciiTheme="minorHAnsi" w:hAnsiTheme="minorHAnsi" w:cstheme="minorHAnsi"/>
          <w:sz w:val="20"/>
          <w:szCs w:val="20"/>
        </w:rPr>
      </w:pPr>
      <w:r w:rsidRPr="00EB2E7B">
        <w:rPr>
          <w:rFonts w:asciiTheme="minorHAnsi" w:hAnsiTheme="minorHAnsi" w:cstheme="minorHAnsi"/>
          <w:sz w:val="20"/>
          <w:szCs w:val="20"/>
        </w:rPr>
        <w:t>I</w:t>
      </w:r>
      <w:r w:rsidR="0077111A" w:rsidRPr="00EB2E7B">
        <w:rPr>
          <w:rFonts w:asciiTheme="minorHAnsi" w:hAnsiTheme="minorHAnsi" w:cstheme="minorHAnsi"/>
          <w:sz w:val="20"/>
          <w:szCs w:val="20"/>
        </w:rPr>
        <w:t xml:space="preserve">nformacje ogólne udostępnione są przez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w:t>
      </w:r>
    </w:p>
    <w:p w14:paraId="35D2D946" w14:textId="32674380" w:rsidR="00375393" w:rsidRPr="00EB2E7B" w:rsidRDefault="00375393" w:rsidP="0030533D">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na stronach internetowych ACPRO,</w:t>
      </w:r>
    </w:p>
    <w:p w14:paraId="74E6340F" w14:textId="6B53F833" w:rsidR="00375393" w:rsidRPr="00EB2E7B" w:rsidRDefault="00375393" w:rsidP="0030533D">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 niniejszej </w:t>
      </w:r>
      <w:proofErr w:type="spellStart"/>
      <w:r w:rsidRPr="00EB2E7B">
        <w:rPr>
          <w:rFonts w:asciiTheme="minorHAnsi" w:hAnsiTheme="minorHAnsi" w:cstheme="minorHAnsi"/>
          <w:sz w:val="20"/>
          <w:szCs w:val="20"/>
        </w:rPr>
        <w:t>IRiESD</w:t>
      </w:r>
      <w:proofErr w:type="spellEnd"/>
      <w:r w:rsidR="002D4614" w:rsidRPr="00EB2E7B">
        <w:rPr>
          <w:rFonts w:asciiTheme="minorHAnsi" w:hAnsiTheme="minorHAnsi" w:cstheme="minorHAnsi"/>
          <w:sz w:val="20"/>
          <w:szCs w:val="20"/>
        </w:rPr>
        <w:t xml:space="preserve"> opublikowanej na stronie internetowej</w:t>
      </w:r>
      <w:r w:rsidR="00C5639A" w:rsidRPr="00EB2E7B">
        <w:rPr>
          <w:rFonts w:asciiTheme="minorHAnsi" w:hAnsiTheme="minorHAnsi" w:cstheme="minorHAnsi"/>
          <w:sz w:val="20"/>
          <w:szCs w:val="20"/>
        </w:rPr>
        <w:t xml:space="preserve"> </w:t>
      </w:r>
      <w:r w:rsidR="002D4614" w:rsidRPr="00EB2E7B">
        <w:rPr>
          <w:rFonts w:asciiTheme="minorHAnsi" w:hAnsiTheme="minorHAnsi" w:cstheme="minorHAnsi"/>
          <w:sz w:val="20"/>
          <w:szCs w:val="20"/>
        </w:rPr>
        <w:t>ACPRO</w:t>
      </w:r>
      <w:r w:rsidRPr="00EB2E7B">
        <w:rPr>
          <w:rFonts w:asciiTheme="minorHAnsi" w:hAnsiTheme="minorHAnsi" w:cstheme="minorHAnsi"/>
          <w:sz w:val="20"/>
          <w:szCs w:val="20"/>
        </w:rPr>
        <w:t>,</w:t>
      </w:r>
    </w:p>
    <w:p w14:paraId="49D82E38" w14:textId="2C77D281" w:rsidR="00375393" w:rsidRPr="00EB2E7B" w:rsidRDefault="00375393" w:rsidP="0030533D">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 siedzibie ACPRO.</w:t>
      </w:r>
    </w:p>
    <w:p w14:paraId="57BA30E7" w14:textId="380D7268" w:rsidR="0030533D"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lastRenderedPageBreak/>
        <w:t>W celu uzyskania szczegółowych informacji odbiorca może złożyć zapytanie następującymi drogami</w:t>
      </w:r>
      <w:r w:rsidR="003E21CC" w:rsidRPr="00EB2E7B">
        <w:rPr>
          <w:rFonts w:asciiTheme="minorHAnsi" w:hAnsiTheme="minorHAnsi" w:cstheme="minorHAnsi"/>
          <w:sz w:val="20"/>
          <w:szCs w:val="20"/>
        </w:rPr>
        <w:t>:</w:t>
      </w:r>
    </w:p>
    <w:p w14:paraId="3FB0EC5F" w14:textId="59ACFBBB" w:rsidR="0030533D" w:rsidRPr="00EB2E7B" w:rsidRDefault="0030533D" w:rsidP="0030533D">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osobiście w punkcie obsługi klienta,</w:t>
      </w:r>
    </w:p>
    <w:p w14:paraId="0168DF18" w14:textId="6EBB4735" w:rsidR="0030533D" w:rsidRPr="00EB2E7B" w:rsidRDefault="0030533D" w:rsidP="0030533D">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listownie na adres ACPRO,</w:t>
      </w:r>
    </w:p>
    <w:p w14:paraId="2F434262" w14:textId="7438891E" w:rsidR="0030533D" w:rsidRPr="00EB2E7B" w:rsidRDefault="0030533D" w:rsidP="0030533D">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pocztą elektroniczną,</w:t>
      </w:r>
    </w:p>
    <w:p w14:paraId="425678F4" w14:textId="69733384" w:rsidR="0030533D" w:rsidRPr="00EB2E7B" w:rsidRDefault="0030533D" w:rsidP="00700978">
      <w:pPr>
        <w:pStyle w:val="Akapitzlist"/>
        <w:numPr>
          <w:ilvl w:val="7"/>
          <w:numId w:val="85"/>
        </w:numPr>
        <w:snapToGrid w:val="0"/>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telefonicznie.</w:t>
      </w:r>
    </w:p>
    <w:p w14:paraId="35F790B9" w14:textId="2B85AA1D" w:rsidR="0030533D" w:rsidRPr="00EB2E7B" w:rsidRDefault="0030533D" w:rsidP="00EE7359">
      <w:pPr>
        <w:pStyle w:val="Akapitzlist"/>
        <w:spacing w:line="266" w:lineRule="auto"/>
        <w:ind w:left="1134" w:firstLine="0"/>
        <w:contextualSpacing w:val="0"/>
        <w:rPr>
          <w:rFonts w:asciiTheme="minorHAnsi" w:hAnsiTheme="minorHAnsi" w:cstheme="minorHAnsi"/>
          <w:sz w:val="20"/>
          <w:szCs w:val="20"/>
        </w:rPr>
      </w:pPr>
      <w:r w:rsidRPr="00EB2E7B">
        <w:rPr>
          <w:rFonts w:asciiTheme="minorHAnsi" w:hAnsiTheme="minorHAnsi" w:cstheme="minorHAnsi"/>
          <w:sz w:val="20"/>
          <w:szCs w:val="20"/>
        </w:rPr>
        <w:t>ACPRO udziela odbiorcy odpowiedzi dotyczących informacji szczegółowych taką drogą jaką zostało złożone zapytanie, chyba że odbiorca wskaże inną drogę udzielenia odpowiedzi.</w:t>
      </w:r>
    </w:p>
    <w:p w14:paraId="4C06B2F8" w14:textId="5F521EC4" w:rsidR="00050CD5" w:rsidRPr="00EB2E7B" w:rsidRDefault="00E117FB" w:rsidP="00EE7359">
      <w:pPr>
        <w:pStyle w:val="Akapitzlist"/>
        <w:spacing w:line="266" w:lineRule="auto"/>
        <w:ind w:left="1134"/>
        <w:contextualSpacing w:val="0"/>
        <w:rPr>
          <w:rFonts w:asciiTheme="minorHAnsi" w:hAnsiTheme="minorHAnsi" w:cstheme="minorHAnsi"/>
          <w:sz w:val="20"/>
          <w:szCs w:val="20"/>
        </w:rPr>
      </w:pPr>
      <w:r w:rsidRPr="00EB2E7B">
        <w:rPr>
          <w:rFonts w:asciiTheme="minorHAnsi" w:hAnsiTheme="minorHAnsi" w:cstheme="minorHAnsi"/>
          <w:sz w:val="20"/>
          <w:szCs w:val="20"/>
        </w:rPr>
        <w:t>ACPRO</w:t>
      </w:r>
      <w:r w:rsidR="00050CD5" w:rsidRPr="00EB2E7B">
        <w:rPr>
          <w:rFonts w:asciiTheme="minorHAnsi" w:hAnsiTheme="minorHAnsi" w:cstheme="minorHAnsi"/>
          <w:sz w:val="20"/>
          <w:szCs w:val="20"/>
        </w:rPr>
        <w:t xml:space="preserve"> udziela odpowiedzi na zapytanie pisemne w terminie nie później niż 14 dni kalendarzowych od dnia złożenia zapytania</w:t>
      </w:r>
      <w:r w:rsidRPr="00EB2E7B">
        <w:rPr>
          <w:rFonts w:asciiTheme="minorHAnsi" w:hAnsiTheme="minorHAnsi" w:cstheme="minorHAnsi"/>
          <w:sz w:val="20"/>
          <w:szCs w:val="20"/>
        </w:rPr>
        <w:t>.</w:t>
      </w:r>
    </w:p>
    <w:p w14:paraId="3EE9FBBB" w14:textId="4DDD401B" w:rsidR="00473957" w:rsidRPr="00EB2E7B" w:rsidRDefault="00232DA9"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informuje odbiorców o warunkach zmiany sprzedawcy, a w szczególności o:</w:t>
      </w:r>
    </w:p>
    <w:p w14:paraId="316AFDFD" w14:textId="66B9106D" w:rsidR="00473957" w:rsidRPr="00EB2E7B" w:rsidRDefault="0077111A" w:rsidP="00EE7359">
      <w:pPr>
        <w:pStyle w:val="Akapitzlist"/>
        <w:numPr>
          <w:ilvl w:val="7"/>
          <w:numId w:val="8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uwarunkowaniach formalno-prawnych,</w:t>
      </w:r>
    </w:p>
    <w:p w14:paraId="709EB091" w14:textId="1E4F425D" w:rsidR="00473957" w:rsidRPr="00EB2E7B" w:rsidRDefault="0077111A" w:rsidP="00EE7359">
      <w:pPr>
        <w:pStyle w:val="Akapitzlist"/>
        <w:numPr>
          <w:ilvl w:val="7"/>
          <w:numId w:val="8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ogólnych zasadach funkcjonowania rynku bilansującego,</w:t>
      </w:r>
    </w:p>
    <w:p w14:paraId="12E8ACD4" w14:textId="0D0C537C" w:rsidR="00473957" w:rsidRPr="00EB2E7B" w:rsidRDefault="0077111A" w:rsidP="00EE7359">
      <w:pPr>
        <w:pStyle w:val="Akapitzlist"/>
        <w:numPr>
          <w:ilvl w:val="7"/>
          <w:numId w:val="8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procedurze zmiany sprzedawcy,</w:t>
      </w:r>
    </w:p>
    <w:p w14:paraId="033B0820" w14:textId="05F1BE16" w:rsidR="00473957" w:rsidRPr="00EB2E7B" w:rsidRDefault="0077111A" w:rsidP="00EE7359">
      <w:pPr>
        <w:pStyle w:val="Akapitzlist"/>
        <w:numPr>
          <w:ilvl w:val="7"/>
          <w:numId w:val="8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wymaganych umowach,</w:t>
      </w:r>
    </w:p>
    <w:p w14:paraId="0AB37591" w14:textId="20ED1B40" w:rsidR="00473957" w:rsidRPr="00EB2E7B" w:rsidRDefault="0077111A" w:rsidP="00EE7359">
      <w:pPr>
        <w:pStyle w:val="Akapitzlist"/>
        <w:numPr>
          <w:ilvl w:val="7"/>
          <w:numId w:val="8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prawach i obowiązkach podmiotów korzystających z prawa wyboru sprzedawcy,</w:t>
      </w:r>
    </w:p>
    <w:p w14:paraId="21B1E929" w14:textId="4BA35457" w:rsidR="00473957" w:rsidRPr="00EB2E7B" w:rsidRDefault="00D876CC" w:rsidP="00EE7359">
      <w:pPr>
        <w:pStyle w:val="Akapitzlist"/>
        <w:numPr>
          <w:ilvl w:val="7"/>
          <w:numId w:val="8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procedurach powiadamiania o zawartych umowach sprzedaży albo umowach kompleksowych oraz weryfikacji tych powiadomień</w:t>
      </w:r>
      <w:r w:rsidR="0077111A" w:rsidRPr="00EB2E7B">
        <w:rPr>
          <w:rFonts w:asciiTheme="minorHAnsi" w:hAnsiTheme="minorHAnsi" w:cstheme="minorHAnsi"/>
          <w:sz w:val="20"/>
          <w:szCs w:val="20"/>
        </w:rPr>
        <w:t>,</w:t>
      </w:r>
    </w:p>
    <w:p w14:paraId="414A9E2E" w14:textId="6D11780B" w:rsidR="00473957" w:rsidRPr="00EB2E7B" w:rsidRDefault="0077111A" w:rsidP="00EE7359">
      <w:pPr>
        <w:pStyle w:val="Akapitzlist"/>
        <w:numPr>
          <w:ilvl w:val="7"/>
          <w:numId w:val="8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zasadach </w:t>
      </w:r>
      <w:r w:rsidR="004528F5" w:rsidRPr="00EB2E7B">
        <w:rPr>
          <w:rFonts w:asciiTheme="minorHAnsi" w:hAnsiTheme="minorHAnsi" w:cstheme="minorHAnsi"/>
          <w:sz w:val="20"/>
          <w:szCs w:val="20"/>
        </w:rPr>
        <w:t>ustanawiania i zmiany POB</w:t>
      </w:r>
      <w:r w:rsidR="004528F5" w:rsidRPr="00EB2E7B">
        <w:rPr>
          <w:rFonts w:asciiTheme="minorHAnsi" w:hAnsiTheme="minorHAnsi" w:cstheme="minorHAnsi"/>
          <w:sz w:val="20"/>
          <w:szCs w:val="20"/>
          <w:vertAlign w:val="subscript"/>
        </w:rPr>
        <w:t>Z</w:t>
      </w:r>
      <w:r w:rsidR="004528F5" w:rsidRPr="00EB2E7B">
        <w:rPr>
          <w:rFonts w:asciiTheme="minorHAnsi" w:hAnsiTheme="minorHAnsi" w:cstheme="minorHAnsi"/>
          <w:sz w:val="20"/>
          <w:szCs w:val="20"/>
        </w:rPr>
        <w:t>,</w:t>
      </w:r>
    </w:p>
    <w:p w14:paraId="66A32290" w14:textId="76FBABC9" w:rsidR="00473957" w:rsidRPr="00EB2E7B" w:rsidRDefault="0077111A" w:rsidP="00EE7359">
      <w:pPr>
        <w:pStyle w:val="Akapitzlist"/>
        <w:numPr>
          <w:ilvl w:val="7"/>
          <w:numId w:val="8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warunkach świadczenia usług dystrybucyjnych.</w:t>
      </w:r>
    </w:p>
    <w:p w14:paraId="79D2D269" w14:textId="1B35F6F7"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Adresy pocztowe, adresy email oraz numery </w:t>
      </w:r>
      <w:r w:rsidR="00354D56" w:rsidRPr="00EB2E7B">
        <w:rPr>
          <w:rFonts w:asciiTheme="minorHAnsi" w:hAnsiTheme="minorHAnsi" w:cstheme="minorHAnsi"/>
          <w:sz w:val="20"/>
          <w:szCs w:val="20"/>
        </w:rPr>
        <w:t xml:space="preserve">telefonu </w:t>
      </w:r>
      <w:r w:rsidRPr="00EB2E7B">
        <w:rPr>
          <w:rFonts w:asciiTheme="minorHAnsi" w:hAnsiTheme="minorHAnsi" w:cstheme="minorHAnsi"/>
          <w:sz w:val="20"/>
          <w:szCs w:val="20"/>
        </w:rPr>
        <w:t>niezbędne do kontaktu z</w:t>
      </w:r>
      <w:r w:rsidR="00F5333B" w:rsidRPr="00EB2E7B">
        <w:rPr>
          <w:rFonts w:asciiTheme="minorHAnsi" w:hAnsiTheme="minorHAnsi" w:cstheme="minorHAnsi"/>
          <w:sz w:val="20"/>
          <w:szCs w:val="20"/>
        </w:rPr>
        <w:t>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zamieszczone są na stronie internetowej </w:t>
      </w:r>
      <w:r w:rsidR="00232DA9" w:rsidRPr="00EB2E7B">
        <w:rPr>
          <w:rFonts w:asciiTheme="minorHAnsi" w:hAnsiTheme="minorHAnsi" w:cstheme="minorHAnsi"/>
          <w:sz w:val="20"/>
          <w:szCs w:val="20"/>
        </w:rPr>
        <w:t>ACPRO</w:t>
      </w:r>
      <w:r w:rsidR="00694304" w:rsidRPr="00EB2E7B">
        <w:rPr>
          <w:rFonts w:asciiTheme="minorHAnsi" w:hAnsiTheme="minorHAnsi" w:cstheme="minorHAnsi"/>
          <w:sz w:val="20"/>
          <w:szCs w:val="20"/>
        </w:rPr>
        <w:t>.</w:t>
      </w:r>
      <w:r w:rsidRPr="00EB2E7B" w:rsidDel="00203E10">
        <w:rPr>
          <w:rFonts w:asciiTheme="minorHAnsi" w:hAnsiTheme="minorHAnsi" w:cstheme="minorHAnsi"/>
          <w:sz w:val="20"/>
          <w:szCs w:val="20"/>
        </w:rPr>
        <w:t xml:space="preserve"> </w:t>
      </w:r>
    </w:p>
    <w:p w14:paraId="27DF01EE" w14:textId="6592F372" w:rsidR="003526BE"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Na wniosek URD,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przedstawia aktualną listę sprzedawców, o której mowa w pkt. </w:t>
      </w:r>
      <w:r w:rsidR="005E72D9" w:rsidRPr="00EB2E7B">
        <w:rPr>
          <w:rFonts w:asciiTheme="minorHAnsi" w:hAnsiTheme="minorHAnsi" w:cstheme="minorHAnsi"/>
          <w:sz w:val="20"/>
          <w:szCs w:val="20"/>
        </w:rPr>
        <w:fldChar w:fldCharType="begin"/>
      </w:r>
      <w:r w:rsidR="005E72D9" w:rsidRPr="00EB2E7B">
        <w:rPr>
          <w:rFonts w:asciiTheme="minorHAnsi" w:hAnsiTheme="minorHAnsi" w:cstheme="minorHAnsi"/>
          <w:sz w:val="20"/>
          <w:szCs w:val="20"/>
        </w:rPr>
        <w:instrText xml:space="preserve"> REF _Ref75522208 \w \h  \* MERGEFORMAT </w:instrText>
      </w:r>
      <w:r w:rsidR="005E72D9" w:rsidRPr="00EB2E7B">
        <w:rPr>
          <w:rFonts w:asciiTheme="minorHAnsi" w:hAnsiTheme="minorHAnsi" w:cstheme="minorHAnsi"/>
          <w:sz w:val="20"/>
          <w:szCs w:val="20"/>
        </w:rPr>
      </w:r>
      <w:r w:rsidR="005E72D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A.3.7</w:t>
      </w:r>
      <w:r w:rsidR="005E72D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005E72D9" w:rsidRPr="00EB2E7B">
        <w:rPr>
          <w:rFonts w:asciiTheme="minorHAnsi" w:hAnsiTheme="minorHAnsi" w:cstheme="minorHAnsi"/>
          <w:sz w:val="20"/>
          <w:szCs w:val="20"/>
        </w:rPr>
        <w:fldChar w:fldCharType="begin"/>
      </w:r>
      <w:r w:rsidR="005E72D9" w:rsidRPr="00EB2E7B">
        <w:rPr>
          <w:rFonts w:asciiTheme="minorHAnsi" w:hAnsiTheme="minorHAnsi" w:cstheme="minorHAnsi"/>
          <w:sz w:val="20"/>
          <w:szCs w:val="20"/>
        </w:rPr>
        <w:instrText xml:space="preserve"> REF _Ref190104905 \w \h  \* MERGEFORMAT </w:instrText>
      </w:r>
      <w:r w:rsidR="005E72D9" w:rsidRPr="00EB2E7B">
        <w:rPr>
          <w:rFonts w:asciiTheme="minorHAnsi" w:hAnsiTheme="minorHAnsi" w:cstheme="minorHAnsi"/>
          <w:sz w:val="20"/>
          <w:szCs w:val="20"/>
        </w:rPr>
      </w:r>
      <w:r w:rsidR="005E72D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5E72D9" w:rsidRPr="00EB2E7B">
        <w:rPr>
          <w:rFonts w:asciiTheme="minorHAnsi" w:hAnsiTheme="minorHAnsi" w:cstheme="minorHAnsi"/>
          <w:sz w:val="20"/>
          <w:szCs w:val="20"/>
        </w:rPr>
        <w:fldChar w:fldCharType="end"/>
      </w:r>
      <w:r w:rsidR="009125A1" w:rsidRPr="00EB2E7B">
        <w:rPr>
          <w:rFonts w:asciiTheme="minorHAnsi" w:hAnsiTheme="minorHAnsi" w:cstheme="minorHAnsi"/>
          <w:sz w:val="20"/>
          <w:szCs w:val="20"/>
        </w:rPr>
        <w:t xml:space="preserve"> </w:t>
      </w:r>
      <w:r w:rsidRPr="00EB2E7B">
        <w:rPr>
          <w:rFonts w:asciiTheme="minorHAnsi" w:hAnsiTheme="minorHAnsi" w:cstheme="minorHAnsi"/>
          <w:sz w:val="20"/>
          <w:szCs w:val="20"/>
        </w:rPr>
        <w:t>lub</w:t>
      </w:r>
      <w:r w:rsidR="005E72D9" w:rsidRPr="00EB2E7B">
        <w:rPr>
          <w:rFonts w:asciiTheme="minorHAnsi" w:hAnsiTheme="minorHAnsi" w:cstheme="minorHAnsi"/>
          <w:sz w:val="20"/>
          <w:szCs w:val="20"/>
        </w:rPr>
        <w:t xml:space="preserve"> </w:t>
      </w:r>
      <w:r w:rsidR="005E72D9" w:rsidRPr="00EB2E7B">
        <w:rPr>
          <w:rFonts w:asciiTheme="minorHAnsi" w:hAnsiTheme="minorHAnsi" w:cstheme="minorHAnsi"/>
          <w:sz w:val="20"/>
          <w:szCs w:val="20"/>
        </w:rPr>
        <w:fldChar w:fldCharType="begin"/>
      </w:r>
      <w:r w:rsidR="005E72D9" w:rsidRPr="00EB2E7B">
        <w:rPr>
          <w:rFonts w:asciiTheme="minorHAnsi" w:hAnsiTheme="minorHAnsi" w:cstheme="minorHAnsi"/>
          <w:sz w:val="20"/>
          <w:szCs w:val="20"/>
        </w:rPr>
        <w:instrText xml:space="preserve"> REF _Ref190097323 \w \h  \* MERGEFORMAT </w:instrText>
      </w:r>
      <w:r w:rsidR="005E72D9" w:rsidRPr="00EB2E7B">
        <w:rPr>
          <w:rFonts w:asciiTheme="minorHAnsi" w:hAnsiTheme="minorHAnsi" w:cstheme="minorHAnsi"/>
          <w:sz w:val="20"/>
          <w:szCs w:val="20"/>
        </w:rPr>
      </w:r>
      <w:r w:rsidR="005E72D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5E72D9"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159BDA3" w14:textId="77777777" w:rsidR="00A54D70" w:rsidRPr="00EB2E7B" w:rsidRDefault="00A54D70" w:rsidP="00472992">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50DE36DE" w14:textId="79A0F6F8" w:rsidR="006321F3" w:rsidRPr="00EB2E7B" w:rsidRDefault="00B016AC" w:rsidP="00AD6251">
      <w:pPr>
        <w:pStyle w:val="ANagwek1"/>
        <w:numPr>
          <w:ilvl w:val="0"/>
          <w:numId w:val="85"/>
        </w:numPr>
        <w:rPr>
          <w:rFonts w:asciiTheme="minorHAnsi" w:hAnsiTheme="minorHAnsi" w:cstheme="minorHAnsi"/>
          <w:b/>
          <w:bCs w:val="0"/>
          <w:sz w:val="20"/>
          <w:szCs w:val="20"/>
        </w:rPr>
      </w:pPr>
      <w:bookmarkStart w:id="624" w:name="_Ref190114964"/>
      <w:bookmarkStart w:id="625" w:name="_Ref190170026"/>
      <w:bookmarkStart w:id="626" w:name="_Ref190170193"/>
      <w:bookmarkStart w:id="627" w:name="_Toc239333407"/>
      <w:bookmarkStart w:id="628" w:name="_Ref75525463"/>
      <w:bookmarkStart w:id="629" w:name="_Toc180153778"/>
      <w:r w:rsidRPr="00EB2E7B">
        <w:rPr>
          <w:rFonts w:asciiTheme="minorHAnsi" w:hAnsiTheme="minorHAnsi" w:cstheme="minorHAnsi"/>
          <w:b/>
          <w:bCs w:val="0"/>
          <w:sz w:val="20"/>
          <w:szCs w:val="20"/>
        </w:rPr>
        <w:lastRenderedPageBreak/>
        <w:t>ZASADY BILANSOWANIA HANDLOWEGO W OBSZARZE RYNKU DETALICZNEGO</w:t>
      </w:r>
      <w:bookmarkEnd w:id="624"/>
      <w:bookmarkEnd w:id="625"/>
      <w:bookmarkEnd w:id="626"/>
      <w:bookmarkEnd w:id="627"/>
    </w:p>
    <w:p w14:paraId="7F42675F" w14:textId="2D5B96FC" w:rsidR="00473957" w:rsidRPr="00EB2E7B" w:rsidRDefault="0077111A" w:rsidP="004D1C36">
      <w:pPr>
        <w:pStyle w:val="ANagwek2"/>
        <w:rPr>
          <w:rFonts w:asciiTheme="minorHAnsi" w:hAnsiTheme="minorHAnsi" w:cstheme="minorHAnsi"/>
          <w:b w:val="0"/>
          <w:bCs w:val="0"/>
          <w:sz w:val="20"/>
          <w:szCs w:val="20"/>
        </w:rPr>
      </w:pPr>
      <w:bookmarkStart w:id="630" w:name="_Toc189833804"/>
      <w:bookmarkStart w:id="631" w:name="_Toc239333408"/>
      <w:bookmarkEnd w:id="628"/>
      <w:bookmarkEnd w:id="629"/>
      <w:r w:rsidRPr="00EB2E7B">
        <w:rPr>
          <w:rFonts w:asciiTheme="minorHAnsi" w:hAnsiTheme="minorHAnsi" w:cstheme="minorHAnsi"/>
          <w:b w:val="0"/>
          <w:bCs w:val="0"/>
          <w:sz w:val="20"/>
          <w:szCs w:val="20"/>
        </w:rPr>
        <w:t xml:space="preserve">Procedura </w:t>
      </w:r>
      <w:r w:rsidR="004528F5" w:rsidRPr="00EB2E7B">
        <w:rPr>
          <w:rFonts w:asciiTheme="minorHAnsi" w:hAnsiTheme="minorHAnsi" w:cstheme="minorHAnsi"/>
          <w:b w:val="0"/>
          <w:bCs w:val="0"/>
          <w:sz w:val="20"/>
          <w:szCs w:val="20"/>
        </w:rPr>
        <w:t>ustanawiania i zmiany POB</w:t>
      </w:r>
      <w:r w:rsidR="004528F5" w:rsidRPr="00EB2E7B">
        <w:rPr>
          <w:rFonts w:asciiTheme="minorHAnsi" w:hAnsiTheme="minorHAnsi" w:cstheme="minorHAnsi"/>
          <w:b w:val="0"/>
          <w:bCs w:val="0"/>
          <w:sz w:val="20"/>
          <w:szCs w:val="20"/>
          <w:vertAlign w:val="subscript"/>
        </w:rPr>
        <w:t>Z</w:t>
      </w:r>
      <w:r w:rsidR="004528F5" w:rsidRPr="00EB2E7B">
        <w:rPr>
          <w:rFonts w:asciiTheme="minorHAnsi" w:hAnsiTheme="minorHAnsi" w:cstheme="minorHAnsi"/>
          <w:b w:val="0"/>
          <w:bCs w:val="0"/>
          <w:sz w:val="20"/>
          <w:szCs w:val="20"/>
        </w:rPr>
        <w:t xml:space="preserve"> przebiega zgodnie z zapisami </w:t>
      </w:r>
      <w:proofErr w:type="spellStart"/>
      <w:r w:rsidR="004528F5" w:rsidRPr="00EB2E7B">
        <w:rPr>
          <w:rFonts w:asciiTheme="minorHAnsi" w:hAnsiTheme="minorHAnsi" w:cstheme="minorHAnsi"/>
          <w:b w:val="0"/>
          <w:bCs w:val="0"/>
          <w:sz w:val="20"/>
          <w:szCs w:val="20"/>
        </w:rPr>
        <w:t>IRiESD</w:t>
      </w:r>
      <w:proofErr w:type="spellEnd"/>
      <w:r w:rsidR="004528F5" w:rsidRPr="00EB2E7B">
        <w:rPr>
          <w:rFonts w:asciiTheme="minorHAnsi" w:hAnsiTheme="minorHAnsi" w:cstheme="minorHAnsi"/>
          <w:b w:val="0"/>
          <w:bCs w:val="0"/>
          <w:sz w:val="20"/>
          <w:szCs w:val="20"/>
        </w:rPr>
        <w:t xml:space="preserve"> oraz WDB.</w:t>
      </w:r>
      <w:bookmarkEnd w:id="630"/>
      <w:bookmarkEnd w:id="631"/>
    </w:p>
    <w:p w14:paraId="3184A997" w14:textId="6FBBBF66" w:rsidR="00473957" w:rsidRPr="00EB2E7B" w:rsidRDefault="0077111A"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POB</w:t>
      </w:r>
      <w:r w:rsidR="004528F5"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jest ustanawiany przez: </w:t>
      </w:r>
    </w:p>
    <w:p w14:paraId="496AC5EB" w14:textId="618510D1" w:rsidR="00473957" w:rsidRPr="00EB2E7B" w:rsidRDefault="0077111A" w:rsidP="00EE7359">
      <w:pPr>
        <w:pStyle w:val="1przed"/>
        <w:numPr>
          <w:ilvl w:val="0"/>
          <w:numId w:val="123"/>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Sprzedawcę, </w:t>
      </w:r>
      <w:r w:rsidR="004528F5" w:rsidRPr="00EB2E7B">
        <w:rPr>
          <w:rFonts w:asciiTheme="minorHAnsi" w:hAnsiTheme="minorHAnsi" w:cstheme="minorHAnsi"/>
          <w:sz w:val="20"/>
          <w:szCs w:val="20"/>
        </w:rPr>
        <w:t>który zamierza sprzedawać energię elektryczną URD</w:t>
      </w:r>
      <w:r w:rsidR="004528F5" w:rsidRPr="00EB2E7B">
        <w:rPr>
          <w:rFonts w:asciiTheme="minorHAnsi" w:hAnsiTheme="minorHAnsi" w:cstheme="minorHAnsi"/>
          <w:sz w:val="20"/>
          <w:szCs w:val="20"/>
          <w:vertAlign w:val="subscript"/>
        </w:rPr>
        <w:t xml:space="preserve">O </w:t>
      </w:r>
      <w:r w:rsidR="004528F5" w:rsidRPr="00EB2E7B">
        <w:rPr>
          <w:rFonts w:asciiTheme="minorHAnsi" w:hAnsiTheme="minorHAnsi" w:cstheme="minorHAnsi"/>
          <w:sz w:val="20"/>
          <w:szCs w:val="20"/>
        </w:rPr>
        <w:t>przyłączonemu do sieci dystrybucyjnej ACPRO,</w:t>
      </w:r>
    </w:p>
    <w:p w14:paraId="1D5EC40C" w14:textId="028A820E" w:rsidR="0020110B" w:rsidRPr="00EB2E7B" w:rsidRDefault="004528F5"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przyłączonego do sieci dystrybucyjnej ACPRO,</w:t>
      </w:r>
    </w:p>
    <w:p w14:paraId="2037ADD4" w14:textId="547155E1" w:rsidR="00473957" w:rsidRPr="00EB2E7B" w:rsidRDefault="004528F5"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przyłączonego do sieci dystrybucyjnej ACPRO.</w:t>
      </w:r>
    </w:p>
    <w:p w14:paraId="13144F3F" w14:textId="71532AF5" w:rsidR="00473957" w:rsidRPr="00EB2E7B" w:rsidRDefault="004528F5"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jest wskazywany przez sprzedawcę, który zawarł z tym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umowę sprzedaży albo umowę kompleksową.</w:t>
      </w:r>
    </w:p>
    <w:p w14:paraId="0D30E454" w14:textId="7C9FE7F1" w:rsidR="00473957" w:rsidRPr="00EB2E7B" w:rsidRDefault="0020110B" w:rsidP="004D1C36">
      <w:pPr>
        <w:pStyle w:val="ANagwek2"/>
        <w:rPr>
          <w:rFonts w:asciiTheme="minorHAnsi" w:hAnsiTheme="minorHAnsi" w:cstheme="minorHAnsi"/>
          <w:b w:val="0"/>
          <w:bCs w:val="0"/>
          <w:sz w:val="20"/>
          <w:szCs w:val="20"/>
        </w:rPr>
      </w:pPr>
      <w:bookmarkStart w:id="632" w:name="_Ref99048693"/>
      <w:bookmarkStart w:id="633" w:name="_Toc189833805"/>
      <w:bookmarkStart w:id="634" w:name="_Ref190120739"/>
      <w:bookmarkStart w:id="635" w:name="_Toc239333409"/>
      <w:r w:rsidRPr="00EB2E7B">
        <w:rPr>
          <w:rFonts w:asciiTheme="minorHAnsi" w:hAnsiTheme="minorHAnsi" w:cstheme="minorHAnsi"/>
          <w:b w:val="0"/>
          <w:bCs w:val="0"/>
          <w:sz w:val="20"/>
          <w:szCs w:val="20"/>
        </w:rPr>
        <w:t xml:space="preserve">Proces </w:t>
      </w:r>
      <w:bookmarkEnd w:id="632"/>
      <w:r w:rsidR="00E75F71" w:rsidRPr="00EB2E7B">
        <w:rPr>
          <w:rFonts w:asciiTheme="minorHAnsi" w:hAnsiTheme="minorHAnsi" w:cstheme="minorHAnsi"/>
          <w:b w:val="0"/>
          <w:bCs w:val="0"/>
          <w:sz w:val="20"/>
          <w:szCs w:val="20"/>
        </w:rPr>
        <w:t>ustanawiania i zmiany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xml:space="preserve"> przez sprzedawcę, URD</w:t>
      </w:r>
      <w:r w:rsidR="00E75F71" w:rsidRPr="00EB2E7B">
        <w:rPr>
          <w:rFonts w:asciiTheme="minorHAnsi" w:hAnsiTheme="minorHAnsi" w:cstheme="minorHAnsi"/>
          <w:b w:val="0"/>
          <w:bCs w:val="0"/>
          <w:sz w:val="20"/>
          <w:szCs w:val="20"/>
          <w:vertAlign w:val="subscript"/>
        </w:rPr>
        <w:t>W</w:t>
      </w:r>
      <w:r w:rsidR="00E75F71" w:rsidRPr="00EB2E7B">
        <w:rPr>
          <w:rFonts w:asciiTheme="minorHAnsi" w:hAnsiTheme="minorHAnsi" w:cstheme="minorHAnsi"/>
          <w:b w:val="0"/>
          <w:bCs w:val="0"/>
          <w:sz w:val="20"/>
          <w:szCs w:val="20"/>
        </w:rPr>
        <w:t xml:space="preserve"> lub URD</w:t>
      </w:r>
      <w:r w:rsidR="00E75F71" w:rsidRPr="00EB2E7B">
        <w:rPr>
          <w:rFonts w:asciiTheme="minorHAnsi" w:hAnsiTheme="minorHAnsi" w:cstheme="minorHAnsi"/>
          <w:b w:val="0"/>
          <w:bCs w:val="0"/>
          <w:sz w:val="20"/>
          <w:szCs w:val="20"/>
          <w:vertAlign w:val="subscript"/>
        </w:rPr>
        <w:t>ME</w:t>
      </w:r>
      <w:r w:rsidR="00E75F71" w:rsidRPr="00EB2E7B">
        <w:rPr>
          <w:rFonts w:asciiTheme="minorHAnsi" w:hAnsiTheme="minorHAnsi" w:cstheme="minorHAnsi"/>
          <w:b w:val="0"/>
          <w:bCs w:val="0"/>
          <w:sz w:val="20"/>
          <w:szCs w:val="20"/>
        </w:rPr>
        <w:t>, jest realizowany według następującej procedury:</w:t>
      </w:r>
      <w:bookmarkEnd w:id="633"/>
      <w:bookmarkEnd w:id="634"/>
      <w:bookmarkEnd w:id="635"/>
    </w:p>
    <w:p w14:paraId="27B42616" w14:textId="19D12EB6" w:rsidR="00473957" w:rsidRPr="00EB2E7B" w:rsidRDefault="0020110B" w:rsidP="00EE7359">
      <w:pPr>
        <w:pStyle w:val="1przed"/>
        <w:numPr>
          <w:ilvl w:val="0"/>
          <w:numId w:val="124"/>
        </w:numPr>
        <w:ind w:left="1701" w:hanging="567"/>
        <w:rPr>
          <w:rFonts w:asciiTheme="minorHAnsi" w:hAnsiTheme="minorHAnsi" w:cstheme="minorHAnsi"/>
          <w:sz w:val="20"/>
          <w:szCs w:val="20"/>
        </w:rPr>
      </w:pPr>
      <w:bookmarkStart w:id="636" w:name="_Ref99048550"/>
      <w:bookmarkStart w:id="637" w:name="_Ref190120611"/>
      <w:r w:rsidRPr="00EB2E7B">
        <w:rPr>
          <w:rFonts w:asciiTheme="minorHAnsi" w:hAnsiTheme="minorHAnsi" w:cstheme="minorHAnsi"/>
          <w:sz w:val="20"/>
          <w:szCs w:val="20"/>
        </w:rPr>
        <w:t xml:space="preserve">Sprzedawca, </w:t>
      </w:r>
      <w:bookmarkEnd w:id="636"/>
      <w:r w:rsidR="00E75F71" w:rsidRPr="00EB2E7B">
        <w:rPr>
          <w:rFonts w:asciiTheme="minorHAnsi" w:hAnsiTheme="minorHAnsi" w:cstheme="minorHAnsi"/>
          <w:sz w:val="20"/>
          <w:szCs w:val="20"/>
        </w:rPr>
        <w:t>URD</w:t>
      </w:r>
      <w:r w:rsidR="00E75F71" w:rsidRPr="00EB2E7B">
        <w:rPr>
          <w:rFonts w:asciiTheme="minorHAnsi" w:hAnsiTheme="minorHAnsi" w:cstheme="minorHAnsi"/>
          <w:sz w:val="20"/>
          <w:szCs w:val="20"/>
          <w:vertAlign w:val="subscript"/>
        </w:rPr>
        <w:t>W</w:t>
      </w:r>
      <w:r w:rsidR="00E75F71" w:rsidRPr="00EB2E7B">
        <w:rPr>
          <w:rFonts w:asciiTheme="minorHAnsi" w:hAnsiTheme="minorHAnsi" w:cstheme="minorHAnsi"/>
          <w:sz w:val="20"/>
          <w:szCs w:val="20"/>
        </w:rPr>
        <w:t>, URD</w:t>
      </w:r>
      <w:r w:rsidR="00E75F71" w:rsidRPr="00EB2E7B">
        <w:rPr>
          <w:rFonts w:asciiTheme="minorHAnsi" w:hAnsiTheme="minorHAnsi" w:cstheme="minorHAnsi"/>
          <w:sz w:val="20"/>
          <w:szCs w:val="20"/>
          <w:vertAlign w:val="subscript"/>
        </w:rPr>
        <w:t>ME</w:t>
      </w:r>
      <w:r w:rsidR="00E75F71" w:rsidRPr="00EB2E7B">
        <w:rPr>
          <w:rFonts w:asciiTheme="minorHAnsi" w:hAnsiTheme="minorHAnsi" w:cstheme="minorHAnsi"/>
          <w:sz w:val="20"/>
          <w:szCs w:val="20"/>
        </w:rPr>
        <w:t xml:space="preserve"> lub nowy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xml:space="preserve"> powiadamia ACPRO, na formularzu zgodnym z wzorem zamieszczonym na stronie internetowej ACPRO, o ustanowieniu lub zmianie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formularz ten powinien zostać podpisany zarówno przez nowego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xml:space="preserve"> jak i sprzedawcę, URD</w:t>
      </w:r>
      <w:r w:rsidR="00E75F71" w:rsidRPr="00EB2E7B">
        <w:rPr>
          <w:rFonts w:asciiTheme="minorHAnsi" w:hAnsiTheme="minorHAnsi" w:cstheme="minorHAnsi"/>
          <w:sz w:val="20"/>
          <w:szCs w:val="20"/>
          <w:vertAlign w:val="subscript"/>
        </w:rPr>
        <w:t>W</w:t>
      </w:r>
      <w:r w:rsidR="00E75F71" w:rsidRPr="00EB2E7B">
        <w:rPr>
          <w:rFonts w:asciiTheme="minorHAnsi" w:hAnsiTheme="minorHAnsi" w:cstheme="minorHAnsi"/>
          <w:sz w:val="20"/>
          <w:szCs w:val="20"/>
        </w:rPr>
        <w:t xml:space="preserve"> lub URD</w:t>
      </w:r>
      <w:r w:rsidR="00E75F71" w:rsidRPr="00EB2E7B">
        <w:rPr>
          <w:rFonts w:asciiTheme="minorHAnsi" w:hAnsiTheme="minorHAnsi" w:cstheme="minorHAnsi"/>
          <w:sz w:val="20"/>
          <w:szCs w:val="20"/>
          <w:vertAlign w:val="subscript"/>
        </w:rPr>
        <w:t>ME</w:t>
      </w:r>
      <w:r w:rsidR="00E75F71" w:rsidRPr="00EB2E7B">
        <w:rPr>
          <w:rFonts w:asciiTheme="minorHAnsi" w:hAnsiTheme="minorHAnsi" w:cstheme="minorHAnsi"/>
          <w:sz w:val="20"/>
          <w:szCs w:val="20"/>
        </w:rPr>
        <w:t>,</w:t>
      </w:r>
      <w:bookmarkEnd w:id="637"/>
    </w:p>
    <w:p w14:paraId="4525DCFA" w14:textId="2D55849B" w:rsidR="00473957" w:rsidRPr="00EB2E7B" w:rsidRDefault="0020110B"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ACPRO </w:t>
      </w:r>
      <w:r w:rsidR="00E75F71" w:rsidRPr="00EB2E7B">
        <w:rPr>
          <w:rFonts w:asciiTheme="minorHAnsi" w:hAnsiTheme="minorHAnsi" w:cstheme="minorHAnsi"/>
          <w:sz w:val="20"/>
          <w:szCs w:val="20"/>
        </w:rPr>
        <w:t xml:space="preserve"> dokonuje weryfikacji poprawności otrzymanego powiadomienia w ciągu 5 dni roboczych od jego otrzymania, pod względem poprawności i</w:t>
      </w:r>
      <w:r w:rsidR="00A75043" w:rsidRPr="00EB2E7B">
        <w:rPr>
          <w:rFonts w:asciiTheme="minorHAnsi" w:hAnsiTheme="minorHAnsi" w:cstheme="minorHAnsi"/>
          <w:sz w:val="20"/>
          <w:szCs w:val="20"/>
        </w:rPr>
        <w:t> </w:t>
      </w:r>
      <w:r w:rsidR="00E75F71" w:rsidRPr="00EB2E7B">
        <w:rPr>
          <w:rFonts w:asciiTheme="minorHAnsi" w:hAnsiTheme="minorHAnsi" w:cstheme="minorHAnsi"/>
          <w:sz w:val="20"/>
          <w:szCs w:val="20"/>
        </w:rPr>
        <w:t xml:space="preserve">zgodności z </w:t>
      </w:r>
      <w:proofErr w:type="spellStart"/>
      <w:r w:rsidR="00E75F71" w:rsidRPr="00EB2E7B">
        <w:rPr>
          <w:rFonts w:asciiTheme="minorHAnsi" w:hAnsiTheme="minorHAnsi" w:cstheme="minorHAnsi"/>
          <w:sz w:val="20"/>
          <w:szCs w:val="20"/>
        </w:rPr>
        <w:t>IRiESD</w:t>
      </w:r>
      <w:proofErr w:type="spellEnd"/>
      <w:r w:rsidR="00E75F71" w:rsidRPr="00EB2E7B">
        <w:rPr>
          <w:rFonts w:asciiTheme="minorHAnsi" w:hAnsiTheme="minorHAnsi" w:cstheme="minorHAnsi"/>
          <w:sz w:val="20"/>
          <w:szCs w:val="20"/>
        </w:rPr>
        <w:t xml:space="preserve"> oraz zawartymi umowami dystrybucji,</w:t>
      </w:r>
    </w:p>
    <w:p w14:paraId="589B4B7E" w14:textId="44CCEE5F" w:rsidR="00473957" w:rsidRPr="00EB2E7B" w:rsidRDefault="0020110B" w:rsidP="00EE7359">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ACPRO, </w:t>
      </w:r>
      <w:r w:rsidR="00E75F71" w:rsidRPr="00EB2E7B">
        <w:rPr>
          <w:rFonts w:asciiTheme="minorHAnsi" w:hAnsiTheme="minorHAnsi" w:cstheme="minorHAnsi"/>
          <w:sz w:val="20"/>
          <w:szCs w:val="20"/>
        </w:rPr>
        <w:t>w przypadku pozytywnej weryfikacji:</w:t>
      </w:r>
    </w:p>
    <w:p w14:paraId="58AC1775" w14:textId="6F398596" w:rsidR="00473957" w:rsidRPr="00EB2E7B" w:rsidRDefault="0020110B" w:rsidP="00AD6251">
      <w:pPr>
        <w:pStyle w:val="apo"/>
        <w:numPr>
          <w:ilvl w:val="0"/>
          <w:numId w:val="125"/>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niezwłocznie </w:t>
      </w:r>
      <w:r w:rsidR="00E75F71" w:rsidRPr="00EB2E7B">
        <w:rPr>
          <w:rFonts w:asciiTheme="minorHAnsi" w:hAnsiTheme="minorHAnsi" w:cstheme="minorHAnsi"/>
          <w:sz w:val="20"/>
          <w:szCs w:val="20"/>
        </w:rPr>
        <w:t>informuje dotychczasowego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xml:space="preserve"> o dacie, w której przestaje pełnić funkcję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xml:space="preserve"> oraz dokonuje aktualizacji stosownych postanowień umowy dystrybucji z tym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xml:space="preserve"> – w przypadku zmiany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w:t>
      </w:r>
    </w:p>
    <w:p w14:paraId="5D0CD8EA" w14:textId="073EB6C3" w:rsidR="00473957" w:rsidRPr="00EB2E7B" w:rsidRDefault="0020110B" w:rsidP="00AD6251">
      <w:pPr>
        <w:pStyle w:val="apo"/>
        <w:numPr>
          <w:ilvl w:val="0"/>
          <w:numId w:val="125"/>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niezwłocznie </w:t>
      </w:r>
      <w:r w:rsidR="00E75F71" w:rsidRPr="00EB2E7B">
        <w:rPr>
          <w:rFonts w:asciiTheme="minorHAnsi" w:hAnsiTheme="minorHAnsi" w:cstheme="minorHAnsi"/>
          <w:sz w:val="20"/>
          <w:szCs w:val="20"/>
        </w:rPr>
        <w:t>informuje sprzedawcę, URD</w:t>
      </w:r>
      <w:r w:rsidR="00E75F71" w:rsidRPr="00EB2E7B">
        <w:rPr>
          <w:rFonts w:asciiTheme="minorHAnsi" w:hAnsiTheme="minorHAnsi" w:cstheme="minorHAnsi"/>
          <w:sz w:val="20"/>
          <w:szCs w:val="20"/>
          <w:vertAlign w:val="subscript"/>
        </w:rPr>
        <w:t>W</w:t>
      </w:r>
      <w:r w:rsidR="00E75F71" w:rsidRPr="00EB2E7B">
        <w:rPr>
          <w:rFonts w:asciiTheme="minorHAnsi" w:hAnsiTheme="minorHAnsi" w:cstheme="minorHAnsi"/>
          <w:sz w:val="20"/>
          <w:szCs w:val="20"/>
        </w:rPr>
        <w:t xml:space="preserve"> lub URD</w:t>
      </w:r>
      <w:r w:rsidR="00E75F71" w:rsidRPr="00EB2E7B">
        <w:rPr>
          <w:rFonts w:asciiTheme="minorHAnsi" w:hAnsiTheme="minorHAnsi" w:cstheme="minorHAnsi"/>
          <w:sz w:val="20"/>
          <w:szCs w:val="20"/>
          <w:vertAlign w:val="subscript"/>
        </w:rPr>
        <w:t>ME</w:t>
      </w:r>
      <w:r w:rsidR="00E75F71" w:rsidRPr="00EB2E7B">
        <w:rPr>
          <w:rFonts w:asciiTheme="minorHAnsi" w:hAnsiTheme="minorHAnsi" w:cstheme="minorHAnsi"/>
          <w:sz w:val="20"/>
          <w:szCs w:val="20"/>
        </w:rPr>
        <w:t xml:space="preserve"> oraz nowego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xml:space="preserve"> o dacie, w której następuje ustanowienie lub zmiana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w:t>
      </w:r>
    </w:p>
    <w:p w14:paraId="50EA7B0C" w14:textId="3B118C94" w:rsidR="00473957" w:rsidRPr="00EB2E7B" w:rsidRDefault="0020110B" w:rsidP="00AD6251">
      <w:pPr>
        <w:pStyle w:val="apo"/>
        <w:numPr>
          <w:ilvl w:val="0"/>
          <w:numId w:val="125"/>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przyporządkowuje </w:t>
      </w:r>
      <w:r w:rsidR="00E75F71" w:rsidRPr="00EB2E7B">
        <w:rPr>
          <w:rFonts w:asciiTheme="minorHAnsi" w:hAnsiTheme="minorHAnsi" w:cstheme="minorHAnsi"/>
          <w:sz w:val="20"/>
          <w:szCs w:val="20"/>
        </w:rPr>
        <w:t>w swoich systemach informatycznych obsługi rynku energii PPE URD</w:t>
      </w:r>
      <w:r w:rsidR="00E75F71" w:rsidRPr="00EB2E7B">
        <w:rPr>
          <w:rFonts w:asciiTheme="minorHAnsi" w:hAnsiTheme="minorHAnsi" w:cstheme="minorHAnsi"/>
          <w:sz w:val="20"/>
          <w:szCs w:val="20"/>
          <w:vertAlign w:val="subscript"/>
        </w:rPr>
        <w:t>O</w:t>
      </w:r>
      <w:r w:rsidR="00E75F71" w:rsidRPr="00EB2E7B">
        <w:rPr>
          <w:rFonts w:asciiTheme="minorHAnsi" w:hAnsiTheme="minorHAnsi" w:cstheme="minorHAnsi"/>
          <w:sz w:val="20"/>
          <w:szCs w:val="20"/>
        </w:rPr>
        <w:t xml:space="preserve"> posiadających umowę sprzedaży albo umowę kompleksową ze sprzedawcą lub miejsca dostarczania URD</w:t>
      </w:r>
      <w:r w:rsidR="00E75F71" w:rsidRPr="00EB2E7B">
        <w:rPr>
          <w:rFonts w:asciiTheme="minorHAnsi" w:hAnsiTheme="minorHAnsi" w:cstheme="minorHAnsi"/>
          <w:sz w:val="20"/>
          <w:szCs w:val="20"/>
          <w:vertAlign w:val="subscript"/>
        </w:rPr>
        <w:t>W</w:t>
      </w:r>
      <w:r w:rsidR="00E75F71" w:rsidRPr="00EB2E7B">
        <w:rPr>
          <w:rFonts w:asciiTheme="minorHAnsi" w:hAnsiTheme="minorHAnsi" w:cstheme="minorHAnsi"/>
          <w:sz w:val="20"/>
          <w:szCs w:val="20"/>
        </w:rPr>
        <w:t xml:space="preserve"> oraz URD</w:t>
      </w:r>
      <w:r w:rsidR="00E75F71" w:rsidRPr="00EB2E7B">
        <w:rPr>
          <w:rFonts w:asciiTheme="minorHAnsi" w:hAnsiTheme="minorHAnsi" w:cstheme="minorHAnsi"/>
          <w:sz w:val="20"/>
          <w:szCs w:val="20"/>
          <w:vertAlign w:val="subscript"/>
        </w:rPr>
        <w:t>ME</w:t>
      </w:r>
      <w:r w:rsidR="00E75F71" w:rsidRPr="00EB2E7B">
        <w:rPr>
          <w:rFonts w:asciiTheme="minorHAnsi" w:hAnsiTheme="minorHAnsi" w:cstheme="minorHAnsi"/>
          <w:sz w:val="20"/>
          <w:szCs w:val="20"/>
        </w:rPr>
        <w:t xml:space="preserve"> do MB nowego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w:t>
      </w:r>
    </w:p>
    <w:p w14:paraId="4E7F66BB" w14:textId="71B0E7DA" w:rsidR="00473957" w:rsidRPr="00EB2E7B" w:rsidRDefault="0020110B" w:rsidP="00EF06A5">
      <w:pPr>
        <w:pStyle w:val="1przed"/>
        <w:rPr>
          <w:rFonts w:asciiTheme="minorHAnsi" w:hAnsiTheme="minorHAnsi" w:cstheme="minorHAnsi"/>
          <w:sz w:val="20"/>
          <w:szCs w:val="20"/>
        </w:rPr>
      </w:pPr>
      <w:r w:rsidRPr="00EB2E7B">
        <w:rPr>
          <w:rFonts w:asciiTheme="minorHAnsi" w:hAnsiTheme="minorHAnsi" w:cstheme="minorHAnsi"/>
          <w:sz w:val="20"/>
          <w:szCs w:val="20"/>
        </w:rPr>
        <w:t xml:space="preserve">ACPRO, </w:t>
      </w:r>
      <w:r w:rsidR="00E75F71" w:rsidRPr="00EB2E7B">
        <w:rPr>
          <w:rFonts w:asciiTheme="minorHAnsi" w:hAnsiTheme="minorHAnsi" w:cstheme="minorHAnsi"/>
          <w:sz w:val="20"/>
          <w:szCs w:val="20"/>
        </w:rPr>
        <w:t xml:space="preserve">w przypadku negatywnej weryfikacji powiadomienia, o którym mowa w </w:t>
      </w:r>
      <w:proofErr w:type="spellStart"/>
      <w:r w:rsidR="00E75F71" w:rsidRPr="00EB2E7B">
        <w:rPr>
          <w:rFonts w:asciiTheme="minorHAnsi" w:hAnsiTheme="minorHAnsi" w:cstheme="minorHAnsi"/>
          <w:sz w:val="20"/>
          <w:szCs w:val="20"/>
        </w:rPr>
        <w:t>ppkt</w:t>
      </w:r>
      <w:proofErr w:type="spellEnd"/>
      <w:r w:rsidR="00E75F71" w:rsidRPr="00EB2E7B">
        <w:rPr>
          <w:rFonts w:asciiTheme="minorHAnsi" w:hAnsiTheme="minorHAnsi" w:cstheme="minorHAnsi"/>
          <w:sz w:val="20"/>
          <w:szCs w:val="20"/>
        </w:rPr>
        <w:t xml:space="preserve"> </w:t>
      </w:r>
      <w:r w:rsidR="0006712E" w:rsidRPr="00EB2E7B">
        <w:rPr>
          <w:rFonts w:asciiTheme="minorHAnsi" w:hAnsiTheme="minorHAnsi" w:cstheme="minorHAnsi"/>
          <w:sz w:val="20"/>
          <w:szCs w:val="20"/>
        </w:rPr>
        <w:fldChar w:fldCharType="begin"/>
      </w:r>
      <w:r w:rsidR="0006712E" w:rsidRPr="00EB2E7B">
        <w:rPr>
          <w:rFonts w:asciiTheme="minorHAnsi" w:hAnsiTheme="minorHAnsi" w:cstheme="minorHAnsi"/>
          <w:sz w:val="20"/>
          <w:szCs w:val="20"/>
        </w:rPr>
        <w:instrText xml:space="preserve"> REF _Ref190120611 \w \h  \* MERGEFORMAT </w:instrText>
      </w:r>
      <w:r w:rsidR="0006712E" w:rsidRPr="00EB2E7B">
        <w:rPr>
          <w:rFonts w:asciiTheme="minorHAnsi" w:hAnsiTheme="minorHAnsi" w:cstheme="minorHAnsi"/>
          <w:sz w:val="20"/>
          <w:szCs w:val="20"/>
        </w:rPr>
      </w:r>
      <w:r w:rsidR="0006712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06712E" w:rsidRPr="00EB2E7B">
        <w:rPr>
          <w:rFonts w:asciiTheme="minorHAnsi" w:hAnsiTheme="minorHAnsi" w:cstheme="minorHAnsi"/>
          <w:sz w:val="20"/>
          <w:szCs w:val="20"/>
        </w:rPr>
        <w:fldChar w:fldCharType="end"/>
      </w:r>
      <w:r w:rsidR="00E75F71" w:rsidRPr="00EB2E7B">
        <w:rPr>
          <w:rFonts w:asciiTheme="minorHAnsi" w:hAnsiTheme="minorHAnsi" w:cstheme="minorHAnsi"/>
          <w:sz w:val="20"/>
          <w:szCs w:val="20"/>
        </w:rPr>
        <w:t>, informuje niezwłocznie nowego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xml:space="preserve"> oraz sprzedawcę, URD</w:t>
      </w:r>
      <w:r w:rsidR="00E75F71" w:rsidRPr="00EB2E7B">
        <w:rPr>
          <w:rFonts w:asciiTheme="minorHAnsi" w:hAnsiTheme="minorHAnsi" w:cstheme="minorHAnsi"/>
          <w:sz w:val="20"/>
          <w:szCs w:val="20"/>
          <w:vertAlign w:val="subscript"/>
        </w:rPr>
        <w:t>W</w:t>
      </w:r>
      <w:r w:rsidR="00E75F71" w:rsidRPr="00EB2E7B">
        <w:rPr>
          <w:rFonts w:asciiTheme="minorHAnsi" w:hAnsiTheme="minorHAnsi" w:cstheme="minorHAnsi"/>
          <w:sz w:val="20"/>
          <w:szCs w:val="20"/>
        </w:rPr>
        <w:t xml:space="preserve"> lub URD</w:t>
      </w:r>
      <w:r w:rsidR="00E75F71" w:rsidRPr="00EB2E7B">
        <w:rPr>
          <w:rFonts w:asciiTheme="minorHAnsi" w:hAnsiTheme="minorHAnsi" w:cstheme="minorHAnsi"/>
          <w:sz w:val="20"/>
          <w:szCs w:val="20"/>
          <w:vertAlign w:val="subscript"/>
        </w:rPr>
        <w:t>ME</w:t>
      </w:r>
      <w:r w:rsidR="00E75F71" w:rsidRPr="00EB2E7B">
        <w:rPr>
          <w:rFonts w:asciiTheme="minorHAnsi" w:hAnsiTheme="minorHAnsi" w:cstheme="minorHAnsi"/>
          <w:sz w:val="20"/>
          <w:szCs w:val="20"/>
        </w:rPr>
        <w:t xml:space="preserve"> o przyczynach negatywnej weryfikacji.</w:t>
      </w:r>
    </w:p>
    <w:p w14:paraId="7D2DECB1" w14:textId="76833B75" w:rsidR="0057704F" w:rsidRPr="00EB2E7B" w:rsidRDefault="00E75F71"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Powiadomienie, o którym mowa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5601E1" w:rsidRPr="00EB2E7B">
        <w:rPr>
          <w:rFonts w:asciiTheme="minorHAnsi" w:hAnsiTheme="minorHAnsi" w:cstheme="minorHAnsi"/>
          <w:sz w:val="20"/>
          <w:szCs w:val="20"/>
        </w:rPr>
        <w:fldChar w:fldCharType="begin"/>
      </w:r>
      <w:r w:rsidR="005601E1" w:rsidRPr="00EB2E7B">
        <w:rPr>
          <w:rFonts w:asciiTheme="minorHAnsi" w:hAnsiTheme="minorHAnsi" w:cstheme="minorHAnsi"/>
          <w:sz w:val="20"/>
          <w:szCs w:val="20"/>
        </w:rPr>
        <w:instrText xml:space="preserve"> REF _Ref190120611 \w \h  \* MERGEFORMAT </w:instrText>
      </w:r>
      <w:r w:rsidR="005601E1" w:rsidRPr="00EB2E7B">
        <w:rPr>
          <w:rFonts w:asciiTheme="minorHAnsi" w:hAnsiTheme="minorHAnsi" w:cstheme="minorHAnsi"/>
          <w:sz w:val="20"/>
          <w:szCs w:val="20"/>
        </w:rPr>
      </w:r>
      <w:r w:rsidR="005601E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5601E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powinno być wysłane w formie elektronicznej na dedykowany adres poczty elektronicznej ACPRO </w:t>
      </w:r>
      <w:r w:rsidR="001C350F" w:rsidRPr="00EB2E7B">
        <w:rPr>
          <w:rFonts w:asciiTheme="minorHAnsi" w:hAnsiTheme="minorHAnsi" w:cstheme="minorHAnsi"/>
          <w:sz w:val="20"/>
          <w:szCs w:val="20"/>
        </w:rPr>
        <w:t xml:space="preserve">lub poprzez stronę internetową </w:t>
      </w:r>
      <w:r w:rsidRPr="00EB2E7B">
        <w:rPr>
          <w:rFonts w:asciiTheme="minorHAnsi" w:hAnsiTheme="minorHAnsi" w:cstheme="minorHAnsi"/>
          <w:sz w:val="20"/>
          <w:szCs w:val="20"/>
        </w:rPr>
        <w:t>lub zrealizowane poprzez dedykowany system informatyczny ACPRO, o ile system ten umożliwia dokonywanie takich powiadomień. ACPRO dopuszcza przekazanie powiadomienia w</w:t>
      </w:r>
      <w:r w:rsidR="008B4873" w:rsidRPr="00EB2E7B">
        <w:rPr>
          <w:rFonts w:asciiTheme="minorHAnsi" w:hAnsiTheme="minorHAnsi" w:cstheme="minorHAnsi"/>
          <w:sz w:val="20"/>
          <w:szCs w:val="20"/>
        </w:rPr>
        <w:t> </w:t>
      </w:r>
      <w:r w:rsidRPr="00EB2E7B">
        <w:rPr>
          <w:rFonts w:asciiTheme="minorHAnsi" w:hAnsiTheme="minorHAnsi" w:cstheme="minorHAnsi"/>
          <w:sz w:val="20"/>
          <w:szCs w:val="20"/>
        </w:rPr>
        <w:t xml:space="preserve"> postaci papierowej.</w:t>
      </w:r>
    </w:p>
    <w:p w14:paraId="754DCA6D" w14:textId="1837390F" w:rsidR="00134780" w:rsidRPr="00EB2E7B" w:rsidRDefault="00104996" w:rsidP="004D1C36">
      <w:pPr>
        <w:pStyle w:val="ANagwek2"/>
        <w:rPr>
          <w:rFonts w:asciiTheme="minorHAnsi" w:hAnsiTheme="minorHAnsi" w:cstheme="minorHAnsi"/>
          <w:b w:val="0"/>
          <w:sz w:val="20"/>
          <w:szCs w:val="20"/>
        </w:rPr>
      </w:pPr>
      <w:bookmarkStart w:id="638" w:name="_Toc189833806"/>
      <w:bookmarkStart w:id="639" w:name="_Toc239333410"/>
      <w:r w:rsidRPr="00EB2E7B">
        <w:rPr>
          <w:rFonts w:asciiTheme="minorHAnsi" w:hAnsiTheme="minorHAnsi" w:cstheme="minorHAnsi"/>
          <w:b w:val="0"/>
          <w:bCs w:val="0"/>
          <w:sz w:val="20"/>
          <w:szCs w:val="20"/>
        </w:rPr>
        <w:t>Ustanowienie lub zmiana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następuje nie wcześniej niż po 5 dniach roboczych od daty pozytywnej weryfikacji powiadomienia określonego w pkt </w:t>
      </w:r>
      <w:r w:rsidR="00B6644C" w:rsidRPr="00EB2E7B">
        <w:rPr>
          <w:rFonts w:asciiTheme="minorHAnsi" w:hAnsiTheme="minorHAnsi" w:cstheme="minorHAnsi"/>
          <w:b w:val="0"/>
          <w:bCs w:val="0"/>
          <w:sz w:val="20"/>
          <w:szCs w:val="20"/>
        </w:rPr>
        <w:fldChar w:fldCharType="begin"/>
      </w:r>
      <w:r w:rsidR="00B6644C" w:rsidRPr="00EB2E7B">
        <w:rPr>
          <w:rFonts w:asciiTheme="minorHAnsi" w:hAnsiTheme="minorHAnsi" w:cstheme="minorHAnsi"/>
          <w:b w:val="0"/>
          <w:sz w:val="20"/>
          <w:szCs w:val="20"/>
        </w:rPr>
        <w:instrText xml:space="preserve"> REF _Ref190120739 \w \h </w:instrText>
      </w:r>
      <w:r w:rsidR="00B6644C" w:rsidRPr="00EB2E7B">
        <w:rPr>
          <w:rFonts w:asciiTheme="minorHAnsi" w:hAnsiTheme="minorHAnsi" w:cstheme="minorHAnsi"/>
          <w:b w:val="0"/>
          <w:bCs w:val="0"/>
          <w:sz w:val="20"/>
          <w:szCs w:val="20"/>
        </w:rPr>
        <w:instrText xml:space="preserve"> \* MERGEFORMAT </w:instrText>
      </w:r>
      <w:r w:rsidR="00B6644C" w:rsidRPr="00EB2E7B">
        <w:rPr>
          <w:rFonts w:asciiTheme="minorHAnsi" w:hAnsiTheme="minorHAnsi" w:cstheme="minorHAnsi"/>
          <w:b w:val="0"/>
          <w:bCs w:val="0"/>
          <w:sz w:val="20"/>
          <w:szCs w:val="20"/>
        </w:rPr>
      </w:r>
      <w:r w:rsidR="00B6644C"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sz w:val="20"/>
          <w:szCs w:val="20"/>
        </w:rPr>
        <w:t>E.2</w:t>
      </w:r>
      <w:r w:rsidR="00B6644C" w:rsidRPr="00EB2E7B">
        <w:rPr>
          <w:rFonts w:asciiTheme="minorHAnsi" w:hAnsiTheme="minorHAnsi" w:cstheme="minorHAnsi"/>
          <w:b w:val="0"/>
          <w:sz w:val="20"/>
          <w:szCs w:val="20"/>
        </w:rPr>
        <w:fldChar w:fldCharType="end"/>
      </w:r>
      <w:r w:rsidRPr="00EB2E7B">
        <w:rPr>
          <w:rFonts w:asciiTheme="minorHAnsi" w:hAnsiTheme="minorHAnsi" w:cstheme="minorHAnsi"/>
          <w:b w:val="0"/>
          <w:bCs w:val="0"/>
          <w:sz w:val="20"/>
          <w:szCs w:val="20"/>
        </w:rPr>
        <w:t>., z</w:t>
      </w:r>
      <w:r w:rsidR="001751C5" w:rsidRPr="00EB2E7B">
        <w:rPr>
          <w:rFonts w:asciiTheme="minorHAnsi" w:hAnsiTheme="minorHAnsi" w:cstheme="minorHAnsi"/>
          <w:b w:val="0"/>
          <w:sz w:val="20"/>
          <w:szCs w:val="20"/>
        </w:rPr>
        <w:t> </w:t>
      </w:r>
      <w:r w:rsidRPr="00EB2E7B">
        <w:rPr>
          <w:rFonts w:asciiTheme="minorHAnsi" w:hAnsiTheme="minorHAnsi" w:cstheme="minorHAnsi"/>
          <w:b w:val="0"/>
          <w:sz w:val="20"/>
          <w:szCs w:val="20"/>
        </w:rPr>
        <w:t xml:space="preserve">zastrzeżeniem pkt </w:t>
      </w:r>
      <w:r w:rsidR="004C64E9" w:rsidRPr="00EB2E7B">
        <w:rPr>
          <w:rFonts w:asciiTheme="minorHAnsi" w:hAnsiTheme="minorHAnsi" w:cstheme="minorHAnsi"/>
          <w:b w:val="0"/>
          <w:bCs w:val="0"/>
          <w:sz w:val="20"/>
          <w:szCs w:val="20"/>
        </w:rPr>
        <w:fldChar w:fldCharType="begin"/>
      </w:r>
      <w:r w:rsidR="004C64E9" w:rsidRPr="00EB2E7B">
        <w:rPr>
          <w:rFonts w:asciiTheme="minorHAnsi" w:hAnsiTheme="minorHAnsi" w:cstheme="minorHAnsi"/>
          <w:b w:val="0"/>
          <w:sz w:val="20"/>
          <w:szCs w:val="20"/>
        </w:rPr>
        <w:instrText xml:space="preserve"> REF _Ref190120772 \w \h </w:instrText>
      </w:r>
      <w:r w:rsidR="004C64E9" w:rsidRPr="00EB2E7B">
        <w:rPr>
          <w:rFonts w:asciiTheme="minorHAnsi" w:hAnsiTheme="minorHAnsi" w:cstheme="minorHAnsi"/>
          <w:b w:val="0"/>
          <w:bCs w:val="0"/>
          <w:sz w:val="20"/>
          <w:szCs w:val="20"/>
        </w:rPr>
        <w:instrText xml:space="preserve"> \* MERGEFORMAT </w:instrText>
      </w:r>
      <w:r w:rsidR="004C64E9" w:rsidRPr="00EB2E7B">
        <w:rPr>
          <w:rFonts w:asciiTheme="minorHAnsi" w:hAnsiTheme="minorHAnsi" w:cstheme="minorHAnsi"/>
          <w:b w:val="0"/>
          <w:bCs w:val="0"/>
          <w:sz w:val="20"/>
          <w:szCs w:val="20"/>
        </w:rPr>
      </w:r>
      <w:r w:rsidR="004C64E9"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sz w:val="20"/>
          <w:szCs w:val="20"/>
        </w:rPr>
        <w:t>E.5</w:t>
      </w:r>
      <w:r w:rsidR="004C64E9" w:rsidRPr="00EB2E7B">
        <w:rPr>
          <w:rFonts w:asciiTheme="minorHAnsi" w:hAnsiTheme="minorHAnsi" w:cstheme="minorHAnsi"/>
          <w:b w:val="0"/>
          <w:sz w:val="20"/>
          <w:szCs w:val="20"/>
        </w:rPr>
        <w:fldChar w:fldCharType="end"/>
      </w:r>
      <w:r w:rsidRPr="00EB2E7B">
        <w:rPr>
          <w:rFonts w:asciiTheme="minorHAnsi" w:hAnsiTheme="minorHAnsi" w:cstheme="minorHAnsi"/>
          <w:b w:val="0"/>
          <w:bCs w:val="0"/>
          <w:sz w:val="20"/>
          <w:szCs w:val="20"/>
        </w:rPr>
        <w:t>.</w:t>
      </w:r>
      <w:bookmarkEnd w:id="638"/>
      <w:bookmarkEnd w:id="639"/>
    </w:p>
    <w:p w14:paraId="14D15DF6" w14:textId="2C694621" w:rsidR="00043642" w:rsidRPr="00EB2E7B" w:rsidRDefault="00043642"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Powyższe terminy nie dotyczą przypadku utraty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przez sprzedawcę,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lub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w związku z zaprzestaniem lub zawieszeniem działalności przez dotychczasowego POBZ na RB, jeżeli </w:t>
      </w:r>
      <w:r w:rsidRPr="00EB2E7B">
        <w:rPr>
          <w:rFonts w:asciiTheme="minorHAnsi" w:hAnsiTheme="minorHAnsi" w:cstheme="minorHAnsi"/>
          <w:sz w:val="20"/>
          <w:szCs w:val="20"/>
        </w:rPr>
        <w:lastRenderedPageBreak/>
        <w:t>sprzedawca,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lub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przekaże </w:t>
      </w:r>
      <w:r w:rsidR="00303A11"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powiadomienie, o którym mowa w pkt </w:t>
      </w:r>
      <w:r w:rsidR="00CF7B5A" w:rsidRPr="00EB2E7B">
        <w:rPr>
          <w:rFonts w:asciiTheme="minorHAnsi" w:hAnsiTheme="minorHAnsi" w:cstheme="minorHAnsi"/>
          <w:sz w:val="20"/>
          <w:szCs w:val="20"/>
        </w:rPr>
        <w:fldChar w:fldCharType="begin"/>
      </w:r>
      <w:r w:rsidR="00CF7B5A" w:rsidRPr="00EB2E7B">
        <w:rPr>
          <w:rFonts w:asciiTheme="minorHAnsi" w:hAnsiTheme="minorHAnsi" w:cstheme="minorHAnsi"/>
          <w:sz w:val="20"/>
          <w:szCs w:val="20"/>
        </w:rPr>
        <w:instrText xml:space="preserve"> REF _Ref190120739 \w \h  \* MERGEFORMAT </w:instrText>
      </w:r>
      <w:r w:rsidR="00CF7B5A" w:rsidRPr="00EB2E7B">
        <w:rPr>
          <w:rFonts w:asciiTheme="minorHAnsi" w:hAnsiTheme="minorHAnsi" w:cstheme="minorHAnsi"/>
          <w:sz w:val="20"/>
          <w:szCs w:val="20"/>
        </w:rPr>
      </w:r>
      <w:r w:rsidR="00CF7B5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E.2</w:t>
      </w:r>
      <w:r w:rsidR="00CF7B5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CF7B5A" w:rsidRPr="00EB2E7B">
        <w:rPr>
          <w:rFonts w:asciiTheme="minorHAnsi" w:hAnsiTheme="minorHAnsi" w:cstheme="minorHAnsi"/>
          <w:sz w:val="20"/>
          <w:szCs w:val="20"/>
        </w:rPr>
        <w:fldChar w:fldCharType="begin"/>
      </w:r>
      <w:r w:rsidR="00CF7B5A" w:rsidRPr="00EB2E7B">
        <w:rPr>
          <w:rFonts w:asciiTheme="minorHAnsi" w:hAnsiTheme="minorHAnsi" w:cstheme="minorHAnsi"/>
          <w:sz w:val="20"/>
          <w:szCs w:val="20"/>
        </w:rPr>
        <w:instrText xml:space="preserve"> REF _Ref190120611 \w \h  \* MERGEFORMAT </w:instrText>
      </w:r>
      <w:r w:rsidR="00CF7B5A" w:rsidRPr="00EB2E7B">
        <w:rPr>
          <w:rFonts w:asciiTheme="minorHAnsi" w:hAnsiTheme="minorHAnsi" w:cstheme="minorHAnsi"/>
          <w:sz w:val="20"/>
          <w:szCs w:val="20"/>
        </w:rPr>
      </w:r>
      <w:r w:rsidR="00CF7B5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CF7B5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przed terminem zaprzestania lub zawieszenia działalności na RB przez dotychczasowego POB</w:t>
      </w:r>
      <w:r w:rsidRPr="00EB2E7B">
        <w:rPr>
          <w:rFonts w:asciiTheme="minorHAnsi" w:hAnsiTheme="minorHAnsi" w:cstheme="minorHAnsi"/>
          <w:sz w:val="20"/>
          <w:szCs w:val="20"/>
          <w:vertAlign w:val="subscript"/>
        </w:rPr>
        <w:t>Z</w:t>
      </w:r>
      <w:r w:rsidR="001751C5" w:rsidRPr="00EB2E7B">
        <w:rPr>
          <w:rFonts w:asciiTheme="minorHAnsi" w:hAnsiTheme="minorHAnsi" w:cstheme="minorHAnsi"/>
          <w:sz w:val="20"/>
          <w:szCs w:val="20"/>
        </w:rPr>
        <w:t>.</w:t>
      </w:r>
    </w:p>
    <w:p w14:paraId="2D743E28" w14:textId="0AD534A4" w:rsidR="00BD4543" w:rsidRPr="00EB2E7B" w:rsidRDefault="001751C5"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W takim przypadku zmiana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następuje po dokonaniu przez </w:t>
      </w:r>
      <w:r w:rsidR="00303A11"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pozytywnej weryfikacji otrzymanego powiadomienia, o którym mowa w zdaniu pierwszym.</w:t>
      </w:r>
    </w:p>
    <w:p w14:paraId="680DA6DF" w14:textId="363626B2" w:rsidR="00BD4543" w:rsidRPr="00EB2E7B" w:rsidRDefault="00D94765" w:rsidP="004D1C36">
      <w:pPr>
        <w:pStyle w:val="ANagwek2"/>
        <w:rPr>
          <w:rFonts w:asciiTheme="minorHAnsi" w:hAnsiTheme="minorHAnsi" w:cstheme="minorHAnsi"/>
          <w:b w:val="0"/>
          <w:sz w:val="20"/>
          <w:szCs w:val="20"/>
        </w:rPr>
      </w:pPr>
      <w:bookmarkStart w:id="640" w:name="_Ref184635543"/>
      <w:bookmarkStart w:id="641" w:name="_Toc189833807"/>
      <w:bookmarkStart w:id="642" w:name="_Toc239333411"/>
      <w:r w:rsidRPr="00EB2E7B">
        <w:rPr>
          <w:rFonts w:asciiTheme="minorHAnsi" w:hAnsiTheme="minorHAnsi" w:cstheme="minorHAnsi"/>
          <w:b w:val="0"/>
          <w:bCs w:val="0"/>
          <w:sz w:val="20"/>
          <w:szCs w:val="20"/>
        </w:rPr>
        <w:t>Z dniem zmiany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ACPRO przeprowadza zmiany w konfiguracji i strukturze obiektowej i podmiotowej rynku detalicznego, które obejmują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przekazującego odpowiedzialność za bilansowanie handlowe (dotychczasowy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i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przejmującego tą odpowiedzialność (nowy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z uwzględnieniem że:</w:t>
      </w:r>
      <w:bookmarkEnd w:id="640"/>
      <w:bookmarkEnd w:id="641"/>
      <w:bookmarkEnd w:id="642"/>
    </w:p>
    <w:p w14:paraId="3CD21EC6" w14:textId="1D35A92B" w:rsidR="00544524" w:rsidRPr="00EB2E7B" w:rsidRDefault="00544524" w:rsidP="00D04E10">
      <w:pPr>
        <w:pStyle w:val="Akapitzlist"/>
        <w:numPr>
          <w:ilvl w:val="0"/>
          <w:numId w:val="51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każdy PPE danego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powinien być przyporządkowany tylko do jednego MDD,</w:t>
      </w:r>
    </w:p>
    <w:p w14:paraId="63F353B7" w14:textId="32A1C334" w:rsidR="00544524" w:rsidRPr="00EB2E7B" w:rsidRDefault="00544524" w:rsidP="00D04E10">
      <w:pPr>
        <w:pStyle w:val="Akapitzlist"/>
        <w:numPr>
          <w:ilvl w:val="0"/>
          <w:numId w:val="51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każdy MDD powinien być przyporządkowany tylko do jednego MB</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w:t>
      </w:r>
    </w:p>
    <w:p w14:paraId="08DF7FC1" w14:textId="11AE6636" w:rsidR="00544524" w:rsidRPr="00EB2E7B" w:rsidRDefault="00544524" w:rsidP="00D04E10">
      <w:pPr>
        <w:pStyle w:val="Akapitzlist"/>
        <w:numPr>
          <w:ilvl w:val="0"/>
          <w:numId w:val="51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mogą być bilansowani handlowo tylko w MB</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w:t>
      </w:r>
    </w:p>
    <w:p w14:paraId="0134D4A7" w14:textId="298C3933" w:rsidR="00544524" w:rsidRPr="00EB2E7B" w:rsidRDefault="00544524" w:rsidP="00D04E10">
      <w:pPr>
        <w:pStyle w:val="Akapitzlist"/>
        <w:numPr>
          <w:ilvl w:val="0"/>
          <w:numId w:val="51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mogą być bilansowani handlowo tylko w MB</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w:t>
      </w:r>
    </w:p>
    <w:p w14:paraId="1EF44EF7" w14:textId="78985594" w:rsidR="00544524" w:rsidRPr="00EB2E7B" w:rsidRDefault="00544524" w:rsidP="00D04E10">
      <w:pPr>
        <w:pStyle w:val="Akapitzlist"/>
        <w:numPr>
          <w:ilvl w:val="0"/>
          <w:numId w:val="51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xml:space="preserve"> mogą być bilansowani handlowo tylko w MB</w:t>
      </w:r>
      <w:r w:rsidRPr="00EB2E7B">
        <w:rPr>
          <w:rFonts w:asciiTheme="minorHAnsi" w:hAnsiTheme="minorHAnsi" w:cstheme="minorHAnsi"/>
          <w:sz w:val="20"/>
          <w:szCs w:val="20"/>
          <w:vertAlign w:val="subscript"/>
        </w:rPr>
        <w:t>W</w:t>
      </w:r>
    </w:p>
    <w:p w14:paraId="70AC5C55" w14:textId="66ECB9CE" w:rsidR="00CB6362" w:rsidRPr="00EB2E7B" w:rsidRDefault="0017068F" w:rsidP="004D1C36">
      <w:pPr>
        <w:pStyle w:val="ANagwek2"/>
        <w:rPr>
          <w:rFonts w:asciiTheme="minorHAnsi" w:hAnsiTheme="minorHAnsi" w:cstheme="minorHAnsi"/>
          <w:b w:val="0"/>
          <w:sz w:val="20"/>
          <w:szCs w:val="20"/>
        </w:rPr>
      </w:pPr>
      <w:bookmarkStart w:id="643" w:name="_Toc189833808"/>
      <w:bookmarkStart w:id="644" w:name="_Ref190120772"/>
      <w:bookmarkStart w:id="645" w:name="_Toc239333412"/>
      <w:r w:rsidRPr="00EB2E7B">
        <w:rPr>
          <w:rFonts w:asciiTheme="minorHAnsi" w:hAnsiTheme="minorHAnsi" w:cstheme="minorHAnsi"/>
          <w:b w:val="0"/>
          <w:sz w:val="20"/>
          <w:szCs w:val="20"/>
        </w:rPr>
        <w:t xml:space="preserve">Jeżeli </w:t>
      </w:r>
      <w:r w:rsidR="00B67FCC"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otrzyma powiadomienie, o którym mowa w pkt </w:t>
      </w:r>
      <w:r w:rsidR="00864136" w:rsidRPr="00EB2E7B">
        <w:rPr>
          <w:rFonts w:asciiTheme="minorHAnsi" w:hAnsiTheme="minorHAnsi" w:cstheme="minorHAnsi"/>
          <w:b w:val="0"/>
          <w:sz w:val="20"/>
          <w:szCs w:val="20"/>
        </w:rPr>
        <w:fldChar w:fldCharType="begin"/>
      </w:r>
      <w:r w:rsidR="00864136" w:rsidRPr="00EB2E7B">
        <w:rPr>
          <w:rFonts w:asciiTheme="minorHAnsi" w:hAnsiTheme="minorHAnsi" w:cstheme="minorHAnsi"/>
          <w:b w:val="0"/>
          <w:sz w:val="20"/>
          <w:szCs w:val="20"/>
        </w:rPr>
        <w:instrText xml:space="preserve"> REF _Ref190120739 \w \h  \* MERGEFORMAT </w:instrText>
      </w:r>
      <w:r w:rsidR="00864136" w:rsidRPr="00EB2E7B">
        <w:rPr>
          <w:rFonts w:asciiTheme="minorHAnsi" w:hAnsiTheme="minorHAnsi" w:cstheme="minorHAnsi"/>
          <w:b w:val="0"/>
          <w:sz w:val="20"/>
          <w:szCs w:val="20"/>
        </w:rPr>
      </w:r>
      <w:r w:rsidR="00864136"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E.2</w:t>
      </w:r>
      <w:r w:rsidR="00864136" w:rsidRPr="00EB2E7B">
        <w:rPr>
          <w:rFonts w:asciiTheme="minorHAnsi" w:hAnsiTheme="minorHAnsi" w:cstheme="minorHAnsi"/>
          <w:b w:val="0"/>
          <w:sz w:val="20"/>
          <w:szCs w:val="20"/>
        </w:rPr>
        <w:fldChar w:fldCharType="end"/>
      </w:r>
      <w:r w:rsidRPr="00EB2E7B">
        <w:rPr>
          <w:rFonts w:asciiTheme="minorHAnsi" w:hAnsiTheme="minorHAnsi" w:cstheme="minorHAnsi"/>
          <w:b w:val="0"/>
          <w:bCs w:val="0"/>
          <w:sz w:val="20"/>
          <w:szCs w:val="20"/>
        </w:rPr>
        <w:t>. przed datą nadania i uaktywnienia na RB, zgodnie z zasadami określonymi w WDB, MB nowego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w sieci dystrybucyjnej </w:t>
      </w:r>
      <w:r w:rsidR="00C57CE7"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wówczas weryfikacja powiadomienia o zmianie POB</w:t>
      </w:r>
      <w:r w:rsidR="003A38C5"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jest negatywna.</w:t>
      </w:r>
      <w:bookmarkEnd w:id="643"/>
      <w:bookmarkEnd w:id="644"/>
      <w:bookmarkEnd w:id="645"/>
    </w:p>
    <w:p w14:paraId="7585C23E" w14:textId="5940E2B6" w:rsidR="00CB6362" w:rsidRPr="00EB2E7B" w:rsidRDefault="0017068F" w:rsidP="004D1C36">
      <w:pPr>
        <w:pStyle w:val="ANagwek2"/>
        <w:rPr>
          <w:rFonts w:asciiTheme="minorHAnsi" w:hAnsiTheme="minorHAnsi" w:cstheme="minorHAnsi"/>
          <w:b w:val="0"/>
          <w:sz w:val="20"/>
          <w:szCs w:val="20"/>
        </w:rPr>
      </w:pPr>
      <w:bookmarkStart w:id="646" w:name="_Toc189833809"/>
      <w:bookmarkStart w:id="647" w:name="_Toc239333413"/>
      <w:r w:rsidRPr="00EB2E7B">
        <w:rPr>
          <w:rFonts w:asciiTheme="minorHAnsi" w:hAnsiTheme="minorHAnsi" w:cstheme="minorHAnsi"/>
          <w:b w:val="0"/>
          <w:sz w:val="20"/>
          <w:szCs w:val="20"/>
        </w:rPr>
        <w:t xml:space="preserve">Z zastrzeżeniem pkt </w:t>
      </w:r>
      <w:r w:rsidR="00864136" w:rsidRPr="00EB2E7B">
        <w:rPr>
          <w:rFonts w:asciiTheme="minorHAnsi" w:hAnsiTheme="minorHAnsi" w:cstheme="minorHAnsi"/>
          <w:b w:val="0"/>
          <w:sz w:val="20"/>
          <w:szCs w:val="20"/>
        </w:rPr>
        <w:fldChar w:fldCharType="begin"/>
      </w:r>
      <w:r w:rsidR="00864136" w:rsidRPr="00EB2E7B">
        <w:rPr>
          <w:rFonts w:asciiTheme="minorHAnsi" w:hAnsiTheme="minorHAnsi" w:cstheme="minorHAnsi"/>
          <w:b w:val="0"/>
          <w:sz w:val="20"/>
          <w:szCs w:val="20"/>
        </w:rPr>
        <w:instrText xml:space="preserve"> REF _Ref190120739 \w \h  \* MERGEFORMAT </w:instrText>
      </w:r>
      <w:r w:rsidR="00864136" w:rsidRPr="00EB2E7B">
        <w:rPr>
          <w:rFonts w:asciiTheme="minorHAnsi" w:hAnsiTheme="minorHAnsi" w:cstheme="minorHAnsi"/>
          <w:b w:val="0"/>
          <w:sz w:val="20"/>
          <w:szCs w:val="20"/>
        </w:rPr>
      </w:r>
      <w:r w:rsidR="00864136" w:rsidRPr="00EB2E7B">
        <w:rPr>
          <w:rFonts w:asciiTheme="minorHAnsi" w:hAnsiTheme="minorHAnsi" w:cstheme="minorHAnsi"/>
          <w:b w:val="0"/>
          <w:sz w:val="20"/>
          <w:szCs w:val="20"/>
        </w:rPr>
        <w:fldChar w:fldCharType="separate"/>
      </w:r>
      <w:r w:rsidR="006A408D">
        <w:rPr>
          <w:rFonts w:asciiTheme="minorHAnsi" w:hAnsiTheme="minorHAnsi" w:cstheme="minorHAnsi"/>
          <w:b w:val="0"/>
          <w:sz w:val="20"/>
          <w:szCs w:val="20"/>
        </w:rPr>
        <w:t>E.2</w:t>
      </w:r>
      <w:r w:rsidR="00864136" w:rsidRPr="00EB2E7B">
        <w:rPr>
          <w:rFonts w:asciiTheme="minorHAnsi" w:hAnsiTheme="minorHAnsi" w:cstheme="minorHAnsi"/>
          <w:b w:val="0"/>
          <w:sz w:val="20"/>
          <w:szCs w:val="20"/>
        </w:rPr>
        <w:fldChar w:fldCharType="end"/>
      </w:r>
      <w:r w:rsidRPr="00EB2E7B">
        <w:rPr>
          <w:rFonts w:asciiTheme="minorHAnsi" w:hAnsiTheme="minorHAnsi" w:cstheme="minorHAnsi"/>
          <w:b w:val="0"/>
          <w:sz w:val="20"/>
          <w:szCs w:val="20"/>
        </w:rPr>
        <w:t xml:space="preserve">. – </w:t>
      </w:r>
      <w:r w:rsidR="00864136" w:rsidRPr="00EB2E7B">
        <w:rPr>
          <w:rFonts w:asciiTheme="minorHAnsi" w:hAnsiTheme="minorHAnsi" w:cstheme="minorHAnsi"/>
          <w:b w:val="0"/>
          <w:bCs w:val="0"/>
          <w:sz w:val="20"/>
          <w:szCs w:val="20"/>
        </w:rPr>
        <w:fldChar w:fldCharType="begin"/>
      </w:r>
      <w:r w:rsidR="00864136" w:rsidRPr="00EB2E7B">
        <w:rPr>
          <w:rFonts w:asciiTheme="minorHAnsi" w:hAnsiTheme="minorHAnsi" w:cstheme="minorHAnsi"/>
          <w:b w:val="0"/>
          <w:sz w:val="20"/>
          <w:szCs w:val="20"/>
        </w:rPr>
        <w:instrText xml:space="preserve"> REF _Ref184635543 \w \h </w:instrText>
      </w:r>
      <w:r w:rsidR="00864136" w:rsidRPr="00EB2E7B">
        <w:rPr>
          <w:rFonts w:asciiTheme="minorHAnsi" w:hAnsiTheme="minorHAnsi" w:cstheme="minorHAnsi"/>
          <w:b w:val="0"/>
          <w:bCs w:val="0"/>
          <w:sz w:val="20"/>
          <w:szCs w:val="20"/>
        </w:rPr>
        <w:instrText xml:space="preserve"> \* MERGEFORMAT </w:instrText>
      </w:r>
      <w:r w:rsidR="00864136" w:rsidRPr="00EB2E7B">
        <w:rPr>
          <w:rFonts w:asciiTheme="minorHAnsi" w:hAnsiTheme="minorHAnsi" w:cstheme="minorHAnsi"/>
          <w:b w:val="0"/>
          <w:bCs w:val="0"/>
          <w:sz w:val="20"/>
          <w:szCs w:val="20"/>
        </w:rPr>
      </w:r>
      <w:r w:rsidR="00864136"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sz w:val="20"/>
          <w:szCs w:val="20"/>
        </w:rPr>
        <w:t>E.4</w:t>
      </w:r>
      <w:r w:rsidR="00864136" w:rsidRPr="00EB2E7B">
        <w:rPr>
          <w:rFonts w:asciiTheme="minorHAnsi" w:hAnsiTheme="minorHAnsi" w:cstheme="minorHAnsi"/>
          <w:b w:val="0"/>
          <w:sz w:val="20"/>
          <w:szCs w:val="20"/>
        </w:rPr>
        <w:fldChar w:fldCharType="end"/>
      </w:r>
      <w:r w:rsidRPr="00EB2E7B">
        <w:rPr>
          <w:rFonts w:asciiTheme="minorHAnsi" w:hAnsiTheme="minorHAnsi" w:cstheme="minorHAnsi"/>
          <w:b w:val="0"/>
          <w:bCs w:val="0"/>
          <w:sz w:val="20"/>
          <w:szCs w:val="20"/>
        </w:rPr>
        <w:t>.</w:t>
      </w:r>
      <w:r w:rsidRPr="00EB2E7B">
        <w:rPr>
          <w:rFonts w:asciiTheme="minorHAnsi" w:hAnsiTheme="minorHAnsi" w:cstheme="minorHAnsi"/>
          <w:b w:val="0"/>
          <w:sz w:val="20"/>
          <w:szCs w:val="20"/>
        </w:rPr>
        <w:t>, w przypadku, gdy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wskazany przez sprzedawcę, URD</w:t>
      </w:r>
      <w:r w:rsidRPr="00EB2E7B">
        <w:rPr>
          <w:rFonts w:asciiTheme="minorHAnsi" w:hAnsiTheme="minorHAnsi" w:cstheme="minorHAnsi"/>
          <w:b w:val="0"/>
          <w:sz w:val="20"/>
          <w:szCs w:val="20"/>
          <w:vertAlign w:val="subscript"/>
        </w:rPr>
        <w:t>W</w:t>
      </w:r>
      <w:r w:rsidRPr="00EB2E7B">
        <w:rPr>
          <w:rFonts w:asciiTheme="minorHAnsi" w:hAnsiTheme="minorHAnsi" w:cstheme="minorHAnsi"/>
          <w:b w:val="0"/>
          <w:sz w:val="20"/>
          <w:szCs w:val="20"/>
        </w:rPr>
        <w:t xml:space="preserve"> lub URD</w:t>
      </w:r>
      <w:r w:rsidRPr="00EB2E7B">
        <w:rPr>
          <w:rFonts w:asciiTheme="minorHAnsi" w:hAnsiTheme="minorHAnsi" w:cstheme="minorHAnsi"/>
          <w:b w:val="0"/>
          <w:sz w:val="20"/>
          <w:szCs w:val="20"/>
          <w:vertAlign w:val="subscript"/>
        </w:rPr>
        <w:t>ME</w:t>
      </w:r>
      <w:r w:rsidRPr="00EB2E7B">
        <w:rPr>
          <w:rFonts w:asciiTheme="minorHAnsi" w:hAnsiTheme="minorHAnsi" w:cstheme="minorHAnsi"/>
          <w:b w:val="0"/>
          <w:sz w:val="20"/>
          <w:szCs w:val="20"/>
        </w:rPr>
        <w:t xml:space="preserve"> zaprzestanie niezależnie od przyczyny działalności na RB, wówczas odpowiedzialność za bilansowanie handlowe przechodzi ze skutkiem od dnia zaprzestania tej działalności przez dotychczasowego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na nowego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wskazanego przez sprzedawcę rezerwowego lub sprzedawcę z urzędu dla URD</w:t>
      </w:r>
      <w:r w:rsidRPr="00EB2E7B">
        <w:rPr>
          <w:rFonts w:asciiTheme="minorHAnsi" w:hAnsiTheme="minorHAnsi" w:cstheme="minorHAnsi"/>
          <w:b w:val="0"/>
          <w:sz w:val="20"/>
          <w:szCs w:val="20"/>
          <w:vertAlign w:val="subscript"/>
        </w:rPr>
        <w:t>O</w:t>
      </w:r>
      <w:r w:rsidRPr="00EB2E7B">
        <w:rPr>
          <w:rFonts w:asciiTheme="minorHAnsi" w:hAnsiTheme="minorHAnsi" w:cstheme="minorHAnsi"/>
          <w:b w:val="0"/>
          <w:sz w:val="20"/>
          <w:szCs w:val="20"/>
        </w:rPr>
        <w:t xml:space="preserve"> lub na </w:t>
      </w:r>
      <w:r w:rsidR="002E664B"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w przypadku utraty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xml:space="preserve"> przez URD</w:t>
      </w:r>
      <w:r w:rsidRPr="00EB2E7B">
        <w:rPr>
          <w:rFonts w:asciiTheme="minorHAnsi" w:hAnsiTheme="minorHAnsi" w:cstheme="minorHAnsi"/>
          <w:b w:val="0"/>
          <w:sz w:val="20"/>
          <w:szCs w:val="20"/>
          <w:vertAlign w:val="subscript"/>
        </w:rPr>
        <w:t>W</w:t>
      </w:r>
      <w:r w:rsidRPr="00EB2E7B">
        <w:rPr>
          <w:rFonts w:asciiTheme="minorHAnsi" w:hAnsiTheme="minorHAnsi" w:cstheme="minorHAnsi"/>
          <w:b w:val="0"/>
          <w:sz w:val="20"/>
          <w:szCs w:val="20"/>
        </w:rPr>
        <w:t xml:space="preserve"> lub URD</w:t>
      </w:r>
      <w:r w:rsidRPr="00EB2E7B">
        <w:rPr>
          <w:rFonts w:asciiTheme="minorHAnsi" w:hAnsiTheme="minorHAnsi" w:cstheme="minorHAnsi"/>
          <w:b w:val="0"/>
          <w:sz w:val="20"/>
          <w:szCs w:val="20"/>
          <w:vertAlign w:val="subscript"/>
        </w:rPr>
        <w:t>ME</w:t>
      </w:r>
      <w:r w:rsidRPr="00EB2E7B">
        <w:rPr>
          <w:rFonts w:asciiTheme="minorHAnsi" w:hAnsiTheme="minorHAnsi" w:cstheme="minorHAnsi"/>
          <w:b w:val="0"/>
          <w:sz w:val="20"/>
          <w:szCs w:val="20"/>
        </w:rPr>
        <w:t>.</w:t>
      </w:r>
      <w:bookmarkEnd w:id="646"/>
      <w:bookmarkEnd w:id="647"/>
    </w:p>
    <w:p w14:paraId="43DE4B56" w14:textId="63976847" w:rsidR="00134780" w:rsidRPr="00EB2E7B" w:rsidRDefault="0017068F" w:rsidP="004D1C36">
      <w:pPr>
        <w:pStyle w:val="ANagwek2"/>
        <w:rPr>
          <w:rFonts w:asciiTheme="minorHAnsi" w:hAnsiTheme="minorHAnsi" w:cstheme="minorHAnsi"/>
          <w:b w:val="0"/>
          <w:bCs w:val="0"/>
          <w:sz w:val="20"/>
          <w:szCs w:val="20"/>
        </w:rPr>
      </w:pPr>
      <w:bookmarkStart w:id="648" w:name="_Toc189833810"/>
      <w:bookmarkStart w:id="649" w:name="_Toc239333414"/>
      <w:r w:rsidRPr="00EB2E7B">
        <w:rPr>
          <w:rFonts w:asciiTheme="minorHAnsi" w:hAnsiTheme="minorHAnsi" w:cstheme="minorHAnsi"/>
          <w:b w:val="0"/>
          <w:sz w:val="20"/>
          <w:szCs w:val="20"/>
        </w:rPr>
        <w:t>Jeżeli URD</w:t>
      </w:r>
      <w:r w:rsidRPr="00EB2E7B">
        <w:rPr>
          <w:rFonts w:asciiTheme="minorHAnsi" w:hAnsiTheme="minorHAnsi" w:cstheme="minorHAnsi"/>
          <w:b w:val="0"/>
          <w:sz w:val="20"/>
          <w:szCs w:val="20"/>
          <w:vertAlign w:val="subscript"/>
        </w:rPr>
        <w:t>W</w:t>
      </w:r>
      <w:r w:rsidRPr="00EB2E7B">
        <w:rPr>
          <w:rFonts w:asciiTheme="minorHAnsi" w:hAnsiTheme="minorHAnsi" w:cstheme="minorHAnsi"/>
          <w:b w:val="0"/>
          <w:sz w:val="20"/>
          <w:szCs w:val="20"/>
        </w:rPr>
        <w:t xml:space="preserve"> lub URD</w:t>
      </w:r>
      <w:r w:rsidRPr="00EB2E7B">
        <w:rPr>
          <w:rFonts w:asciiTheme="minorHAnsi" w:hAnsiTheme="minorHAnsi" w:cstheme="minorHAnsi"/>
          <w:b w:val="0"/>
          <w:sz w:val="20"/>
          <w:szCs w:val="20"/>
          <w:vertAlign w:val="subscript"/>
        </w:rPr>
        <w:t>ME</w:t>
      </w:r>
      <w:r w:rsidRPr="00EB2E7B">
        <w:rPr>
          <w:rFonts w:asciiTheme="minorHAnsi" w:hAnsiTheme="minorHAnsi" w:cstheme="minorHAnsi"/>
          <w:b w:val="0"/>
          <w:sz w:val="20"/>
          <w:szCs w:val="20"/>
        </w:rPr>
        <w:t xml:space="preserve"> utraci wskazany przez siebie POB</w:t>
      </w:r>
      <w:r w:rsidRPr="00EB2E7B">
        <w:rPr>
          <w:rFonts w:asciiTheme="minorHAnsi" w:hAnsiTheme="minorHAnsi" w:cstheme="minorHAnsi"/>
          <w:b w:val="0"/>
          <w:sz w:val="20"/>
          <w:szCs w:val="20"/>
          <w:vertAlign w:val="subscript"/>
        </w:rPr>
        <w:t>Z</w:t>
      </w:r>
      <w:r w:rsidRPr="00EB2E7B">
        <w:rPr>
          <w:rFonts w:asciiTheme="minorHAnsi" w:hAnsiTheme="minorHAnsi" w:cstheme="minorHAnsi"/>
          <w:b w:val="0"/>
          <w:sz w:val="20"/>
          <w:szCs w:val="20"/>
        </w:rPr>
        <w:t>, wówczas URD</w:t>
      </w:r>
      <w:r w:rsidRPr="00EB2E7B">
        <w:rPr>
          <w:rFonts w:asciiTheme="minorHAnsi" w:hAnsiTheme="minorHAnsi" w:cstheme="minorHAnsi"/>
          <w:b w:val="0"/>
          <w:sz w:val="20"/>
          <w:szCs w:val="20"/>
          <w:vertAlign w:val="subscript"/>
        </w:rPr>
        <w:t>W</w:t>
      </w:r>
      <w:r w:rsidRPr="00EB2E7B">
        <w:rPr>
          <w:rFonts w:asciiTheme="minorHAnsi" w:hAnsiTheme="minorHAnsi" w:cstheme="minorHAnsi"/>
          <w:b w:val="0"/>
          <w:sz w:val="20"/>
          <w:szCs w:val="20"/>
        </w:rPr>
        <w:t xml:space="preserve"> lub URD</w:t>
      </w:r>
      <w:r w:rsidRPr="00EB2E7B">
        <w:rPr>
          <w:rFonts w:asciiTheme="minorHAnsi" w:hAnsiTheme="minorHAnsi" w:cstheme="minorHAnsi"/>
          <w:b w:val="0"/>
          <w:sz w:val="20"/>
          <w:szCs w:val="20"/>
          <w:vertAlign w:val="subscript"/>
        </w:rPr>
        <w:t>ME</w:t>
      </w:r>
      <w:r w:rsidRPr="00EB2E7B">
        <w:rPr>
          <w:rFonts w:asciiTheme="minorHAnsi" w:hAnsiTheme="minorHAnsi" w:cstheme="minorHAnsi"/>
          <w:b w:val="0"/>
          <w:sz w:val="20"/>
          <w:szCs w:val="20"/>
        </w:rPr>
        <w:t xml:space="preserve">, w porozumieniu z </w:t>
      </w:r>
      <w:r w:rsidR="008B51AE"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winien zaprzestać wprowadzania energii do sieci dystrybucyjnej </w:t>
      </w:r>
      <w:r w:rsidR="005B125A"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a </w:t>
      </w:r>
      <w:r w:rsidR="005B125A" w:rsidRPr="00EB2E7B">
        <w:rPr>
          <w:rFonts w:asciiTheme="minorHAnsi" w:hAnsiTheme="minorHAnsi" w:cstheme="minorHAnsi"/>
          <w:b w:val="0"/>
          <w:sz w:val="20"/>
          <w:szCs w:val="20"/>
        </w:rPr>
        <w:t>ACPRO</w:t>
      </w:r>
      <w:r w:rsidRPr="00EB2E7B">
        <w:rPr>
          <w:rFonts w:asciiTheme="minorHAnsi" w:hAnsiTheme="minorHAnsi" w:cstheme="minorHAnsi"/>
          <w:b w:val="0"/>
          <w:sz w:val="20"/>
          <w:szCs w:val="20"/>
        </w:rPr>
        <w:t xml:space="preserve"> ma prawo do wyłączenia tego URD</w:t>
      </w:r>
      <w:r w:rsidRPr="00EB2E7B">
        <w:rPr>
          <w:rFonts w:asciiTheme="minorHAnsi" w:hAnsiTheme="minorHAnsi" w:cstheme="minorHAnsi"/>
          <w:b w:val="0"/>
          <w:sz w:val="20"/>
          <w:szCs w:val="20"/>
          <w:vertAlign w:val="subscript"/>
        </w:rPr>
        <w:t>W</w:t>
      </w:r>
      <w:r w:rsidRPr="00EB2E7B">
        <w:rPr>
          <w:rFonts w:asciiTheme="minorHAnsi" w:hAnsiTheme="minorHAnsi" w:cstheme="minorHAnsi"/>
          <w:b w:val="0"/>
          <w:sz w:val="20"/>
          <w:szCs w:val="20"/>
        </w:rPr>
        <w:t xml:space="preserve"> lub URD</w:t>
      </w:r>
      <w:r w:rsidRPr="00EB2E7B">
        <w:rPr>
          <w:rFonts w:asciiTheme="minorHAnsi" w:hAnsiTheme="minorHAnsi" w:cstheme="minorHAnsi"/>
          <w:b w:val="0"/>
          <w:sz w:val="20"/>
          <w:szCs w:val="20"/>
          <w:vertAlign w:val="subscript"/>
        </w:rPr>
        <w:t>ME</w:t>
      </w:r>
      <w:r w:rsidRPr="00EB2E7B">
        <w:rPr>
          <w:rFonts w:asciiTheme="minorHAnsi" w:hAnsiTheme="minorHAnsi" w:cstheme="minorHAnsi"/>
          <w:b w:val="0"/>
          <w:sz w:val="20"/>
          <w:szCs w:val="20"/>
        </w:rPr>
        <w:t>, bez ponoszenia przez</w:t>
      </w:r>
      <w:r w:rsidR="005B125A" w:rsidRPr="00EB2E7B">
        <w:rPr>
          <w:rFonts w:asciiTheme="minorHAnsi" w:hAnsiTheme="minorHAnsi" w:cstheme="minorHAnsi"/>
          <w:b w:val="0"/>
          <w:sz w:val="20"/>
          <w:szCs w:val="20"/>
        </w:rPr>
        <w:t xml:space="preserve"> ACPRO</w:t>
      </w:r>
      <w:r w:rsidRPr="00EB2E7B">
        <w:rPr>
          <w:rFonts w:asciiTheme="minorHAnsi" w:hAnsiTheme="minorHAnsi" w:cstheme="minorHAnsi"/>
          <w:b w:val="0"/>
          <w:sz w:val="20"/>
          <w:szCs w:val="20"/>
        </w:rPr>
        <w:t xml:space="preserve"> odpowiedzialności z tego tytułu. Sposób i zasady rozliczenia energii niezbilansowania w okresie poprzedzającym zaprzestanie wprowadzenia energii do sieci dystrybucyjnej, określone są w umowie dystrybucji zawartej pomiędzy</w:t>
      </w:r>
      <w:r w:rsidR="005B125A" w:rsidRPr="00EB2E7B">
        <w:rPr>
          <w:rFonts w:asciiTheme="minorHAnsi" w:hAnsiTheme="minorHAnsi" w:cstheme="minorHAnsi"/>
          <w:b w:val="0"/>
          <w:sz w:val="20"/>
          <w:szCs w:val="20"/>
        </w:rPr>
        <w:t xml:space="preserve"> ACPRO</w:t>
      </w:r>
      <w:r w:rsidRPr="00EB2E7B">
        <w:rPr>
          <w:rFonts w:asciiTheme="minorHAnsi" w:hAnsiTheme="minorHAnsi" w:cstheme="minorHAnsi"/>
          <w:b w:val="0"/>
          <w:sz w:val="20"/>
          <w:szCs w:val="20"/>
        </w:rPr>
        <w:t xml:space="preserve"> a URD</w:t>
      </w:r>
      <w:r w:rsidRPr="00EB2E7B">
        <w:rPr>
          <w:rFonts w:asciiTheme="minorHAnsi" w:hAnsiTheme="minorHAnsi" w:cstheme="minorHAnsi"/>
          <w:b w:val="0"/>
          <w:sz w:val="20"/>
          <w:szCs w:val="20"/>
          <w:vertAlign w:val="subscript"/>
        </w:rPr>
        <w:t>W</w:t>
      </w:r>
      <w:r w:rsidRPr="00EB2E7B">
        <w:rPr>
          <w:rFonts w:asciiTheme="minorHAnsi" w:hAnsiTheme="minorHAnsi" w:cstheme="minorHAnsi"/>
          <w:b w:val="0"/>
          <w:sz w:val="20"/>
          <w:szCs w:val="20"/>
        </w:rPr>
        <w:t xml:space="preserve"> lub URD</w:t>
      </w:r>
      <w:r w:rsidRPr="00EB2E7B">
        <w:rPr>
          <w:rFonts w:asciiTheme="minorHAnsi" w:hAnsiTheme="minorHAnsi" w:cstheme="minorHAnsi"/>
          <w:b w:val="0"/>
          <w:sz w:val="20"/>
          <w:szCs w:val="20"/>
          <w:vertAlign w:val="subscript"/>
        </w:rPr>
        <w:t>ME</w:t>
      </w:r>
      <w:r w:rsidRPr="00EB2E7B">
        <w:rPr>
          <w:rFonts w:asciiTheme="minorHAnsi" w:hAnsiTheme="minorHAnsi" w:cstheme="minorHAnsi"/>
          <w:b w:val="0"/>
          <w:sz w:val="20"/>
          <w:szCs w:val="20"/>
        </w:rPr>
        <w:t>.</w:t>
      </w:r>
      <w:bookmarkEnd w:id="648"/>
      <w:bookmarkEnd w:id="649"/>
    </w:p>
    <w:p w14:paraId="0894F8F1" w14:textId="57FAEDDB" w:rsidR="00473957" w:rsidRPr="00EB2E7B" w:rsidRDefault="0057704F" w:rsidP="004D1C36">
      <w:pPr>
        <w:pStyle w:val="ANagwek2"/>
        <w:rPr>
          <w:rFonts w:asciiTheme="minorHAnsi" w:hAnsiTheme="minorHAnsi" w:cstheme="minorHAnsi"/>
          <w:b w:val="0"/>
          <w:sz w:val="20"/>
          <w:szCs w:val="20"/>
        </w:rPr>
      </w:pPr>
      <w:bookmarkStart w:id="650" w:name="_Toc189833811"/>
      <w:bookmarkStart w:id="651" w:name="_Toc239333415"/>
      <w:r w:rsidRPr="00EB2E7B">
        <w:rPr>
          <w:rFonts w:asciiTheme="minorHAnsi" w:hAnsiTheme="minorHAnsi" w:cstheme="minorHAnsi"/>
          <w:b w:val="0"/>
          <w:bCs w:val="0"/>
          <w:sz w:val="20"/>
          <w:szCs w:val="20"/>
        </w:rPr>
        <w:t xml:space="preserve">ACPRO </w:t>
      </w:r>
      <w:r w:rsidR="00E75F71" w:rsidRPr="00EB2E7B">
        <w:rPr>
          <w:rFonts w:asciiTheme="minorHAnsi" w:hAnsiTheme="minorHAnsi" w:cstheme="minorHAnsi"/>
          <w:b w:val="0"/>
          <w:bCs w:val="0"/>
          <w:sz w:val="20"/>
          <w:szCs w:val="20"/>
        </w:rPr>
        <w:t xml:space="preserve">niezwłocznie po uzyskaniu od OSP lub </w:t>
      </w:r>
      <w:proofErr w:type="spellStart"/>
      <w:r w:rsidR="00E75F71" w:rsidRPr="00EB2E7B">
        <w:rPr>
          <w:rFonts w:asciiTheme="minorHAnsi" w:hAnsiTheme="minorHAnsi" w:cstheme="minorHAnsi"/>
          <w:b w:val="0"/>
          <w:bCs w:val="0"/>
          <w:sz w:val="20"/>
          <w:szCs w:val="20"/>
        </w:rPr>
        <w:t>OSDp</w:t>
      </w:r>
      <w:proofErr w:type="spellEnd"/>
      <w:r w:rsidR="00E75F71" w:rsidRPr="00EB2E7B">
        <w:rPr>
          <w:rFonts w:asciiTheme="minorHAnsi" w:hAnsiTheme="minorHAnsi" w:cstheme="minorHAnsi"/>
          <w:b w:val="0"/>
          <w:bCs w:val="0"/>
          <w:sz w:val="20"/>
          <w:szCs w:val="20"/>
        </w:rPr>
        <w:t xml:space="preserve"> informacji o planowanym zaprzestaniu działalności na RB przez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xml:space="preserve"> powiadamia sprzedawcę, URD</w:t>
      </w:r>
      <w:r w:rsidR="00E75F71" w:rsidRPr="00EB2E7B">
        <w:rPr>
          <w:rFonts w:asciiTheme="minorHAnsi" w:hAnsiTheme="minorHAnsi" w:cstheme="minorHAnsi"/>
          <w:b w:val="0"/>
          <w:bCs w:val="0"/>
          <w:sz w:val="20"/>
          <w:szCs w:val="20"/>
          <w:vertAlign w:val="subscript"/>
        </w:rPr>
        <w:t>W</w:t>
      </w:r>
      <w:r w:rsidR="00E75F71" w:rsidRPr="00EB2E7B">
        <w:rPr>
          <w:rFonts w:asciiTheme="minorHAnsi" w:hAnsiTheme="minorHAnsi" w:cstheme="minorHAnsi"/>
          <w:b w:val="0"/>
          <w:bCs w:val="0"/>
          <w:sz w:val="20"/>
          <w:szCs w:val="20"/>
        </w:rPr>
        <w:t xml:space="preserve"> lub URD</w:t>
      </w:r>
      <w:r w:rsidR="00E75F71" w:rsidRPr="00EB2E7B">
        <w:rPr>
          <w:rFonts w:asciiTheme="minorHAnsi" w:hAnsiTheme="minorHAnsi" w:cstheme="minorHAnsi"/>
          <w:b w:val="0"/>
          <w:bCs w:val="0"/>
          <w:sz w:val="20"/>
          <w:szCs w:val="20"/>
          <w:vertAlign w:val="subscript"/>
        </w:rPr>
        <w:t>ME</w:t>
      </w:r>
      <w:r w:rsidR="00E75F71" w:rsidRPr="00EB2E7B">
        <w:rPr>
          <w:rFonts w:asciiTheme="minorHAnsi" w:hAnsiTheme="minorHAnsi" w:cstheme="minorHAnsi"/>
          <w:b w:val="0"/>
          <w:bCs w:val="0"/>
          <w:sz w:val="20"/>
          <w:szCs w:val="20"/>
        </w:rPr>
        <w:t>, którzy wskazali tego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o braku możliwości bilansowania handlowego przez wskazanego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W takim przypadku sprzedawca, URD</w:t>
      </w:r>
      <w:r w:rsidR="00E75F71" w:rsidRPr="00EB2E7B">
        <w:rPr>
          <w:rFonts w:asciiTheme="minorHAnsi" w:hAnsiTheme="minorHAnsi" w:cstheme="minorHAnsi"/>
          <w:b w:val="0"/>
          <w:bCs w:val="0"/>
          <w:sz w:val="20"/>
          <w:szCs w:val="20"/>
          <w:vertAlign w:val="subscript"/>
        </w:rPr>
        <w:t>W</w:t>
      </w:r>
      <w:r w:rsidR="00E75F71" w:rsidRPr="00EB2E7B">
        <w:rPr>
          <w:rFonts w:asciiTheme="minorHAnsi" w:hAnsiTheme="minorHAnsi" w:cstheme="minorHAnsi"/>
          <w:b w:val="0"/>
          <w:bCs w:val="0"/>
          <w:sz w:val="20"/>
          <w:szCs w:val="20"/>
        </w:rPr>
        <w:t xml:space="preserve"> lub URD</w:t>
      </w:r>
      <w:r w:rsidR="00E75F71" w:rsidRPr="00EB2E7B">
        <w:rPr>
          <w:rFonts w:asciiTheme="minorHAnsi" w:hAnsiTheme="minorHAnsi" w:cstheme="minorHAnsi"/>
          <w:b w:val="0"/>
          <w:bCs w:val="0"/>
          <w:sz w:val="20"/>
          <w:szCs w:val="20"/>
          <w:vertAlign w:val="subscript"/>
        </w:rPr>
        <w:t>ME</w:t>
      </w:r>
      <w:r w:rsidR="00E75F71" w:rsidRPr="00EB2E7B">
        <w:rPr>
          <w:rFonts w:asciiTheme="minorHAnsi" w:hAnsiTheme="minorHAnsi" w:cstheme="minorHAnsi"/>
          <w:b w:val="0"/>
          <w:bCs w:val="0"/>
          <w:sz w:val="20"/>
          <w:szCs w:val="20"/>
        </w:rPr>
        <w:t xml:space="preserve"> jest zobowiązany do zmiany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Zmiana ta musi nastąpić przed ww. terminem planowanego zaprzestania działalności na RB przez dotychczasowego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z</w:t>
      </w:r>
      <w:r w:rsidR="00EB035F" w:rsidRPr="00EB2E7B">
        <w:rPr>
          <w:rFonts w:asciiTheme="minorHAnsi" w:hAnsiTheme="minorHAnsi" w:cstheme="minorHAnsi"/>
          <w:b w:val="0"/>
          <w:sz w:val="20"/>
          <w:szCs w:val="20"/>
        </w:rPr>
        <w:t> </w:t>
      </w:r>
      <w:r w:rsidR="00E75F71" w:rsidRPr="00EB2E7B">
        <w:rPr>
          <w:rFonts w:asciiTheme="minorHAnsi" w:hAnsiTheme="minorHAnsi" w:cstheme="minorHAnsi"/>
          <w:b w:val="0"/>
          <w:bCs w:val="0"/>
          <w:sz w:val="20"/>
          <w:szCs w:val="20"/>
        </w:rPr>
        <w:t>zachowaniem postanowień niniejszego rozdziału.</w:t>
      </w:r>
      <w:bookmarkEnd w:id="650"/>
      <w:bookmarkEnd w:id="651"/>
    </w:p>
    <w:p w14:paraId="561EE355" w14:textId="43C1EB48" w:rsidR="00473957" w:rsidRPr="00EB2E7B" w:rsidRDefault="00E75F71" w:rsidP="004D1C36">
      <w:pPr>
        <w:pStyle w:val="ANagwek2"/>
        <w:rPr>
          <w:rFonts w:asciiTheme="minorHAnsi" w:hAnsiTheme="minorHAnsi" w:cstheme="minorHAnsi"/>
          <w:b w:val="0"/>
          <w:sz w:val="20"/>
          <w:szCs w:val="20"/>
        </w:rPr>
      </w:pPr>
      <w:bookmarkStart w:id="652" w:name="_Toc189833812"/>
      <w:bookmarkStart w:id="653" w:name="_Toc239333416"/>
      <w:r w:rsidRPr="00EB2E7B">
        <w:rPr>
          <w:rFonts w:asciiTheme="minorHAnsi" w:hAnsiTheme="minorHAnsi" w:cstheme="minorHAnsi"/>
          <w:b w:val="0"/>
          <w:bCs w:val="0"/>
          <w:sz w:val="20"/>
          <w:szCs w:val="20"/>
        </w:rPr>
        <w:t>POB</w:t>
      </w:r>
      <w:r w:rsidRPr="00EB2E7B">
        <w:rPr>
          <w:rFonts w:asciiTheme="minorHAnsi" w:hAnsiTheme="minorHAnsi" w:cstheme="minorHAnsi"/>
          <w:b w:val="0"/>
          <w:bCs w:val="0"/>
          <w:sz w:val="20"/>
          <w:szCs w:val="20"/>
          <w:vertAlign w:val="subscript"/>
        </w:rPr>
        <w:t>Z</w:t>
      </w:r>
      <w:r w:rsidRPr="00EB2E7B">
        <w:rPr>
          <w:rFonts w:asciiTheme="minorHAnsi" w:hAnsiTheme="minorHAnsi" w:cstheme="minorHAnsi"/>
          <w:b w:val="0"/>
          <w:bCs w:val="0"/>
          <w:sz w:val="20"/>
          <w:szCs w:val="20"/>
        </w:rPr>
        <w:t>, który prowadzi bilansowanie handlowe sprzedawcy, URD</w:t>
      </w:r>
      <w:r w:rsidRPr="00EB2E7B">
        <w:rPr>
          <w:rFonts w:asciiTheme="minorHAnsi" w:hAnsiTheme="minorHAnsi" w:cstheme="minorHAnsi"/>
          <w:b w:val="0"/>
          <w:bCs w:val="0"/>
          <w:sz w:val="20"/>
          <w:szCs w:val="20"/>
          <w:vertAlign w:val="subscript"/>
        </w:rPr>
        <w:t>W</w:t>
      </w:r>
      <w:r w:rsidRPr="00EB2E7B">
        <w:rPr>
          <w:rFonts w:asciiTheme="minorHAnsi" w:hAnsiTheme="minorHAnsi" w:cstheme="minorHAnsi"/>
          <w:b w:val="0"/>
          <w:bCs w:val="0"/>
          <w:sz w:val="20"/>
          <w:szCs w:val="20"/>
        </w:rPr>
        <w:t xml:space="preserve"> lub URD</w:t>
      </w:r>
      <w:r w:rsidRPr="00EB2E7B">
        <w:rPr>
          <w:rFonts w:asciiTheme="minorHAnsi" w:hAnsiTheme="minorHAnsi" w:cstheme="minorHAnsi"/>
          <w:b w:val="0"/>
          <w:bCs w:val="0"/>
          <w:sz w:val="20"/>
          <w:szCs w:val="20"/>
          <w:vertAlign w:val="subscript"/>
        </w:rPr>
        <w:t>ME</w:t>
      </w:r>
      <w:r w:rsidRPr="00EB2E7B">
        <w:rPr>
          <w:rFonts w:asciiTheme="minorHAnsi" w:hAnsiTheme="minorHAnsi" w:cstheme="minorHAnsi"/>
          <w:b w:val="0"/>
          <w:bCs w:val="0"/>
          <w:sz w:val="20"/>
          <w:szCs w:val="20"/>
        </w:rPr>
        <w:t xml:space="preserve"> jest zobowiązany do natychmiastowego skutecznego poinformowania ACPRO oraz wyżej wymienionego sprzedawcy, URD</w:t>
      </w:r>
      <w:r w:rsidRPr="00EB2E7B">
        <w:rPr>
          <w:rFonts w:asciiTheme="minorHAnsi" w:hAnsiTheme="minorHAnsi" w:cstheme="minorHAnsi"/>
          <w:b w:val="0"/>
          <w:bCs w:val="0"/>
          <w:sz w:val="20"/>
          <w:szCs w:val="20"/>
          <w:vertAlign w:val="subscript"/>
        </w:rPr>
        <w:t>W</w:t>
      </w:r>
      <w:r w:rsidRPr="00EB2E7B">
        <w:rPr>
          <w:rFonts w:asciiTheme="minorHAnsi" w:hAnsiTheme="minorHAnsi" w:cstheme="minorHAnsi"/>
          <w:b w:val="0"/>
          <w:bCs w:val="0"/>
          <w:sz w:val="20"/>
          <w:szCs w:val="20"/>
        </w:rPr>
        <w:t xml:space="preserve"> lub URD</w:t>
      </w:r>
      <w:r w:rsidRPr="00EB2E7B">
        <w:rPr>
          <w:rFonts w:asciiTheme="minorHAnsi" w:hAnsiTheme="minorHAnsi" w:cstheme="minorHAnsi"/>
          <w:b w:val="0"/>
          <w:bCs w:val="0"/>
          <w:sz w:val="20"/>
          <w:szCs w:val="20"/>
          <w:vertAlign w:val="subscript"/>
        </w:rPr>
        <w:t>ME</w:t>
      </w:r>
      <w:r w:rsidRPr="00EB2E7B">
        <w:rPr>
          <w:rFonts w:asciiTheme="minorHAnsi" w:hAnsiTheme="minorHAnsi" w:cstheme="minorHAnsi"/>
          <w:b w:val="0"/>
          <w:bCs w:val="0"/>
          <w:sz w:val="20"/>
          <w:szCs w:val="20"/>
        </w:rPr>
        <w:t>, który go wskazał, o</w:t>
      </w:r>
      <w:r w:rsidR="00E7017F" w:rsidRPr="00EB2E7B">
        <w:rPr>
          <w:rFonts w:asciiTheme="minorHAnsi" w:hAnsiTheme="minorHAnsi" w:cstheme="minorHAnsi"/>
          <w:b w:val="0"/>
          <w:sz w:val="20"/>
          <w:szCs w:val="20"/>
        </w:rPr>
        <w:t> </w:t>
      </w:r>
      <w:r w:rsidRPr="00EB2E7B">
        <w:rPr>
          <w:rFonts w:asciiTheme="minorHAnsi" w:hAnsiTheme="minorHAnsi" w:cstheme="minorHAnsi"/>
          <w:b w:val="0"/>
          <w:bCs w:val="0"/>
          <w:sz w:val="20"/>
          <w:szCs w:val="20"/>
        </w:rPr>
        <w:t>zawieszeniu lub zaprzestaniu niezależnie od przyczyny działalności na RB</w:t>
      </w:r>
      <w:r w:rsidR="0057704F" w:rsidRPr="00EB2E7B">
        <w:rPr>
          <w:rFonts w:asciiTheme="minorHAnsi" w:hAnsiTheme="minorHAnsi" w:cstheme="minorHAnsi"/>
          <w:b w:val="0"/>
          <w:bCs w:val="0"/>
          <w:sz w:val="20"/>
          <w:szCs w:val="20"/>
        </w:rPr>
        <w:t>.</w:t>
      </w:r>
      <w:bookmarkEnd w:id="652"/>
      <w:bookmarkEnd w:id="653"/>
    </w:p>
    <w:p w14:paraId="7A040D0A" w14:textId="70D11321" w:rsidR="006C2570" w:rsidRPr="00EB2E7B" w:rsidRDefault="0057704F" w:rsidP="004D1C36">
      <w:pPr>
        <w:pStyle w:val="ANagwek2"/>
        <w:rPr>
          <w:rFonts w:asciiTheme="minorHAnsi" w:hAnsiTheme="minorHAnsi" w:cstheme="minorHAnsi"/>
          <w:b w:val="0"/>
          <w:bCs w:val="0"/>
          <w:sz w:val="20"/>
          <w:szCs w:val="20"/>
        </w:rPr>
      </w:pPr>
      <w:bookmarkStart w:id="654" w:name="_Toc189833813"/>
      <w:bookmarkStart w:id="655" w:name="_Toc239333417"/>
      <w:r w:rsidRPr="00EB2E7B">
        <w:rPr>
          <w:rFonts w:asciiTheme="minorHAnsi" w:hAnsiTheme="minorHAnsi" w:cstheme="minorHAnsi"/>
          <w:b w:val="0"/>
          <w:bCs w:val="0"/>
          <w:sz w:val="20"/>
          <w:szCs w:val="20"/>
        </w:rPr>
        <w:t xml:space="preserve">Powiadomienie </w:t>
      </w:r>
      <w:r w:rsidR="00E75F71" w:rsidRPr="00EB2E7B">
        <w:rPr>
          <w:rFonts w:asciiTheme="minorHAnsi" w:hAnsiTheme="minorHAnsi" w:cstheme="minorHAnsi"/>
          <w:b w:val="0"/>
          <w:bCs w:val="0"/>
          <w:sz w:val="20"/>
          <w:szCs w:val="20"/>
        </w:rPr>
        <w:t>ACPRO o zakończeniu prowadzenia przez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xml:space="preserve"> bilansowania handlowego sprzedawcy, URD</w:t>
      </w:r>
      <w:r w:rsidR="00E75F71" w:rsidRPr="00EB2E7B">
        <w:rPr>
          <w:rFonts w:asciiTheme="minorHAnsi" w:hAnsiTheme="minorHAnsi" w:cstheme="minorHAnsi"/>
          <w:b w:val="0"/>
          <w:bCs w:val="0"/>
          <w:sz w:val="20"/>
          <w:szCs w:val="20"/>
          <w:vertAlign w:val="subscript"/>
        </w:rPr>
        <w:t>W</w:t>
      </w:r>
      <w:r w:rsidR="00E75F71" w:rsidRPr="00EB2E7B">
        <w:rPr>
          <w:rFonts w:asciiTheme="minorHAnsi" w:hAnsiTheme="minorHAnsi" w:cstheme="minorHAnsi"/>
          <w:b w:val="0"/>
          <w:bCs w:val="0"/>
          <w:sz w:val="20"/>
          <w:szCs w:val="20"/>
        </w:rPr>
        <w:t xml:space="preserve"> lub URD</w:t>
      </w:r>
      <w:r w:rsidR="00E75F71" w:rsidRPr="00EB2E7B">
        <w:rPr>
          <w:rFonts w:asciiTheme="minorHAnsi" w:hAnsiTheme="minorHAnsi" w:cstheme="minorHAnsi"/>
          <w:b w:val="0"/>
          <w:bCs w:val="0"/>
          <w:sz w:val="20"/>
          <w:szCs w:val="20"/>
          <w:vertAlign w:val="subscript"/>
        </w:rPr>
        <w:t>ME</w:t>
      </w:r>
      <w:r w:rsidR="00E75F71" w:rsidRPr="00EB2E7B">
        <w:rPr>
          <w:rFonts w:asciiTheme="minorHAnsi" w:hAnsiTheme="minorHAnsi" w:cstheme="minorHAnsi"/>
          <w:b w:val="0"/>
          <w:bCs w:val="0"/>
          <w:sz w:val="20"/>
          <w:szCs w:val="20"/>
        </w:rPr>
        <w:t xml:space="preserve"> albo o rozwiązaniu umowy o</w:t>
      </w:r>
      <w:r w:rsidR="00E8431A" w:rsidRPr="00EB2E7B">
        <w:rPr>
          <w:rFonts w:asciiTheme="minorHAnsi" w:hAnsiTheme="minorHAnsi" w:cstheme="minorHAnsi"/>
          <w:b w:val="0"/>
          <w:sz w:val="20"/>
          <w:szCs w:val="20"/>
        </w:rPr>
        <w:t> </w:t>
      </w:r>
      <w:r w:rsidR="00E75F71" w:rsidRPr="00EB2E7B">
        <w:rPr>
          <w:rFonts w:asciiTheme="minorHAnsi" w:hAnsiTheme="minorHAnsi" w:cstheme="minorHAnsi"/>
          <w:b w:val="0"/>
          <w:bCs w:val="0"/>
          <w:sz w:val="20"/>
          <w:szCs w:val="20"/>
        </w:rPr>
        <w:t>świadczenie usług bilansowania handlowego zawartej pomiędzy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xml:space="preserve"> a</w:t>
      </w:r>
      <w:r w:rsidR="00E8431A" w:rsidRPr="00EB2E7B">
        <w:rPr>
          <w:rFonts w:asciiTheme="minorHAnsi" w:hAnsiTheme="minorHAnsi" w:cstheme="minorHAnsi"/>
          <w:b w:val="0"/>
          <w:sz w:val="20"/>
          <w:szCs w:val="20"/>
        </w:rPr>
        <w:t> </w:t>
      </w:r>
      <w:r w:rsidR="00E75F71" w:rsidRPr="00EB2E7B">
        <w:rPr>
          <w:rFonts w:asciiTheme="minorHAnsi" w:hAnsiTheme="minorHAnsi" w:cstheme="minorHAnsi"/>
          <w:b w:val="0"/>
          <w:bCs w:val="0"/>
          <w:sz w:val="20"/>
          <w:szCs w:val="20"/>
        </w:rPr>
        <w:t>sprzedawcą albo pomiędzy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xml:space="preserve"> a URD</w:t>
      </w:r>
      <w:r w:rsidR="00E75F71" w:rsidRPr="00EB2E7B">
        <w:rPr>
          <w:rFonts w:asciiTheme="minorHAnsi" w:hAnsiTheme="minorHAnsi" w:cstheme="minorHAnsi"/>
          <w:b w:val="0"/>
          <w:bCs w:val="0"/>
          <w:sz w:val="20"/>
          <w:szCs w:val="20"/>
          <w:vertAlign w:val="subscript"/>
        </w:rPr>
        <w:t>W</w:t>
      </w:r>
      <w:r w:rsidR="00E75F71" w:rsidRPr="00EB2E7B">
        <w:rPr>
          <w:rFonts w:asciiTheme="minorHAnsi" w:hAnsiTheme="minorHAnsi" w:cstheme="minorHAnsi"/>
          <w:b w:val="0"/>
          <w:bCs w:val="0"/>
          <w:sz w:val="20"/>
          <w:szCs w:val="20"/>
        </w:rPr>
        <w:t xml:space="preserve"> albo między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xml:space="preserve"> </w:t>
      </w:r>
      <w:r w:rsidR="00E75F71" w:rsidRPr="00EB2E7B">
        <w:rPr>
          <w:rFonts w:asciiTheme="minorHAnsi" w:hAnsiTheme="minorHAnsi" w:cstheme="minorHAnsi"/>
          <w:b w:val="0"/>
          <w:bCs w:val="0"/>
          <w:sz w:val="20"/>
          <w:szCs w:val="20"/>
        </w:rPr>
        <w:lastRenderedPageBreak/>
        <w:t>a URD</w:t>
      </w:r>
      <w:r w:rsidR="00E75F71" w:rsidRPr="00EB2E7B">
        <w:rPr>
          <w:rFonts w:asciiTheme="minorHAnsi" w:hAnsiTheme="minorHAnsi" w:cstheme="minorHAnsi"/>
          <w:b w:val="0"/>
          <w:bCs w:val="0"/>
          <w:sz w:val="20"/>
          <w:szCs w:val="20"/>
          <w:vertAlign w:val="subscript"/>
        </w:rPr>
        <w:t>ME</w:t>
      </w:r>
      <w:r w:rsidR="00E75F71" w:rsidRPr="00EB2E7B">
        <w:rPr>
          <w:rFonts w:asciiTheme="minorHAnsi" w:hAnsiTheme="minorHAnsi" w:cstheme="minorHAnsi"/>
          <w:b w:val="0"/>
          <w:bCs w:val="0"/>
          <w:sz w:val="20"/>
          <w:szCs w:val="20"/>
        </w:rPr>
        <w:t xml:space="preserve"> powinno nastąpić niezwłocznie po uzyskaniu takich informacji przez ww. podmioty, jednak nie później niż 15 dni kalendarzowych przed zakończeniem przez POB</w:t>
      </w:r>
      <w:r w:rsidR="00E75F71" w:rsidRPr="00EB2E7B">
        <w:rPr>
          <w:rFonts w:asciiTheme="minorHAnsi" w:hAnsiTheme="minorHAnsi" w:cstheme="minorHAnsi"/>
          <w:b w:val="0"/>
          <w:bCs w:val="0"/>
          <w:sz w:val="20"/>
          <w:szCs w:val="20"/>
          <w:vertAlign w:val="subscript"/>
        </w:rPr>
        <w:t>Z</w:t>
      </w:r>
      <w:r w:rsidR="00E75F71" w:rsidRPr="00EB2E7B">
        <w:rPr>
          <w:rFonts w:asciiTheme="minorHAnsi" w:hAnsiTheme="minorHAnsi" w:cstheme="minorHAnsi"/>
          <w:b w:val="0"/>
          <w:bCs w:val="0"/>
          <w:sz w:val="20"/>
          <w:szCs w:val="20"/>
        </w:rPr>
        <w:t xml:space="preserve"> bilansowania handlowego sprzedawcy, URD</w:t>
      </w:r>
      <w:r w:rsidR="00E75F71" w:rsidRPr="00EB2E7B">
        <w:rPr>
          <w:rFonts w:asciiTheme="minorHAnsi" w:hAnsiTheme="minorHAnsi" w:cstheme="minorHAnsi"/>
          <w:b w:val="0"/>
          <w:bCs w:val="0"/>
          <w:sz w:val="20"/>
          <w:szCs w:val="20"/>
          <w:vertAlign w:val="subscript"/>
        </w:rPr>
        <w:t>W</w:t>
      </w:r>
      <w:r w:rsidR="00E75F71" w:rsidRPr="00EB2E7B">
        <w:rPr>
          <w:rFonts w:asciiTheme="minorHAnsi" w:hAnsiTheme="minorHAnsi" w:cstheme="minorHAnsi"/>
          <w:b w:val="0"/>
          <w:bCs w:val="0"/>
          <w:sz w:val="20"/>
          <w:szCs w:val="20"/>
        </w:rPr>
        <w:t xml:space="preserve"> lub URD</w:t>
      </w:r>
      <w:r w:rsidR="00E75F71" w:rsidRPr="00EB2E7B">
        <w:rPr>
          <w:rFonts w:asciiTheme="minorHAnsi" w:hAnsiTheme="minorHAnsi" w:cstheme="minorHAnsi"/>
          <w:b w:val="0"/>
          <w:bCs w:val="0"/>
          <w:sz w:val="20"/>
          <w:szCs w:val="20"/>
          <w:vertAlign w:val="subscript"/>
        </w:rPr>
        <w:t>ME</w:t>
      </w:r>
      <w:r w:rsidR="00E75F71" w:rsidRPr="00EB2E7B">
        <w:rPr>
          <w:rFonts w:asciiTheme="minorHAnsi" w:hAnsiTheme="minorHAnsi" w:cstheme="minorHAnsi"/>
          <w:b w:val="0"/>
          <w:bCs w:val="0"/>
          <w:sz w:val="20"/>
          <w:szCs w:val="20"/>
        </w:rPr>
        <w:t>.</w:t>
      </w:r>
      <w:bookmarkEnd w:id="654"/>
      <w:bookmarkEnd w:id="655"/>
    </w:p>
    <w:p w14:paraId="14AF5922" w14:textId="56616DF0" w:rsidR="0057704F" w:rsidRPr="00EB2E7B" w:rsidRDefault="0057704F"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w:t>
      </w:r>
      <w:r w:rsidR="00E75F71" w:rsidRPr="00EB2E7B">
        <w:rPr>
          <w:rFonts w:asciiTheme="minorHAnsi" w:hAnsiTheme="minorHAnsi" w:cstheme="minorHAnsi"/>
          <w:sz w:val="20"/>
          <w:szCs w:val="20"/>
        </w:rPr>
        <w:t>przypadku niedotrzymania powyższego terminu, POB</w:t>
      </w:r>
      <w:r w:rsidR="00E75F71" w:rsidRPr="00EB2E7B">
        <w:rPr>
          <w:rFonts w:asciiTheme="minorHAnsi" w:hAnsiTheme="minorHAnsi" w:cstheme="minorHAnsi"/>
          <w:sz w:val="20"/>
          <w:szCs w:val="20"/>
          <w:vertAlign w:val="subscript"/>
        </w:rPr>
        <w:t>Z</w:t>
      </w:r>
      <w:r w:rsidR="00E75F71" w:rsidRPr="00EB2E7B">
        <w:rPr>
          <w:rFonts w:asciiTheme="minorHAnsi" w:hAnsiTheme="minorHAnsi" w:cstheme="minorHAnsi"/>
          <w:sz w:val="20"/>
          <w:szCs w:val="20"/>
        </w:rPr>
        <w:t xml:space="preserve"> będzie prowadził bilansowanie handlowe sprzedawcy, URD</w:t>
      </w:r>
      <w:r w:rsidR="00E75F71" w:rsidRPr="00EB2E7B">
        <w:rPr>
          <w:rFonts w:asciiTheme="minorHAnsi" w:hAnsiTheme="minorHAnsi" w:cstheme="minorHAnsi"/>
          <w:sz w:val="20"/>
          <w:szCs w:val="20"/>
          <w:vertAlign w:val="subscript"/>
        </w:rPr>
        <w:t>W</w:t>
      </w:r>
      <w:r w:rsidR="00E75F71" w:rsidRPr="00EB2E7B">
        <w:rPr>
          <w:rFonts w:asciiTheme="minorHAnsi" w:hAnsiTheme="minorHAnsi" w:cstheme="minorHAnsi"/>
          <w:sz w:val="20"/>
          <w:szCs w:val="20"/>
        </w:rPr>
        <w:t xml:space="preserve"> lub URD</w:t>
      </w:r>
      <w:r w:rsidR="00E75F71" w:rsidRPr="00EB2E7B">
        <w:rPr>
          <w:rFonts w:asciiTheme="minorHAnsi" w:hAnsiTheme="minorHAnsi" w:cstheme="minorHAnsi"/>
          <w:sz w:val="20"/>
          <w:szCs w:val="20"/>
          <w:vertAlign w:val="subscript"/>
        </w:rPr>
        <w:t>ME</w:t>
      </w:r>
      <w:r w:rsidR="00E75F71" w:rsidRPr="00EB2E7B">
        <w:rPr>
          <w:rFonts w:asciiTheme="minorHAnsi" w:hAnsiTheme="minorHAnsi" w:cstheme="minorHAnsi"/>
          <w:sz w:val="20"/>
          <w:szCs w:val="20"/>
        </w:rPr>
        <w:t xml:space="preserve"> do 15 dnia kalendarzowego od uzyskania tej informacji przez ACPRO, chyba, że w terminie wcześniejszym nastąpi zmiana POB</w:t>
      </w:r>
      <w:r w:rsidR="00E75F71" w:rsidRPr="00EB2E7B">
        <w:rPr>
          <w:rFonts w:asciiTheme="minorHAnsi" w:hAnsiTheme="minorHAnsi" w:cstheme="minorHAnsi"/>
          <w:sz w:val="20"/>
          <w:szCs w:val="20"/>
          <w:vertAlign w:val="subscript"/>
        </w:rPr>
        <w:t xml:space="preserve">Z </w:t>
      </w:r>
      <w:r w:rsidR="00E75F71" w:rsidRPr="00EB2E7B">
        <w:rPr>
          <w:rFonts w:asciiTheme="minorHAnsi" w:hAnsiTheme="minorHAnsi" w:cstheme="minorHAnsi"/>
          <w:sz w:val="20"/>
          <w:szCs w:val="20"/>
        </w:rPr>
        <w:t xml:space="preserve">zgodnie z procedurą określoną w </w:t>
      </w:r>
      <w:r w:rsidRPr="00EB2E7B">
        <w:rPr>
          <w:rFonts w:asciiTheme="minorHAnsi" w:hAnsiTheme="minorHAnsi" w:cstheme="minorHAnsi"/>
          <w:sz w:val="20"/>
          <w:szCs w:val="20"/>
        </w:rPr>
        <w:t xml:space="preserve">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_Ref99048693 \r \h </w:instrText>
      </w:r>
      <w:r w:rsidR="005071C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E.2</w:t>
      </w:r>
      <w:r w:rsidRPr="00EB2E7B">
        <w:rPr>
          <w:rFonts w:asciiTheme="minorHAnsi" w:hAnsiTheme="minorHAnsi" w:cstheme="minorHAnsi"/>
          <w:sz w:val="20"/>
          <w:szCs w:val="20"/>
        </w:rPr>
        <w:fldChar w:fldCharType="end"/>
      </w:r>
      <w:r w:rsidR="007C6280" w:rsidRPr="00EB2E7B">
        <w:rPr>
          <w:rFonts w:asciiTheme="minorHAnsi" w:hAnsiTheme="minorHAnsi" w:cstheme="minorHAnsi"/>
          <w:sz w:val="20"/>
          <w:szCs w:val="20"/>
        </w:rPr>
        <w:t xml:space="preserve"> - </w:t>
      </w:r>
      <w:r w:rsidR="005071CD" w:rsidRPr="00EB2E7B">
        <w:rPr>
          <w:rFonts w:asciiTheme="minorHAnsi" w:hAnsiTheme="minorHAnsi" w:cstheme="minorHAnsi"/>
          <w:sz w:val="20"/>
          <w:szCs w:val="20"/>
        </w:rPr>
        <w:fldChar w:fldCharType="begin"/>
      </w:r>
      <w:r w:rsidR="005071CD" w:rsidRPr="00EB2E7B">
        <w:rPr>
          <w:rFonts w:asciiTheme="minorHAnsi" w:hAnsiTheme="minorHAnsi" w:cstheme="minorHAnsi"/>
          <w:sz w:val="20"/>
          <w:szCs w:val="20"/>
        </w:rPr>
        <w:instrText xml:space="preserve"> REF _Ref184635543 \w \h  \* MERGEFORMAT </w:instrText>
      </w:r>
      <w:r w:rsidR="005071CD" w:rsidRPr="00EB2E7B">
        <w:rPr>
          <w:rFonts w:asciiTheme="minorHAnsi" w:hAnsiTheme="minorHAnsi" w:cstheme="minorHAnsi"/>
          <w:sz w:val="20"/>
          <w:szCs w:val="20"/>
        </w:rPr>
      </w:r>
      <w:r w:rsidR="005071C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E.4</w:t>
      </w:r>
      <w:r w:rsidR="005071CD" w:rsidRPr="00EB2E7B">
        <w:rPr>
          <w:rFonts w:asciiTheme="minorHAnsi" w:hAnsiTheme="minorHAnsi" w:cstheme="minorHAnsi"/>
          <w:sz w:val="20"/>
          <w:szCs w:val="20"/>
        </w:rPr>
        <w:fldChar w:fldCharType="end"/>
      </w:r>
      <w:r w:rsidR="007C6280" w:rsidRPr="00EB2E7B">
        <w:rPr>
          <w:rFonts w:asciiTheme="minorHAnsi" w:hAnsiTheme="minorHAnsi" w:cstheme="minorHAnsi"/>
          <w:sz w:val="20"/>
          <w:szCs w:val="20"/>
        </w:rPr>
        <w:t xml:space="preserve"> </w:t>
      </w:r>
    </w:p>
    <w:p w14:paraId="08753EAF" w14:textId="77777777" w:rsidR="00A54D70" w:rsidRPr="00EB2E7B" w:rsidRDefault="00A54D70" w:rsidP="00700978">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1CF1FCC2" w14:textId="77777777" w:rsidR="00E954A0" w:rsidRDefault="00047FD1">
      <w:pPr>
        <w:ind w:left="1134" w:firstLine="0"/>
        <w:rPr>
          <w:rFonts w:asciiTheme="minorHAnsi" w:hAnsiTheme="minorHAnsi" w:cstheme="minorHAnsi"/>
          <w:b/>
          <w:bCs/>
          <w:sz w:val="20"/>
          <w:szCs w:val="20"/>
        </w:rPr>
      </w:pPr>
      <w:r>
        <w:rPr>
          <w:rFonts w:asciiTheme="minorHAnsi" w:hAnsiTheme="minorHAnsi" w:cstheme="minorHAnsi"/>
          <w:b/>
          <w:bCs/>
          <w:sz w:val="20"/>
          <w:szCs w:val="20"/>
        </w:rPr>
        <w:lastRenderedPageBreak/>
        <w:t>ZASADY BILANSOWANIA HANDLOWEGO W OBSZARZE RYNKU DETALICZNEGO — brzmienie obowiązujące od dnia przystąpienia ACPRO do CSIRE</w:t>
      </w:r>
    </w:p>
    <w:p w14:paraId="0A7A6DD4"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 xml:space="preserve">1. Procedura ustanawiania i zmiany POBZ przebiega zgodnie z zapisami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oraz WDB.</w:t>
      </w:r>
    </w:p>
    <w:p w14:paraId="15D41F35"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2. POBZ jest ustanawiany przez:</w:t>
      </w:r>
    </w:p>
    <w:p w14:paraId="05BDE8C8"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sprzedawcę, który posiada zawartą z ACPRO umowę GUD albo GUD-K, o której mowa w pkt A.4.3.6.,</w:t>
      </w:r>
    </w:p>
    <w:p w14:paraId="619800CB"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2) URDW przyłączonego do sieci dystrybucyjnej ACPRO, który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jest obsługiwany przez POBZ,</w:t>
      </w:r>
    </w:p>
    <w:p w14:paraId="1F63582B"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3) URDME przyłączonego do sieci dystrybucyjnej ACPRO, który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jest obsługiwany przez POBZ.</w:t>
      </w:r>
    </w:p>
    <w:p w14:paraId="413A3D17"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Ustanawianie lub zmiana POBZ odbywa się w CSIRE, poprzez dokonanie powiadomienia do CSIRE przez nowego POBZ.</w:t>
      </w:r>
    </w:p>
    <w:p w14:paraId="72468287"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W przypadku URDO POBZ jest wskazywany przez sprzedawcę, który zawarł z tym URDO umowę sprzedaży albo umowę kompleksową.</w:t>
      </w:r>
    </w:p>
    <w:p w14:paraId="160A79D2"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3. Za bilansowanie handlowe:</w:t>
      </w:r>
    </w:p>
    <w:p w14:paraId="2AF01BAC"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URDO przyłączonego do sieci dystrybucyjnej ACPRO,</w:t>
      </w:r>
    </w:p>
    <w:p w14:paraId="586259AB"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2) URDW przyłączonego do sieci dystrybucyjnej ACPRO, który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jest obsługiwany przez sprzedawcę,</w:t>
      </w:r>
    </w:p>
    <w:p w14:paraId="5016DA33"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3) URDME przyłączonego do sieci dystrybucyjnej ACPRO, który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jest obsługiwany przez sprzedawcę,</w:t>
      </w:r>
    </w:p>
    <w:p w14:paraId="17BDB1A5"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odpowiedzialny jest POBZ, który został przypisany dla ww. URD w CSIRE.</w:t>
      </w:r>
    </w:p>
    <w:p w14:paraId="6354B59F"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 xml:space="preserve">4. Proces zmiany POBZ przez sprzedawcę, URDW lub URDME jest realizowany przez OIRE w CSIRE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w:t>
      </w:r>
    </w:p>
    <w:p w14:paraId="43C874D2"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5. Po otrzymaniu przez ACPRO komunikatu z CSIRE o przypisaniu w CSIRE POBZ do PPE, ACPRO przeprowadza zmiany w konfiguracji i strukturze obiektowej i podmiotowej rynku detalicznego, z uwzględnieniem że:</w:t>
      </w:r>
    </w:p>
    <w:p w14:paraId="7C3670E1"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każdy PPE danego URDO powinien być przyporządkowany tylko do jednego MDD,</w:t>
      </w:r>
    </w:p>
    <w:p w14:paraId="4F956AB6"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2) każdy MDD powinien być przyporządkowany tylko do jednego MBO,</w:t>
      </w:r>
    </w:p>
    <w:p w14:paraId="322BB570"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3) URDW mogą być bilansowani handlowo tylko w MBW,</w:t>
      </w:r>
    </w:p>
    <w:p w14:paraId="51DC640D"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4) URDO mogą być bilansowani handlowo tylko w MBO,</w:t>
      </w:r>
    </w:p>
    <w:p w14:paraId="0EF722D0"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5) URDME mogą być bilansowani handlowo tylko w MBW.</w:t>
      </w:r>
    </w:p>
    <w:p w14:paraId="39FF421B"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6. W przypadku, gdy POBZ przypisany w CSIRE do:</w:t>
      </w:r>
    </w:p>
    <w:p w14:paraId="1097D6A9"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1) sprzedawcy,</w:t>
      </w:r>
    </w:p>
    <w:p w14:paraId="2C12C47F"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2) URDW, który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jest obsługiwany przez sprzedawcę,</w:t>
      </w:r>
    </w:p>
    <w:p w14:paraId="67091154"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3) URDME, który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jest obsługiwany przez sprzedawcę,</w:t>
      </w:r>
    </w:p>
    <w:p w14:paraId="61EAB182"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lastRenderedPageBreak/>
        <w:t>zaprzestanie, niezależnie od przyczyny, działalności na RB, wówczas odpowiedzialność za bilansowanie handlowe przechodzi ze skutkiem od dnia zaprzestania tej działalności przez dotychczasowego POBZ na nowego POBZ przypisanego w CSIRE do sprzedawcy rezerwowego.</w:t>
      </w:r>
    </w:p>
    <w:p w14:paraId="03A8BAF2"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7. W przypadku, gdy POBZ przypisany w CSIRE do:</w:t>
      </w:r>
    </w:p>
    <w:p w14:paraId="7B188CE8"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1) URDW, który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jest obsługiwany przez POBZ,</w:t>
      </w:r>
    </w:p>
    <w:p w14:paraId="77E2ACEB" w14:textId="77777777" w:rsidR="00E954A0" w:rsidRDefault="00047FD1">
      <w:pPr>
        <w:ind w:left="1701" w:hanging="567"/>
        <w:rPr>
          <w:rFonts w:asciiTheme="minorHAnsi" w:hAnsiTheme="minorHAnsi" w:cstheme="minorHAnsi"/>
          <w:sz w:val="20"/>
          <w:szCs w:val="20"/>
        </w:rPr>
      </w:pPr>
      <w:r>
        <w:rPr>
          <w:rFonts w:asciiTheme="minorHAnsi" w:hAnsiTheme="minorHAnsi" w:cstheme="minorHAnsi"/>
          <w:sz w:val="20"/>
          <w:szCs w:val="20"/>
        </w:rPr>
        <w:t xml:space="preserve">2) URDME, który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jest obsługiwany przez POBZ,</w:t>
      </w:r>
    </w:p>
    <w:p w14:paraId="4E10B153"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zaprzestanie, niezależnie od przyczyny, działalności na RB, wówczas ten URDW lub URDME, w porozumieniu z ACPRO, winien zaprzestać wprowadzania energii do sieci dystrybucyjnej ACPRO, a ACPRO ma prawo do wyłączenia tego URDW lub URDME, bez ponoszenia przez ACPRO odpowiedzialności z tego tytułu. Sposób i zasady rozliczenia energii niezbilansowania w okresie poprzedzającym zaprzestanie wprowadzania energii do sieci dystrybucyjnej określone są w umowie dystrybucji zawartej pomiędzy ACPRO a URDW lub URDME.</w:t>
      </w:r>
    </w:p>
    <w:p w14:paraId="716FA407"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 xml:space="preserve">8. POBZ, który prowadzi bilansowanie handlowe sprzedawcy, URDW lub URDME, jest zobowiązany do przekazania komunikatu do CSIRE,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o dacie zaprzestania działalności na RB.</w:t>
      </w:r>
    </w:p>
    <w:p w14:paraId="62F48971" w14:textId="77777777" w:rsidR="00E954A0" w:rsidRDefault="00047FD1">
      <w:pPr>
        <w:ind w:left="1134" w:firstLine="0"/>
        <w:rPr>
          <w:rFonts w:asciiTheme="minorHAnsi" w:hAnsiTheme="minorHAnsi" w:cstheme="minorHAnsi"/>
          <w:sz w:val="20"/>
          <w:szCs w:val="20"/>
        </w:rPr>
      </w:pPr>
      <w:r>
        <w:rPr>
          <w:rFonts w:asciiTheme="minorHAnsi" w:hAnsiTheme="minorHAnsi" w:cstheme="minorHAnsi"/>
          <w:sz w:val="20"/>
          <w:szCs w:val="20"/>
        </w:rPr>
        <w:t>Komunikat przekazuje się do CSIRE nie wcześniej niż na 30 dni kalendarzowych i nie później niż na 1 dzień kalendarzowy względem ww. daty zaprzestania działalności, określonej w tym komunikacie.</w:t>
      </w:r>
    </w:p>
    <w:p w14:paraId="14F27168" w14:textId="2E37E5B7" w:rsidR="00473957" w:rsidRPr="00EB2E7B" w:rsidRDefault="0077111A" w:rsidP="003637B4">
      <w:pPr>
        <w:pStyle w:val="ANagwek1"/>
        <w:numPr>
          <w:ilvl w:val="0"/>
          <w:numId w:val="85"/>
        </w:numPr>
        <w:rPr>
          <w:rFonts w:asciiTheme="minorHAnsi" w:hAnsiTheme="minorHAnsi" w:cstheme="minorHAnsi"/>
          <w:b/>
          <w:bCs w:val="0"/>
          <w:sz w:val="20"/>
          <w:szCs w:val="20"/>
        </w:rPr>
      </w:pPr>
      <w:bookmarkStart w:id="656" w:name="_Ref75525260"/>
      <w:bookmarkStart w:id="657" w:name="_Toc180153779"/>
      <w:bookmarkStart w:id="658" w:name="_Ref190334226"/>
      <w:bookmarkStart w:id="659" w:name="_Toc239333418"/>
      <w:r w:rsidRPr="00EB2E7B">
        <w:rPr>
          <w:rFonts w:asciiTheme="minorHAnsi" w:hAnsiTheme="minorHAnsi" w:cstheme="minorHAnsi"/>
          <w:b/>
          <w:bCs w:val="0"/>
          <w:sz w:val="20"/>
          <w:szCs w:val="20"/>
        </w:rPr>
        <w:t>PROCEDURA POWIADAMIANIA O ZAWARTYCH UMOWACH SPRZEDAŻY ORAZ UMOWACH KOMPLEKSOWYCH</w:t>
      </w:r>
      <w:bookmarkEnd w:id="656"/>
      <w:bookmarkEnd w:id="657"/>
      <w:bookmarkEnd w:id="658"/>
      <w:bookmarkEnd w:id="659"/>
    </w:p>
    <w:p w14:paraId="33F54E3E" w14:textId="57361A6F" w:rsidR="00473957" w:rsidRPr="00EB2E7B" w:rsidRDefault="0077111A" w:rsidP="004D1C36">
      <w:pPr>
        <w:pStyle w:val="ANagwek2"/>
        <w:rPr>
          <w:rFonts w:asciiTheme="minorHAnsi" w:hAnsiTheme="minorHAnsi" w:cstheme="minorHAnsi"/>
          <w:sz w:val="20"/>
          <w:szCs w:val="20"/>
        </w:rPr>
      </w:pPr>
      <w:bookmarkStart w:id="660" w:name="_Toc180153780"/>
      <w:bookmarkStart w:id="661" w:name="_Toc239333419"/>
      <w:r w:rsidRPr="00EB2E7B">
        <w:rPr>
          <w:rFonts w:asciiTheme="minorHAnsi" w:hAnsiTheme="minorHAnsi" w:cstheme="minorHAnsi"/>
          <w:sz w:val="20"/>
          <w:szCs w:val="20"/>
        </w:rPr>
        <w:t>OGÓLNE ZASADY POWIADAMIANIA</w:t>
      </w:r>
      <w:bookmarkEnd w:id="660"/>
      <w:bookmarkEnd w:id="661"/>
    </w:p>
    <w:p w14:paraId="20895E39" w14:textId="0053B776" w:rsidR="00E8256A" w:rsidRPr="00EB2E7B" w:rsidRDefault="0077111A" w:rsidP="004854C6">
      <w:pPr>
        <w:pStyle w:val="ANagwek3"/>
        <w:rPr>
          <w:rFonts w:asciiTheme="minorHAnsi" w:hAnsiTheme="minorHAnsi" w:cstheme="minorHAnsi"/>
          <w:sz w:val="20"/>
          <w:szCs w:val="20"/>
        </w:rPr>
      </w:pPr>
      <w:bookmarkStart w:id="662" w:name="_Ref190291765"/>
      <w:bookmarkStart w:id="663" w:name="_Ref190335137"/>
      <w:bookmarkStart w:id="664" w:name="_Ref190626228"/>
      <w:bookmarkStart w:id="665" w:name="_Ref75765366"/>
      <w:r w:rsidRPr="00EB2E7B">
        <w:rPr>
          <w:rFonts w:asciiTheme="minorHAnsi" w:hAnsiTheme="minorHAnsi" w:cstheme="minorHAnsi"/>
          <w:sz w:val="20"/>
          <w:szCs w:val="20"/>
        </w:rPr>
        <w:t xml:space="preserve">Powiadamianie o zawartych umowach sprzedaży </w:t>
      </w:r>
      <w:r w:rsidR="00D876CC" w:rsidRPr="00EB2E7B">
        <w:rPr>
          <w:rFonts w:asciiTheme="minorHAnsi" w:hAnsiTheme="minorHAnsi" w:cstheme="minorHAnsi"/>
          <w:sz w:val="20"/>
          <w:szCs w:val="20"/>
        </w:rPr>
        <w:t>albo</w:t>
      </w:r>
      <w:r w:rsidRPr="00EB2E7B">
        <w:rPr>
          <w:rFonts w:asciiTheme="minorHAnsi" w:hAnsiTheme="minorHAnsi" w:cstheme="minorHAnsi"/>
          <w:sz w:val="20"/>
          <w:szCs w:val="20"/>
        </w:rPr>
        <w:t xml:space="preserve"> umowach kompleksowych dokonywane jest zgodnie z pkt.</w:t>
      </w:r>
      <w:r w:rsidR="0053319B" w:rsidRPr="00EB2E7B">
        <w:rPr>
          <w:rFonts w:asciiTheme="minorHAnsi" w:hAnsiTheme="minorHAnsi" w:cstheme="minorHAnsi"/>
          <w:sz w:val="20"/>
          <w:szCs w:val="20"/>
        </w:rPr>
        <w:t xml:space="preserve"> </w:t>
      </w:r>
      <w:r w:rsidR="00FF5B2A" w:rsidRPr="00EB2E7B">
        <w:rPr>
          <w:rFonts w:asciiTheme="minorHAnsi" w:hAnsiTheme="minorHAnsi" w:cstheme="minorHAnsi"/>
          <w:sz w:val="20"/>
          <w:szCs w:val="20"/>
        </w:rPr>
        <w:fldChar w:fldCharType="begin"/>
      </w:r>
      <w:r w:rsidR="00FF5B2A" w:rsidRPr="00EB2E7B">
        <w:rPr>
          <w:rFonts w:asciiTheme="minorHAnsi" w:hAnsiTheme="minorHAnsi" w:cstheme="minorHAnsi"/>
          <w:sz w:val="20"/>
          <w:szCs w:val="20"/>
        </w:rPr>
        <w:instrText xml:space="preserve"> REF _Ref189086193 \r \h </w:instrText>
      </w:r>
      <w:r w:rsidR="0053319B" w:rsidRPr="00EB2E7B">
        <w:rPr>
          <w:rFonts w:asciiTheme="minorHAnsi" w:hAnsiTheme="minorHAnsi" w:cstheme="minorHAnsi"/>
          <w:sz w:val="20"/>
          <w:szCs w:val="20"/>
        </w:rPr>
        <w:instrText xml:space="preserve"> \* MERGEFORMAT </w:instrText>
      </w:r>
      <w:r w:rsidR="00FF5B2A" w:rsidRPr="00EB2E7B">
        <w:rPr>
          <w:rFonts w:asciiTheme="minorHAnsi" w:hAnsiTheme="minorHAnsi" w:cstheme="minorHAnsi"/>
          <w:sz w:val="20"/>
          <w:szCs w:val="20"/>
        </w:rPr>
      </w:r>
      <w:r w:rsidR="00FF5B2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w:t>
      </w:r>
      <w:r w:rsidR="00FF5B2A" w:rsidRPr="00EB2E7B">
        <w:rPr>
          <w:rFonts w:asciiTheme="minorHAnsi" w:hAnsiTheme="minorHAnsi" w:cstheme="minorHAnsi"/>
          <w:sz w:val="20"/>
          <w:szCs w:val="20"/>
        </w:rPr>
        <w:fldChar w:fldCharType="end"/>
      </w:r>
      <w:r w:rsidR="00241959" w:rsidRPr="00EB2E7B">
        <w:rPr>
          <w:rFonts w:asciiTheme="minorHAnsi" w:hAnsiTheme="minorHAnsi" w:cstheme="minorHAnsi"/>
          <w:sz w:val="20"/>
          <w:szCs w:val="20"/>
        </w:rPr>
        <w:t xml:space="preserve"> i </w:t>
      </w:r>
      <w:r w:rsidR="00241959" w:rsidRPr="00EB2E7B">
        <w:rPr>
          <w:rFonts w:asciiTheme="minorHAnsi" w:hAnsiTheme="minorHAnsi" w:cstheme="minorHAnsi"/>
          <w:sz w:val="20"/>
          <w:szCs w:val="20"/>
        </w:rPr>
        <w:fldChar w:fldCharType="begin"/>
      </w:r>
      <w:r w:rsidR="00241959" w:rsidRPr="00EB2E7B">
        <w:rPr>
          <w:rFonts w:asciiTheme="minorHAnsi" w:hAnsiTheme="minorHAnsi" w:cstheme="minorHAnsi"/>
          <w:sz w:val="20"/>
          <w:szCs w:val="20"/>
        </w:rPr>
        <w:instrText xml:space="preserve"> REF _Ref189087240 \w \h  \* MERGEFORMAT </w:instrText>
      </w:r>
      <w:r w:rsidR="00241959" w:rsidRPr="00EB2E7B">
        <w:rPr>
          <w:rFonts w:asciiTheme="minorHAnsi" w:hAnsiTheme="minorHAnsi" w:cstheme="minorHAnsi"/>
          <w:sz w:val="20"/>
          <w:szCs w:val="20"/>
        </w:rPr>
      </w:r>
      <w:r w:rsidR="0024195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w:t>
      </w:r>
      <w:r w:rsidR="00241959" w:rsidRPr="00EB2E7B">
        <w:rPr>
          <w:rFonts w:asciiTheme="minorHAnsi" w:hAnsiTheme="minorHAnsi" w:cstheme="minorHAnsi"/>
          <w:sz w:val="20"/>
          <w:szCs w:val="20"/>
        </w:rPr>
        <w:fldChar w:fldCharType="end"/>
      </w:r>
      <w:r w:rsidR="00E8256A" w:rsidRPr="00EB2E7B">
        <w:rPr>
          <w:rFonts w:asciiTheme="minorHAnsi" w:hAnsiTheme="minorHAnsi" w:cstheme="minorHAnsi"/>
          <w:sz w:val="20"/>
          <w:szCs w:val="20"/>
        </w:rPr>
        <w:t>.</w:t>
      </w:r>
      <w:bookmarkEnd w:id="662"/>
      <w:bookmarkEnd w:id="663"/>
      <w:bookmarkEnd w:id="664"/>
    </w:p>
    <w:bookmarkEnd w:id="665"/>
    <w:p w14:paraId="4E590227" w14:textId="4F912CEE" w:rsidR="008F645B" w:rsidRPr="00EB2E7B" w:rsidRDefault="00232DA9" w:rsidP="00A629B1">
      <w:pPr>
        <w:ind w:left="1134" w:firstLine="0"/>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przyjmuje od sprzedawców powyższe powiadomienia o zawartych umowach sprzedaży </w:t>
      </w:r>
      <w:r w:rsidR="00D876CC" w:rsidRPr="00EB2E7B">
        <w:rPr>
          <w:rFonts w:asciiTheme="minorHAnsi" w:hAnsiTheme="minorHAnsi" w:cstheme="minorHAnsi"/>
          <w:sz w:val="20"/>
          <w:szCs w:val="20"/>
        </w:rPr>
        <w:t>albo</w:t>
      </w:r>
      <w:r w:rsidR="0077111A" w:rsidRPr="00EB2E7B">
        <w:rPr>
          <w:rFonts w:asciiTheme="minorHAnsi" w:hAnsiTheme="minorHAnsi" w:cstheme="minorHAnsi"/>
          <w:sz w:val="20"/>
          <w:szCs w:val="20"/>
        </w:rPr>
        <w:t xml:space="preserve"> umowach kompleksowych poprzez dedykowany system informatyczny </w:t>
      </w:r>
      <w:r w:rsidRPr="00EB2E7B">
        <w:rPr>
          <w:rFonts w:asciiTheme="minorHAnsi" w:hAnsiTheme="minorHAnsi" w:cstheme="minorHAnsi"/>
          <w:sz w:val="20"/>
          <w:szCs w:val="20"/>
        </w:rPr>
        <w:t>ACPRO</w:t>
      </w:r>
      <w:r w:rsidR="00D876CC" w:rsidRPr="00EB2E7B">
        <w:rPr>
          <w:rFonts w:asciiTheme="minorHAnsi" w:hAnsiTheme="minorHAnsi" w:cstheme="minorHAnsi"/>
          <w:sz w:val="20"/>
          <w:szCs w:val="20"/>
        </w:rPr>
        <w:t xml:space="preserve"> (o ile ACPRO taki system wdrożył)</w:t>
      </w:r>
      <w:r w:rsidR="0077111A" w:rsidRPr="00EB2E7B">
        <w:rPr>
          <w:rFonts w:asciiTheme="minorHAnsi" w:hAnsiTheme="minorHAnsi" w:cstheme="minorHAnsi"/>
          <w:sz w:val="20"/>
          <w:szCs w:val="20"/>
        </w:rPr>
        <w:t xml:space="preserve"> umożliwiający wymianę informacji, danych i</w:t>
      </w:r>
      <w:r w:rsidR="00F5333B" w:rsidRPr="00EB2E7B">
        <w:rPr>
          <w:rFonts w:asciiTheme="minorHAnsi" w:hAnsiTheme="minorHAnsi" w:cstheme="minorHAnsi"/>
          <w:sz w:val="20"/>
          <w:szCs w:val="20"/>
        </w:rPr>
        <w:t> </w:t>
      </w:r>
      <w:r w:rsidR="0077111A" w:rsidRPr="00EB2E7B">
        <w:rPr>
          <w:rFonts w:asciiTheme="minorHAnsi" w:hAnsiTheme="minorHAnsi" w:cstheme="minorHAnsi"/>
          <w:sz w:val="20"/>
          <w:szCs w:val="20"/>
        </w:rPr>
        <w:t>dokumentów</w:t>
      </w:r>
      <w:r w:rsidR="0098446D" w:rsidRPr="00EB2E7B">
        <w:rPr>
          <w:rFonts w:asciiTheme="minorHAnsi" w:hAnsiTheme="minorHAnsi" w:cstheme="minorHAnsi"/>
          <w:sz w:val="20"/>
          <w:szCs w:val="20"/>
        </w:rPr>
        <w:t xml:space="preserve"> lub na zasadach określonych w</w:t>
      </w:r>
      <w:r w:rsidR="00D876CC" w:rsidRPr="00EB2E7B">
        <w:rPr>
          <w:rFonts w:asciiTheme="minorHAnsi" w:hAnsiTheme="minorHAnsi" w:cstheme="minorHAnsi"/>
          <w:sz w:val="20"/>
          <w:szCs w:val="20"/>
        </w:rPr>
        <w:t> </w:t>
      </w:r>
      <w:r w:rsidR="0098446D" w:rsidRPr="00EB2E7B">
        <w:rPr>
          <w:rFonts w:asciiTheme="minorHAnsi" w:hAnsiTheme="minorHAnsi" w:cstheme="minorHAnsi"/>
          <w:sz w:val="20"/>
          <w:szCs w:val="20"/>
        </w:rPr>
        <w:t>GUD</w:t>
      </w:r>
      <w:r w:rsidR="008F645B" w:rsidRPr="00EB2E7B">
        <w:rPr>
          <w:rFonts w:asciiTheme="minorHAnsi" w:hAnsiTheme="minorHAnsi" w:cstheme="minorHAnsi"/>
          <w:sz w:val="20"/>
          <w:szCs w:val="20"/>
        </w:rPr>
        <w:t>.</w:t>
      </w:r>
    </w:p>
    <w:p w14:paraId="754B1E92" w14:textId="38E9FAEA" w:rsidR="008F645B" w:rsidRPr="00EB2E7B" w:rsidRDefault="0077111A" w:rsidP="004854C6">
      <w:pPr>
        <w:pStyle w:val="ANagwek3"/>
        <w:rPr>
          <w:rFonts w:asciiTheme="minorHAnsi" w:hAnsiTheme="minorHAnsi" w:cstheme="minorHAnsi"/>
          <w:sz w:val="20"/>
          <w:szCs w:val="20"/>
        </w:rPr>
      </w:pPr>
      <w:bookmarkStart w:id="666" w:name="_Ref75766933"/>
      <w:r w:rsidRPr="00EB2E7B">
        <w:rPr>
          <w:rFonts w:asciiTheme="minorHAnsi" w:hAnsiTheme="minorHAnsi" w:cstheme="minorHAnsi"/>
          <w:sz w:val="20"/>
          <w:szCs w:val="20"/>
        </w:rPr>
        <w:t xml:space="preserve">Powiadomienia dokonuje się na formularzu określonym przez </w:t>
      </w:r>
      <w:r w:rsidR="0098446D" w:rsidRPr="00EB2E7B">
        <w:rPr>
          <w:rFonts w:asciiTheme="minorHAnsi" w:hAnsiTheme="minorHAnsi" w:cstheme="minorHAnsi"/>
          <w:sz w:val="20"/>
          <w:szCs w:val="20"/>
        </w:rPr>
        <w:t>ACPRO</w:t>
      </w:r>
      <w:r w:rsidR="008F645B" w:rsidRPr="00EB2E7B">
        <w:rPr>
          <w:rFonts w:asciiTheme="minorHAnsi" w:hAnsiTheme="minorHAnsi" w:cstheme="minorHAnsi"/>
          <w:sz w:val="20"/>
          <w:szCs w:val="20"/>
        </w:rPr>
        <w:t>.</w:t>
      </w:r>
    </w:p>
    <w:p w14:paraId="5BE3D7FD" w14:textId="02DAF2F5" w:rsidR="008F645B" w:rsidRPr="00EB2E7B" w:rsidRDefault="0077111A" w:rsidP="004854C6">
      <w:pPr>
        <w:pStyle w:val="ANagwek3"/>
        <w:rPr>
          <w:rFonts w:asciiTheme="minorHAnsi" w:hAnsiTheme="minorHAnsi" w:cstheme="minorHAnsi"/>
          <w:sz w:val="20"/>
          <w:szCs w:val="20"/>
        </w:rPr>
      </w:pPr>
      <w:bookmarkStart w:id="667" w:name="_Ref190291987"/>
      <w:bookmarkStart w:id="668" w:name="_Ref75766974"/>
      <w:bookmarkEnd w:id="666"/>
      <w:r w:rsidRPr="00EB2E7B">
        <w:rPr>
          <w:rFonts w:asciiTheme="minorHAnsi" w:hAnsiTheme="minorHAnsi" w:cstheme="minorHAnsi"/>
          <w:sz w:val="20"/>
          <w:szCs w:val="20"/>
        </w:rPr>
        <w:t xml:space="preserve">Zawartość formularza powiadomienia o którym mowa w pkt. </w:t>
      </w:r>
      <w:r w:rsidR="00334603" w:rsidRPr="00EB2E7B">
        <w:rPr>
          <w:rFonts w:asciiTheme="minorHAnsi" w:hAnsiTheme="minorHAnsi" w:cstheme="minorHAnsi"/>
          <w:sz w:val="20"/>
          <w:szCs w:val="20"/>
        </w:rPr>
        <w:fldChar w:fldCharType="begin"/>
      </w:r>
      <w:r w:rsidR="00334603" w:rsidRPr="00EB2E7B">
        <w:rPr>
          <w:rFonts w:asciiTheme="minorHAnsi" w:hAnsiTheme="minorHAnsi" w:cstheme="minorHAnsi"/>
          <w:sz w:val="20"/>
          <w:szCs w:val="20"/>
        </w:rPr>
        <w:instrText xml:space="preserve"> REF _Ref75766933 \r \h </w:instrText>
      </w:r>
      <w:r w:rsidR="00462D27" w:rsidRPr="00EB2E7B">
        <w:rPr>
          <w:rFonts w:asciiTheme="minorHAnsi" w:hAnsiTheme="minorHAnsi" w:cstheme="minorHAnsi"/>
          <w:sz w:val="20"/>
          <w:szCs w:val="20"/>
        </w:rPr>
        <w:instrText xml:space="preserve"> \* MERGEFORMAT </w:instrText>
      </w:r>
      <w:r w:rsidR="00334603" w:rsidRPr="00EB2E7B">
        <w:rPr>
          <w:rFonts w:asciiTheme="minorHAnsi" w:hAnsiTheme="minorHAnsi" w:cstheme="minorHAnsi"/>
          <w:sz w:val="20"/>
          <w:szCs w:val="20"/>
        </w:rPr>
      </w:r>
      <w:r w:rsidR="0033460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F.1.2</w:t>
      </w:r>
      <w:r w:rsidR="0033460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określa Załącznik </w:t>
      </w:r>
      <w:r w:rsidR="0000249D" w:rsidRPr="00EB2E7B">
        <w:rPr>
          <w:rFonts w:asciiTheme="minorHAnsi" w:hAnsiTheme="minorHAnsi" w:cstheme="minorHAnsi"/>
          <w:sz w:val="20"/>
          <w:szCs w:val="20"/>
        </w:rPr>
        <w:t xml:space="preserve">nr 3 </w:t>
      </w:r>
      <w:r w:rsidRPr="00EB2E7B">
        <w:rPr>
          <w:rFonts w:asciiTheme="minorHAnsi" w:hAnsiTheme="minorHAnsi" w:cstheme="minorHAnsi"/>
          <w:sz w:val="20"/>
          <w:szCs w:val="20"/>
        </w:rPr>
        <w:t xml:space="preserve">do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r w:rsidR="0098446D" w:rsidRPr="00EB2E7B">
        <w:rPr>
          <w:rFonts w:asciiTheme="minorHAnsi" w:hAnsiTheme="minorHAnsi" w:cstheme="minorHAnsi"/>
          <w:sz w:val="20"/>
          <w:szCs w:val="20"/>
        </w:rPr>
        <w:t xml:space="preserve"> Formularz może być modyfikowany w drodze postanowień umowy GUD</w:t>
      </w:r>
      <w:r w:rsidR="008F645B" w:rsidRPr="00EB2E7B">
        <w:rPr>
          <w:rFonts w:asciiTheme="minorHAnsi" w:hAnsiTheme="minorHAnsi" w:cstheme="minorHAnsi"/>
          <w:sz w:val="20"/>
          <w:szCs w:val="20"/>
        </w:rPr>
        <w:t>.</w:t>
      </w:r>
      <w:bookmarkEnd w:id="667"/>
    </w:p>
    <w:bookmarkEnd w:id="668"/>
    <w:p w14:paraId="4B5256CF" w14:textId="445A61DE" w:rsidR="00B3168B" w:rsidRPr="00EB2E7B" w:rsidRDefault="0030092E" w:rsidP="004854C6">
      <w:pPr>
        <w:pStyle w:val="ANagwek3"/>
        <w:rPr>
          <w:rFonts w:asciiTheme="minorHAnsi" w:hAnsiTheme="minorHAnsi" w:cstheme="minorHAnsi"/>
          <w:sz w:val="20"/>
          <w:szCs w:val="20"/>
        </w:rPr>
      </w:pPr>
      <w:r w:rsidRPr="00EB2E7B">
        <w:rPr>
          <w:rFonts w:asciiTheme="minorHAnsi" w:hAnsiTheme="minorHAnsi" w:cstheme="minorHAnsi"/>
          <w:sz w:val="20"/>
          <w:szCs w:val="20"/>
        </w:rPr>
        <w:t>P</w:t>
      </w:r>
      <w:r w:rsidR="0077111A" w:rsidRPr="00EB2E7B">
        <w:rPr>
          <w:rFonts w:asciiTheme="minorHAnsi" w:hAnsiTheme="minorHAnsi" w:cstheme="minorHAnsi"/>
          <w:sz w:val="20"/>
          <w:szCs w:val="20"/>
        </w:rPr>
        <w:t xml:space="preserve">roces zmiany sprzedawcy, o którym mowa w rozdziale </w:t>
      </w:r>
      <w:r w:rsidR="00334603" w:rsidRPr="00EB2E7B">
        <w:rPr>
          <w:rFonts w:asciiTheme="minorHAnsi" w:hAnsiTheme="minorHAnsi" w:cstheme="minorHAnsi"/>
          <w:sz w:val="20"/>
          <w:szCs w:val="20"/>
        </w:rPr>
        <w:fldChar w:fldCharType="begin"/>
      </w:r>
      <w:r w:rsidR="00334603" w:rsidRPr="00EB2E7B">
        <w:rPr>
          <w:rFonts w:asciiTheme="minorHAnsi" w:hAnsiTheme="minorHAnsi" w:cstheme="minorHAnsi"/>
          <w:sz w:val="20"/>
          <w:szCs w:val="20"/>
        </w:rPr>
        <w:instrText xml:space="preserve"> REF _Ref75766947 \r \h </w:instrText>
      </w:r>
      <w:r w:rsidR="008B1C9A" w:rsidRPr="00EB2E7B">
        <w:rPr>
          <w:rFonts w:asciiTheme="minorHAnsi" w:hAnsiTheme="minorHAnsi" w:cstheme="minorHAnsi"/>
          <w:sz w:val="20"/>
          <w:szCs w:val="20"/>
        </w:rPr>
        <w:instrText xml:space="preserve"> \* MERGEFORMAT </w:instrText>
      </w:r>
      <w:r w:rsidR="00334603" w:rsidRPr="00EB2E7B">
        <w:rPr>
          <w:rFonts w:asciiTheme="minorHAnsi" w:hAnsiTheme="minorHAnsi" w:cstheme="minorHAnsi"/>
          <w:sz w:val="20"/>
          <w:szCs w:val="20"/>
        </w:rPr>
      </w:r>
      <w:r w:rsidR="0033460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w:t>
      </w:r>
      <w:r w:rsidR="00334603"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rozpoczyna się od dnia otrzymania przez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od sprzedawcy powiadomienia, o którym mowa w</w:t>
      </w:r>
      <w:r w:rsidR="00F5333B" w:rsidRPr="00EB2E7B">
        <w:rPr>
          <w:rFonts w:asciiTheme="minorHAnsi" w:hAnsiTheme="minorHAnsi" w:cstheme="minorHAnsi"/>
          <w:sz w:val="20"/>
          <w:szCs w:val="20"/>
        </w:rPr>
        <w:t> </w:t>
      </w:r>
      <w:r w:rsidR="0077111A" w:rsidRPr="00EB2E7B">
        <w:rPr>
          <w:rFonts w:asciiTheme="minorHAnsi" w:hAnsiTheme="minorHAnsi" w:cstheme="minorHAnsi"/>
          <w:sz w:val="20"/>
          <w:szCs w:val="20"/>
        </w:rPr>
        <w:t xml:space="preserve">pkt. </w:t>
      </w:r>
      <w:r w:rsidR="00334603" w:rsidRPr="00EB2E7B">
        <w:rPr>
          <w:rFonts w:asciiTheme="minorHAnsi" w:hAnsiTheme="minorHAnsi" w:cstheme="minorHAnsi"/>
          <w:sz w:val="20"/>
          <w:szCs w:val="20"/>
        </w:rPr>
        <w:fldChar w:fldCharType="begin"/>
      </w:r>
      <w:r w:rsidR="00334603" w:rsidRPr="00EB2E7B">
        <w:rPr>
          <w:rFonts w:asciiTheme="minorHAnsi" w:hAnsiTheme="minorHAnsi" w:cstheme="minorHAnsi"/>
          <w:sz w:val="20"/>
          <w:szCs w:val="20"/>
        </w:rPr>
        <w:instrText xml:space="preserve"> REF _Ref75765366 \r \h </w:instrText>
      </w:r>
      <w:r w:rsidR="00AC6A06" w:rsidRPr="00EB2E7B">
        <w:rPr>
          <w:rFonts w:asciiTheme="minorHAnsi" w:hAnsiTheme="minorHAnsi" w:cstheme="minorHAnsi"/>
          <w:sz w:val="20"/>
          <w:szCs w:val="20"/>
        </w:rPr>
        <w:instrText xml:space="preserve"> \* MERGEFORMAT </w:instrText>
      </w:r>
      <w:r w:rsidR="00334603" w:rsidRPr="00EB2E7B">
        <w:rPr>
          <w:rFonts w:asciiTheme="minorHAnsi" w:hAnsiTheme="minorHAnsi" w:cstheme="minorHAnsi"/>
          <w:sz w:val="20"/>
          <w:szCs w:val="20"/>
        </w:rPr>
      </w:r>
      <w:r w:rsidR="0033460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F.1.1</w:t>
      </w:r>
      <w:r w:rsidR="00334603" w:rsidRPr="00EB2E7B">
        <w:rPr>
          <w:rFonts w:asciiTheme="minorHAnsi" w:hAnsiTheme="minorHAnsi" w:cstheme="minorHAnsi"/>
          <w:sz w:val="20"/>
          <w:szCs w:val="20"/>
        </w:rPr>
        <w:fldChar w:fldCharType="end"/>
      </w:r>
      <w:r w:rsidR="00B3168B" w:rsidRPr="00EB2E7B">
        <w:rPr>
          <w:rFonts w:asciiTheme="minorHAnsi" w:hAnsiTheme="minorHAnsi" w:cstheme="minorHAnsi"/>
          <w:sz w:val="20"/>
          <w:szCs w:val="20"/>
        </w:rPr>
        <w:t>.</w:t>
      </w:r>
    </w:p>
    <w:p w14:paraId="5B25C4FD" w14:textId="146978CC" w:rsidR="00B3168B"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Strony umowy sprzedaży </w:t>
      </w:r>
      <w:r w:rsidR="00D876CC" w:rsidRPr="00EB2E7B">
        <w:rPr>
          <w:rFonts w:asciiTheme="minorHAnsi" w:hAnsiTheme="minorHAnsi" w:cstheme="minorHAnsi"/>
          <w:sz w:val="20"/>
          <w:szCs w:val="20"/>
        </w:rPr>
        <w:t>albo</w:t>
      </w:r>
      <w:r w:rsidRPr="00EB2E7B">
        <w:rPr>
          <w:rFonts w:asciiTheme="minorHAnsi" w:hAnsiTheme="minorHAnsi" w:cstheme="minorHAnsi"/>
          <w:sz w:val="20"/>
          <w:szCs w:val="20"/>
        </w:rPr>
        <w:t xml:space="preserve"> umowy kompleksowej są zobowiązane do informowania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o zmianach dokonanych w ww. umowach, w zakresie danych określonych w załączniku o którym mowa w pkt. </w:t>
      </w:r>
      <w:r w:rsidR="00334603" w:rsidRPr="00EB2E7B">
        <w:rPr>
          <w:rFonts w:asciiTheme="minorHAnsi" w:hAnsiTheme="minorHAnsi" w:cstheme="minorHAnsi"/>
          <w:sz w:val="20"/>
          <w:szCs w:val="20"/>
        </w:rPr>
        <w:fldChar w:fldCharType="begin"/>
      </w:r>
      <w:r w:rsidR="00334603" w:rsidRPr="00EB2E7B">
        <w:rPr>
          <w:rFonts w:asciiTheme="minorHAnsi" w:hAnsiTheme="minorHAnsi" w:cstheme="minorHAnsi"/>
          <w:sz w:val="20"/>
          <w:szCs w:val="20"/>
        </w:rPr>
        <w:instrText xml:space="preserve"> REF _Ref75766974 \r \h </w:instrText>
      </w:r>
      <w:r w:rsidR="00AC6A06" w:rsidRPr="00EB2E7B">
        <w:rPr>
          <w:rFonts w:asciiTheme="minorHAnsi" w:hAnsiTheme="minorHAnsi" w:cstheme="minorHAnsi"/>
          <w:sz w:val="20"/>
          <w:szCs w:val="20"/>
        </w:rPr>
        <w:instrText xml:space="preserve"> \* MERGEFORMAT </w:instrText>
      </w:r>
      <w:r w:rsidR="00334603" w:rsidRPr="00EB2E7B">
        <w:rPr>
          <w:rFonts w:asciiTheme="minorHAnsi" w:hAnsiTheme="minorHAnsi" w:cstheme="minorHAnsi"/>
          <w:sz w:val="20"/>
          <w:szCs w:val="20"/>
        </w:rPr>
      </w:r>
      <w:r w:rsidR="0033460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F.1.3</w:t>
      </w:r>
      <w:r w:rsidR="0033460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Powiadomienia należy dokonać poprzez dedykowany system informatyczny </w:t>
      </w:r>
      <w:r w:rsidR="0098446D" w:rsidRPr="00EB2E7B">
        <w:rPr>
          <w:rFonts w:asciiTheme="minorHAnsi" w:hAnsiTheme="minorHAnsi" w:cstheme="minorHAnsi"/>
          <w:sz w:val="20"/>
          <w:szCs w:val="20"/>
        </w:rPr>
        <w:t>lub w innej formie wymiany informacji określonej w GUD</w:t>
      </w:r>
      <w:r w:rsidRPr="00EB2E7B">
        <w:rPr>
          <w:rFonts w:asciiTheme="minorHAnsi" w:hAnsiTheme="minorHAnsi" w:cstheme="minorHAnsi"/>
          <w:sz w:val="20"/>
          <w:szCs w:val="20"/>
        </w:rPr>
        <w:t>, z wyprzedzeniem co najmniej 7-u dni kalendarzowych</w:t>
      </w:r>
      <w:r w:rsidR="00B3168B" w:rsidRPr="00EB2E7B">
        <w:rPr>
          <w:rFonts w:asciiTheme="minorHAnsi" w:hAnsiTheme="minorHAnsi" w:cstheme="minorHAnsi"/>
          <w:sz w:val="20"/>
          <w:szCs w:val="20"/>
        </w:rPr>
        <w:t>.</w:t>
      </w:r>
    </w:p>
    <w:p w14:paraId="027A600D" w14:textId="73B84CBA" w:rsidR="00B3168B" w:rsidRPr="00EB2E7B" w:rsidRDefault="00D876CC"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Dla umów sprzedaży albo umów kompleksowych dotyczących nowego PPE lub nowego URD w danym PPE, sprzedawca zgłasza je do ACPRO za pośrednictwem powiadomienia, o którym mowa w pkt </w:t>
      </w:r>
      <w:r w:rsidR="00AC6A06" w:rsidRPr="00EB2E7B">
        <w:rPr>
          <w:rFonts w:asciiTheme="minorHAnsi" w:hAnsiTheme="minorHAnsi" w:cstheme="minorHAnsi"/>
          <w:sz w:val="20"/>
          <w:szCs w:val="20"/>
        </w:rPr>
        <w:fldChar w:fldCharType="begin"/>
      </w:r>
      <w:r w:rsidR="00AC6A06" w:rsidRPr="00EB2E7B">
        <w:rPr>
          <w:rFonts w:asciiTheme="minorHAnsi" w:hAnsiTheme="minorHAnsi" w:cstheme="minorHAnsi"/>
          <w:sz w:val="20"/>
          <w:szCs w:val="20"/>
        </w:rPr>
        <w:instrText xml:space="preserve"> REF _Ref75765366 \r \h  \* MERGEFORMAT </w:instrText>
      </w:r>
      <w:r w:rsidR="00AC6A06" w:rsidRPr="00EB2E7B">
        <w:rPr>
          <w:rFonts w:asciiTheme="minorHAnsi" w:hAnsiTheme="minorHAnsi" w:cstheme="minorHAnsi"/>
          <w:sz w:val="20"/>
          <w:szCs w:val="20"/>
        </w:rPr>
      </w:r>
      <w:r w:rsidR="00AC6A0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F.1.1</w:t>
      </w:r>
      <w:r w:rsidR="00AC6A06" w:rsidRPr="00EB2E7B">
        <w:rPr>
          <w:rFonts w:asciiTheme="minorHAnsi" w:hAnsiTheme="minorHAnsi" w:cstheme="minorHAnsi"/>
          <w:sz w:val="20"/>
          <w:szCs w:val="20"/>
        </w:rPr>
        <w:fldChar w:fldCharType="end"/>
      </w:r>
      <w:r w:rsidR="00AC6A06"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Weryfikacja powiadomienia następuje w okresie 5 dni roboczych od dnia otrzymania powiadomienia przez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z uwzględnieniem możliwości korekty błędów i uzupełnienia braków </w:t>
      </w:r>
      <w:r w:rsidR="0077111A" w:rsidRPr="00EB2E7B">
        <w:rPr>
          <w:rFonts w:asciiTheme="minorHAnsi" w:hAnsiTheme="minorHAnsi" w:cstheme="minorHAnsi"/>
          <w:sz w:val="20"/>
          <w:szCs w:val="20"/>
        </w:rPr>
        <w:lastRenderedPageBreak/>
        <w:t xml:space="preserve">formalnych w terminach, o których mowa w pkt. </w:t>
      </w:r>
      <w:r w:rsidR="00334603" w:rsidRPr="00EB2E7B">
        <w:rPr>
          <w:rFonts w:asciiTheme="minorHAnsi" w:hAnsiTheme="minorHAnsi" w:cstheme="minorHAnsi"/>
          <w:sz w:val="20"/>
          <w:szCs w:val="20"/>
        </w:rPr>
        <w:fldChar w:fldCharType="begin"/>
      </w:r>
      <w:r w:rsidR="00334603" w:rsidRPr="00EB2E7B">
        <w:rPr>
          <w:rFonts w:asciiTheme="minorHAnsi" w:hAnsiTheme="minorHAnsi" w:cstheme="minorHAnsi"/>
          <w:sz w:val="20"/>
          <w:szCs w:val="20"/>
        </w:rPr>
        <w:instrText xml:space="preserve"> REF _Ref75526792 \r \h </w:instrText>
      </w:r>
      <w:r w:rsidR="00A467E7" w:rsidRPr="00EB2E7B">
        <w:rPr>
          <w:rFonts w:asciiTheme="minorHAnsi" w:hAnsiTheme="minorHAnsi" w:cstheme="minorHAnsi"/>
          <w:sz w:val="20"/>
          <w:szCs w:val="20"/>
        </w:rPr>
        <w:instrText xml:space="preserve"> \* MERGEFORMAT </w:instrText>
      </w:r>
      <w:r w:rsidR="00334603" w:rsidRPr="00EB2E7B">
        <w:rPr>
          <w:rFonts w:asciiTheme="minorHAnsi" w:hAnsiTheme="minorHAnsi" w:cstheme="minorHAnsi"/>
          <w:sz w:val="20"/>
          <w:szCs w:val="20"/>
        </w:rPr>
      </w:r>
      <w:r w:rsidR="0033460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D.3.7</w:t>
      </w:r>
      <w:r w:rsidR="00334603"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i </w:t>
      </w:r>
      <w:r w:rsidR="00334603" w:rsidRPr="00EB2E7B">
        <w:rPr>
          <w:rFonts w:asciiTheme="minorHAnsi" w:hAnsiTheme="minorHAnsi" w:cstheme="minorHAnsi"/>
          <w:sz w:val="20"/>
          <w:szCs w:val="20"/>
        </w:rPr>
        <w:fldChar w:fldCharType="begin"/>
      </w:r>
      <w:r w:rsidR="00334603" w:rsidRPr="00EB2E7B">
        <w:rPr>
          <w:rFonts w:asciiTheme="minorHAnsi" w:hAnsiTheme="minorHAnsi" w:cstheme="minorHAnsi"/>
          <w:sz w:val="20"/>
          <w:szCs w:val="20"/>
        </w:rPr>
        <w:instrText xml:space="preserve"> REF _Ref75526799 \r \h </w:instrText>
      </w:r>
      <w:r w:rsidR="00A467E7" w:rsidRPr="00EB2E7B">
        <w:rPr>
          <w:rFonts w:asciiTheme="minorHAnsi" w:hAnsiTheme="minorHAnsi" w:cstheme="minorHAnsi"/>
          <w:sz w:val="20"/>
          <w:szCs w:val="20"/>
        </w:rPr>
        <w:instrText xml:space="preserve"> \* MERGEFORMAT </w:instrText>
      </w:r>
      <w:r w:rsidR="00334603" w:rsidRPr="00EB2E7B">
        <w:rPr>
          <w:rFonts w:asciiTheme="minorHAnsi" w:hAnsiTheme="minorHAnsi" w:cstheme="minorHAnsi"/>
          <w:sz w:val="20"/>
          <w:szCs w:val="20"/>
        </w:rPr>
      </w:r>
      <w:r w:rsidR="0033460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D.3.8</w:t>
      </w:r>
      <w:r w:rsidR="00334603"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W tym czasie </w:t>
      </w:r>
      <w:r w:rsidR="00232DA9"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informuje sprzedawcę o wyniku weryfikacji. </w:t>
      </w:r>
      <w:r w:rsidRPr="00EB2E7B">
        <w:rPr>
          <w:rFonts w:asciiTheme="minorHAnsi" w:hAnsiTheme="minorHAnsi" w:cstheme="minorHAnsi"/>
          <w:sz w:val="20"/>
          <w:szCs w:val="20"/>
        </w:rPr>
        <w:t>W przypadku pozytywnej weryfikacji następuje zabudowa układu pomiarowo-rozliczeniowego lub podanie napięcia, a następnie ACPRO informuje sprzedawcę o dacie rozpoczęcia realizacji zgłoszonej przez niego umowy sprzedaży albo umowy kompleksowej</w:t>
      </w:r>
      <w:r w:rsidR="00B3168B" w:rsidRPr="00EB2E7B">
        <w:rPr>
          <w:rFonts w:asciiTheme="minorHAnsi" w:hAnsiTheme="minorHAnsi" w:cstheme="minorHAnsi"/>
          <w:sz w:val="20"/>
          <w:szCs w:val="20"/>
        </w:rPr>
        <w:t>.</w:t>
      </w:r>
    </w:p>
    <w:p w14:paraId="47B34FE4" w14:textId="2A65FE2D" w:rsidR="00B3168B" w:rsidRPr="00EB2E7B" w:rsidRDefault="00D876CC"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Rozdzielenie umowy kompleksowej na umowę sprzedaży oraz umowę dystrybucji bez dokonywania zmiany sprzedawcy jest możliwe tylko dla URD nie będących URD w gospodarstwie domowym i wymaga zgłoszenia umowy sprzedaży na zasadach i w trybie określonym w pkt </w:t>
      </w:r>
      <w:r w:rsidR="007D1146" w:rsidRPr="00EB2E7B">
        <w:rPr>
          <w:rFonts w:asciiTheme="minorHAnsi" w:hAnsiTheme="minorHAnsi" w:cstheme="minorHAnsi"/>
          <w:sz w:val="20"/>
          <w:szCs w:val="20"/>
        </w:rPr>
        <w:fldChar w:fldCharType="begin"/>
      </w:r>
      <w:r w:rsidR="007D1146" w:rsidRPr="00EB2E7B">
        <w:rPr>
          <w:rFonts w:asciiTheme="minorHAnsi" w:hAnsiTheme="minorHAnsi" w:cstheme="minorHAnsi"/>
          <w:sz w:val="20"/>
          <w:szCs w:val="20"/>
        </w:rPr>
        <w:instrText xml:space="preserve"> REF _Ref75766947 \r \h </w:instrText>
      </w:r>
      <w:r w:rsidR="006936AC" w:rsidRPr="00EB2E7B">
        <w:rPr>
          <w:rFonts w:asciiTheme="minorHAnsi" w:hAnsiTheme="minorHAnsi" w:cstheme="minorHAnsi"/>
          <w:sz w:val="20"/>
          <w:szCs w:val="20"/>
        </w:rPr>
        <w:instrText xml:space="preserve"> \* MERGEFORMAT </w:instrText>
      </w:r>
      <w:r w:rsidR="007D1146" w:rsidRPr="00EB2E7B">
        <w:rPr>
          <w:rFonts w:asciiTheme="minorHAnsi" w:hAnsiTheme="minorHAnsi" w:cstheme="minorHAnsi"/>
          <w:sz w:val="20"/>
          <w:szCs w:val="20"/>
        </w:rPr>
      </w:r>
      <w:r w:rsidR="007D114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w:t>
      </w:r>
      <w:r w:rsidR="007D114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0077111A" w:rsidRPr="00EB2E7B">
        <w:rPr>
          <w:rFonts w:asciiTheme="minorHAnsi" w:hAnsiTheme="minorHAnsi" w:cstheme="minorHAnsi"/>
          <w:sz w:val="20"/>
          <w:szCs w:val="20"/>
        </w:rPr>
        <w:t xml:space="preserve"> </w:t>
      </w:r>
      <w:r w:rsidR="0028275D" w:rsidRPr="00EB2E7B">
        <w:rPr>
          <w:rFonts w:asciiTheme="minorHAnsi" w:hAnsiTheme="minorHAnsi" w:cstheme="minorHAnsi"/>
          <w:sz w:val="20"/>
          <w:szCs w:val="20"/>
        </w:rPr>
        <w:t>Rozdzielenie umowy kompleksowej nie wymaga dostosowania układów pomiarowo-rozliczeniowych do wymagań określonych odpowiednio w rozporządzeniu pomiarowym oraz w </w:t>
      </w:r>
      <w:proofErr w:type="spellStart"/>
      <w:r w:rsidR="0028275D" w:rsidRPr="00EB2E7B">
        <w:rPr>
          <w:rFonts w:asciiTheme="minorHAnsi" w:hAnsiTheme="minorHAnsi" w:cstheme="minorHAnsi"/>
          <w:sz w:val="20"/>
          <w:szCs w:val="20"/>
        </w:rPr>
        <w:t>IRiESD</w:t>
      </w:r>
      <w:proofErr w:type="spellEnd"/>
      <w:r w:rsidR="00B3168B" w:rsidRPr="00EB2E7B">
        <w:rPr>
          <w:rFonts w:asciiTheme="minorHAnsi" w:hAnsiTheme="minorHAnsi" w:cstheme="minorHAnsi"/>
          <w:sz w:val="20"/>
          <w:szCs w:val="20"/>
        </w:rPr>
        <w:t>.</w:t>
      </w:r>
    </w:p>
    <w:p w14:paraId="3682A296" w14:textId="56FE9941" w:rsidR="00D876CC" w:rsidRPr="00EB2E7B" w:rsidRDefault="00D876CC" w:rsidP="004854C6">
      <w:pPr>
        <w:pStyle w:val="ANagwek3"/>
        <w:rPr>
          <w:rFonts w:asciiTheme="minorHAnsi" w:hAnsiTheme="minorHAnsi" w:cstheme="minorHAnsi"/>
          <w:sz w:val="20"/>
          <w:szCs w:val="20"/>
        </w:rPr>
      </w:pPr>
      <w:r w:rsidRPr="00EB2E7B">
        <w:rPr>
          <w:rFonts w:asciiTheme="minorHAnsi" w:hAnsiTheme="minorHAnsi" w:cstheme="minorHAnsi"/>
          <w:sz w:val="20"/>
          <w:szCs w:val="20"/>
        </w:rPr>
        <w:t>Zakończenie na wniosek URD świadczenia usługi dystrybucji na podstawie umowy kompleksowej następuje w dacie odłączenia zasilania w danym PPE, tj. stworzenia fizycznej przerwy w torze prądowym (np. demontaż układu pomiarowo-rozliczeniowego, demontaż przyłącza bądź jego fragmentu, wyjęcie wkładki bezpiecznikowej, odłączenie stycznika w LZO, itp.).</w:t>
      </w:r>
    </w:p>
    <w:p w14:paraId="53982C08" w14:textId="33EDCCAF" w:rsidR="00473957" w:rsidRPr="00EB2E7B" w:rsidRDefault="0077111A" w:rsidP="004D1C36">
      <w:pPr>
        <w:pStyle w:val="ANagwek2"/>
        <w:rPr>
          <w:rFonts w:asciiTheme="minorHAnsi" w:hAnsiTheme="minorHAnsi" w:cstheme="minorHAnsi"/>
          <w:sz w:val="20"/>
          <w:szCs w:val="20"/>
        </w:rPr>
      </w:pPr>
      <w:bookmarkStart w:id="669" w:name="_Toc180153781"/>
      <w:bookmarkStart w:id="670" w:name="_Toc239333420"/>
      <w:r w:rsidRPr="00EB2E7B">
        <w:rPr>
          <w:rFonts w:asciiTheme="minorHAnsi" w:hAnsiTheme="minorHAnsi" w:cstheme="minorHAnsi"/>
          <w:sz w:val="20"/>
          <w:szCs w:val="20"/>
        </w:rPr>
        <w:t>WERYFIKACJA ZGŁOSZEŃ UMÓW SPRZEDAŻY ENERGII</w:t>
      </w:r>
      <w:r w:rsidR="00695A64" w:rsidRPr="00EB2E7B">
        <w:rPr>
          <w:rFonts w:asciiTheme="minorHAnsi" w:hAnsiTheme="minorHAnsi" w:cstheme="minorHAnsi"/>
          <w:sz w:val="20"/>
          <w:szCs w:val="20"/>
        </w:rPr>
        <w:t xml:space="preserve"> </w:t>
      </w:r>
      <w:r w:rsidRPr="00EB2E7B">
        <w:rPr>
          <w:rFonts w:asciiTheme="minorHAnsi" w:hAnsiTheme="minorHAnsi" w:cstheme="minorHAnsi"/>
          <w:sz w:val="20"/>
          <w:szCs w:val="20"/>
        </w:rPr>
        <w:t>ELEKTRYCZNEJ WERYFIKACJA POWIADOMIEŃ</w:t>
      </w:r>
      <w:bookmarkEnd w:id="669"/>
      <w:bookmarkEnd w:id="670"/>
    </w:p>
    <w:p w14:paraId="0FDE1E41" w14:textId="6DFE89CD" w:rsidR="00473957" w:rsidRPr="00EB2E7B" w:rsidRDefault="0098446D"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w:t>
      </w:r>
      <w:r w:rsidR="00C62A6D"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dokonuje weryfikacji otrzymanych powiadomień o zawartych</w:t>
      </w:r>
      <w:r w:rsidR="00695A64"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 xml:space="preserve">umowach sprzedaży </w:t>
      </w:r>
      <w:r w:rsidR="003215C2" w:rsidRPr="00EB2E7B">
        <w:rPr>
          <w:rFonts w:asciiTheme="minorHAnsi" w:hAnsiTheme="minorHAnsi" w:cstheme="minorHAnsi"/>
          <w:sz w:val="20"/>
          <w:szCs w:val="20"/>
        </w:rPr>
        <w:t xml:space="preserve">albo </w:t>
      </w:r>
      <w:r w:rsidR="0077111A" w:rsidRPr="00EB2E7B">
        <w:rPr>
          <w:rFonts w:asciiTheme="minorHAnsi" w:hAnsiTheme="minorHAnsi" w:cstheme="minorHAnsi"/>
          <w:sz w:val="20"/>
          <w:szCs w:val="20"/>
        </w:rPr>
        <w:t>umowach</w:t>
      </w:r>
      <w:r w:rsidRPr="00EB2E7B">
        <w:rPr>
          <w:rFonts w:asciiTheme="minorHAnsi" w:hAnsiTheme="minorHAnsi" w:cstheme="minorHAnsi"/>
          <w:sz w:val="20"/>
          <w:szCs w:val="20"/>
        </w:rPr>
        <w:t xml:space="preserve"> k</w:t>
      </w:r>
      <w:r w:rsidR="0077111A" w:rsidRPr="00EB2E7B">
        <w:rPr>
          <w:rFonts w:asciiTheme="minorHAnsi" w:hAnsiTheme="minorHAnsi" w:cstheme="minorHAnsi"/>
          <w:sz w:val="20"/>
          <w:szCs w:val="20"/>
        </w:rPr>
        <w:t xml:space="preserve">ompleksowych, pod względem ich kompletności, zgodności z umowami o których mowa w pkt. </w:t>
      </w:r>
      <w:r w:rsidR="0094608A" w:rsidRPr="00EB2E7B">
        <w:rPr>
          <w:rFonts w:asciiTheme="minorHAnsi" w:hAnsiTheme="minorHAnsi" w:cstheme="minorHAnsi"/>
          <w:sz w:val="20"/>
          <w:szCs w:val="20"/>
        </w:rPr>
        <w:fldChar w:fldCharType="begin"/>
      </w:r>
      <w:r w:rsidR="0094608A" w:rsidRPr="00EB2E7B">
        <w:rPr>
          <w:rFonts w:asciiTheme="minorHAnsi" w:hAnsiTheme="minorHAnsi" w:cstheme="minorHAnsi"/>
          <w:sz w:val="20"/>
          <w:szCs w:val="20"/>
        </w:rPr>
        <w:instrText xml:space="preserve"> REF _Ref75767116 \r \h </w:instrText>
      </w:r>
      <w:r w:rsidR="0003615D" w:rsidRPr="00EB2E7B">
        <w:rPr>
          <w:rFonts w:asciiTheme="minorHAnsi" w:hAnsiTheme="minorHAnsi" w:cstheme="minorHAnsi"/>
          <w:sz w:val="20"/>
          <w:szCs w:val="20"/>
        </w:rPr>
        <w:instrText xml:space="preserve"> \* MERGEFORMAT </w:instrText>
      </w:r>
      <w:r w:rsidR="0094608A" w:rsidRPr="00EB2E7B">
        <w:rPr>
          <w:rFonts w:asciiTheme="minorHAnsi" w:hAnsiTheme="minorHAnsi" w:cstheme="minorHAnsi"/>
          <w:sz w:val="20"/>
          <w:szCs w:val="20"/>
        </w:rPr>
      </w:r>
      <w:r w:rsidR="0094608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A.4.3</w:t>
      </w:r>
      <w:r w:rsidR="0094608A" w:rsidRPr="00EB2E7B">
        <w:rPr>
          <w:rFonts w:asciiTheme="minorHAnsi" w:hAnsiTheme="minorHAnsi" w:cstheme="minorHAnsi"/>
          <w:sz w:val="20"/>
          <w:szCs w:val="20"/>
        </w:rPr>
        <w:fldChar w:fldCharType="end"/>
      </w:r>
      <w:r w:rsidR="0077111A" w:rsidRPr="00EB2E7B">
        <w:rPr>
          <w:rFonts w:asciiTheme="minorHAnsi" w:hAnsiTheme="minorHAnsi" w:cstheme="minorHAnsi"/>
          <w:sz w:val="20"/>
          <w:szCs w:val="20"/>
        </w:rPr>
        <w:t xml:space="preserve"> oraz zgodności  z zasadami opisanymi w </w:t>
      </w:r>
      <w:proofErr w:type="spellStart"/>
      <w:r w:rsidR="0077111A" w:rsidRPr="00EB2E7B">
        <w:rPr>
          <w:rFonts w:asciiTheme="minorHAnsi" w:hAnsiTheme="minorHAnsi" w:cstheme="minorHAnsi"/>
          <w:sz w:val="20"/>
          <w:szCs w:val="20"/>
        </w:rPr>
        <w:t>IRiESD</w:t>
      </w:r>
      <w:proofErr w:type="spellEnd"/>
      <w:r w:rsidR="0077111A" w:rsidRPr="00EB2E7B">
        <w:rPr>
          <w:rFonts w:asciiTheme="minorHAnsi" w:hAnsiTheme="minorHAnsi" w:cstheme="minorHAnsi"/>
          <w:sz w:val="20"/>
          <w:szCs w:val="20"/>
        </w:rPr>
        <w:t>.</w:t>
      </w:r>
    </w:p>
    <w:p w14:paraId="573B53F1" w14:textId="127BB36A" w:rsidR="00473957" w:rsidRPr="00EB2E7B" w:rsidRDefault="00232DA9" w:rsidP="004854C6">
      <w:pPr>
        <w:pStyle w:val="ANagwek3"/>
        <w:rPr>
          <w:rFonts w:asciiTheme="minorHAnsi" w:hAnsiTheme="minorHAnsi" w:cstheme="minorHAnsi"/>
          <w:sz w:val="20"/>
          <w:szCs w:val="20"/>
        </w:rPr>
      </w:pPr>
      <w:r w:rsidRPr="00EB2E7B">
        <w:rPr>
          <w:rFonts w:asciiTheme="minorHAnsi" w:hAnsiTheme="minorHAnsi" w:cstheme="minorHAnsi"/>
          <w:sz w:val="20"/>
          <w:szCs w:val="20"/>
        </w:rPr>
        <w:t>ACPRO</w:t>
      </w:r>
      <w:r w:rsidR="0077111A" w:rsidRPr="00EB2E7B">
        <w:rPr>
          <w:rFonts w:asciiTheme="minorHAnsi" w:hAnsiTheme="minorHAnsi" w:cstheme="minorHAnsi"/>
          <w:sz w:val="20"/>
          <w:szCs w:val="20"/>
        </w:rPr>
        <w:t xml:space="preserve"> przekazuje do sprzedawcy informację o pozytywnym lub negatywnym wyniku przeprowadzonej weryfikacji w postaci odpowiedniego kodu. Listę kodów zawiera </w:t>
      </w:r>
      <w:r w:rsidR="008F5D77" w:rsidRPr="00EB2E7B">
        <w:rPr>
          <w:rFonts w:asciiTheme="minorHAnsi" w:hAnsiTheme="minorHAnsi" w:cstheme="minorHAnsi"/>
          <w:sz w:val="20"/>
          <w:szCs w:val="20"/>
        </w:rPr>
        <w:t>Z</w:t>
      </w:r>
      <w:r w:rsidR="0077111A" w:rsidRPr="00EB2E7B">
        <w:rPr>
          <w:rFonts w:asciiTheme="minorHAnsi" w:hAnsiTheme="minorHAnsi" w:cstheme="minorHAnsi"/>
          <w:sz w:val="20"/>
          <w:szCs w:val="20"/>
        </w:rPr>
        <w:t xml:space="preserve">ałącznik </w:t>
      </w:r>
      <w:r w:rsidR="008F5D77" w:rsidRPr="00EB2E7B">
        <w:rPr>
          <w:rFonts w:asciiTheme="minorHAnsi" w:hAnsiTheme="minorHAnsi" w:cstheme="minorHAnsi"/>
          <w:sz w:val="20"/>
          <w:szCs w:val="20"/>
        </w:rPr>
        <w:t xml:space="preserve">nr </w:t>
      </w:r>
      <w:r w:rsidR="00AF6927" w:rsidRPr="00EB2E7B">
        <w:rPr>
          <w:rFonts w:asciiTheme="minorHAnsi" w:hAnsiTheme="minorHAnsi" w:cstheme="minorHAnsi"/>
          <w:sz w:val="20"/>
          <w:szCs w:val="20"/>
        </w:rPr>
        <w:t>3</w:t>
      </w:r>
      <w:r w:rsidR="008F5D77" w:rsidRPr="00EB2E7B">
        <w:rPr>
          <w:rFonts w:asciiTheme="minorHAnsi" w:hAnsiTheme="minorHAnsi" w:cstheme="minorHAnsi"/>
          <w:sz w:val="20"/>
          <w:szCs w:val="20"/>
        </w:rPr>
        <w:t xml:space="preserve"> </w:t>
      </w:r>
      <w:r w:rsidR="0077111A" w:rsidRPr="00EB2E7B">
        <w:rPr>
          <w:rFonts w:asciiTheme="minorHAnsi" w:hAnsiTheme="minorHAnsi" w:cstheme="minorHAnsi"/>
          <w:sz w:val="20"/>
          <w:szCs w:val="20"/>
        </w:rPr>
        <w:t xml:space="preserve">do </w:t>
      </w:r>
      <w:proofErr w:type="spellStart"/>
      <w:r w:rsidR="0077111A" w:rsidRPr="00EB2E7B">
        <w:rPr>
          <w:rFonts w:asciiTheme="minorHAnsi" w:hAnsiTheme="minorHAnsi" w:cstheme="minorHAnsi"/>
          <w:sz w:val="20"/>
          <w:szCs w:val="20"/>
        </w:rPr>
        <w:t>IRiESD</w:t>
      </w:r>
      <w:proofErr w:type="spellEnd"/>
      <w:r w:rsidR="0077111A" w:rsidRPr="00EB2E7B">
        <w:rPr>
          <w:rFonts w:asciiTheme="minorHAnsi" w:hAnsiTheme="minorHAnsi" w:cstheme="minorHAnsi"/>
          <w:sz w:val="20"/>
          <w:szCs w:val="20"/>
        </w:rPr>
        <w:t>.</w:t>
      </w:r>
    </w:p>
    <w:p w14:paraId="1A102476" w14:textId="6076C3D5" w:rsidR="00473957" w:rsidRPr="00EB2E7B" w:rsidRDefault="0077111A" w:rsidP="004854C6">
      <w:pPr>
        <w:pStyle w:val="ANagwek3"/>
        <w:rPr>
          <w:rFonts w:asciiTheme="minorHAnsi" w:hAnsiTheme="minorHAnsi" w:cstheme="minorHAnsi"/>
          <w:sz w:val="20"/>
          <w:szCs w:val="20"/>
        </w:rPr>
      </w:pPr>
      <w:r w:rsidRPr="00EB2E7B">
        <w:rPr>
          <w:rFonts w:asciiTheme="minorHAnsi" w:hAnsiTheme="minorHAnsi" w:cstheme="minorHAnsi"/>
          <w:sz w:val="20"/>
          <w:szCs w:val="20"/>
        </w:rPr>
        <w:t>Ponowne rozpatrzenie powiadomienia, w przypadku weryfikacji negatywnej, o</w:t>
      </w:r>
      <w:r w:rsidR="00F5333B" w:rsidRPr="00EB2E7B">
        <w:rPr>
          <w:rFonts w:asciiTheme="minorHAnsi" w:hAnsiTheme="minorHAnsi" w:cstheme="minorHAnsi"/>
          <w:sz w:val="20"/>
          <w:szCs w:val="20"/>
        </w:rPr>
        <w:t> </w:t>
      </w:r>
      <w:r w:rsidRPr="00EB2E7B">
        <w:rPr>
          <w:rFonts w:asciiTheme="minorHAnsi" w:hAnsiTheme="minorHAnsi" w:cstheme="minorHAnsi"/>
          <w:sz w:val="20"/>
          <w:szCs w:val="20"/>
        </w:rPr>
        <w:t xml:space="preserve">której mowa w pkt. </w:t>
      </w:r>
      <w:r w:rsidR="0094608A" w:rsidRPr="00EB2E7B">
        <w:rPr>
          <w:rFonts w:asciiTheme="minorHAnsi" w:hAnsiTheme="minorHAnsi" w:cstheme="minorHAnsi"/>
          <w:sz w:val="20"/>
          <w:szCs w:val="20"/>
        </w:rPr>
        <w:fldChar w:fldCharType="begin"/>
      </w:r>
      <w:r w:rsidR="0094608A" w:rsidRPr="00EB2E7B">
        <w:rPr>
          <w:rFonts w:asciiTheme="minorHAnsi" w:hAnsiTheme="minorHAnsi" w:cstheme="minorHAnsi"/>
          <w:sz w:val="20"/>
          <w:szCs w:val="20"/>
        </w:rPr>
        <w:instrText xml:space="preserve"> REF _Ref75526799 \r \h </w:instrText>
      </w:r>
      <w:r w:rsidR="0003615D" w:rsidRPr="00EB2E7B">
        <w:rPr>
          <w:rFonts w:asciiTheme="minorHAnsi" w:hAnsiTheme="minorHAnsi" w:cstheme="minorHAnsi"/>
          <w:sz w:val="20"/>
          <w:szCs w:val="20"/>
        </w:rPr>
        <w:instrText xml:space="preserve"> \* MERGEFORMAT </w:instrText>
      </w:r>
      <w:r w:rsidR="0094608A" w:rsidRPr="00EB2E7B">
        <w:rPr>
          <w:rFonts w:asciiTheme="minorHAnsi" w:hAnsiTheme="minorHAnsi" w:cstheme="minorHAnsi"/>
          <w:sz w:val="20"/>
          <w:szCs w:val="20"/>
        </w:rPr>
      </w:r>
      <w:r w:rsidR="0094608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D.3.8</w:t>
      </w:r>
      <w:r w:rsidR="0094608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wymaga zgłoszenia umowy zgodnie z pkt. </w:t>
      </w:r>
      <w:r w:rsidR="0094608A" w:rsidRPr="00EB2E7B">
        <w:rPr>
          <w:rFonts w:asciiTheme="minorHAnsi" w:hAnsiTheme="minorHAnsi" w:cstheme="minorHAnsi"/>
          <w:sz w:val="20"/>
          <w:szCs w:val="20"/>
        </w:rPr>
        <w:fldChar w:fldCharType="begin"/>
      </w:r>
      <w:r w:rsidR="0094608A" w:rsidRPr="00EB2E7B">
        <w:rPr>
          <w:rFonts w:asciiTheme="minorHAnsi" w:hAnsiTheme="minorHAnsi" w:cstheme="minorHAnsi"/>
          <w:sz w:val="20"/>
          <w:szCs w:val="20"/>
        </w:rPr>
        <w:instrText xml:space="preserve"> REF _Ref75765366 \r \h </w:instrText>
      </w:r>
      <w:r w:rsidR="0003615D" w:rsidRPr="00EB2E7B">
        <w:rPr>
          <w:rFonts w:asciiTheme="minorHAnsi" w:hAnsiTheme="minorHAnsi" w:cstheme="minorHAnsi"/>
          <w:sz w:val="20"/>
          <w:szCs w:val="20"/>
        </w:rPr>
        <w:instrText xml:space="preserve"> \* MERGEFORMAT </w:instrText>
      </w:r>
      <w:r w:rsidR="0094608A" w:rsidRPr="00EB2E7B">
        <w:rPr>
          <w:rFonts w:asciiTheme="minorHAnsi" w:hAnsiTheme="minorHAnsi" w:cstheme="minorHAnsi"/>
          <w:sz w:val="20"/>
          <w:szCs w:val="20"/>
        </w:rPr>
      </w:r>
      <w:r w:rsidR="0094608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F.1.1</w:t>
      </w:r>
      <w:r w:rsidR="0094608A"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78538985" w14:textId="0A454591" w:rsidR="003526BE" w:rsidRPr="00EB2E7B" w:rsidRDefault="003215C2" w:rsidP="004854C6">
      <w:pPr>
        <w:pStyle w:val="ANagwek3"/>
        <w:rPr>
          <w:rFonts w:asciiTheme="minorHAnsi" w:hAnsiTheme="minorHAnsi" w:cstheme="minorHAnsi"/>
          <w:sz w:val="20"/>
          <w:szCs w:val="20"/>
        </w:rPr>
      </w:pPr>
      <w:r w:rsidRPr="00EB2E7B">
        <w:rPr>
          <w:rFonts w:asciiTheme="minorHAnsi" w:hAnsiTheme="minorHAnsi" w:cstheme="minorHAnsi"/>
          <w:sz w:val="20"/>
          <w:szCs w:val="20"/>
        </w:rPr>
        <w:t xml:space="preserve">W przypadku pozytywnej weryfikacji powiadomień o zawartych umowach sprzedaży albo umowach kompleksowych,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_Ref75765366 \r \h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F.1.1</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ACPRO we współpracy z </w:t>
      </w:r>
      <w:proofErr w:type="spellStart"/>
      <w:r w:rsidRPr="00EB2E7B">
        <w:rPr>
          <w:rFonts w:asciiTheme="minorHAnsi" w:hAnsiTheme="minorHAnsi" w:cstheme="minorHAnsi"/>
          <w:sz w:val="20"/>
          <w:szCs w:val="20"/>
        </w:rPr>
        <w:t>OSD</w:t>
      </w:r>
      <w:r w:rsidR="6DA094F4" w:rsidRPr="00EB2E7B">
        <w:rPr>
          <w:rFonts w:asciiTheme="minorHAnsi" w:hAnsiTheme="minorHAnsi" w:cstheme="minorHAnsi"/>
          <w:sz w:val="20"/>
          <w:szCs w:val="20"/>
        </w:rPr>
        <w:t>p</w:t>
      </w:r>
      <w:proofErr w:type="spellEnd"/>
      <w:r w:rsidRPr="00EB2E7B">
        <w:rPr>
          <w:rFonts w:asciiTheme="minorHAnsi" w:hAnsiTheme="minorHAnsi" w:cstheme="minorHAnsi"/>
          <w:sz w:val="20"/>
          <w:szCs w:val="20"/>
        </w:rPr>
        <w:t xml:space="preserve"> przystępuje do konfiguracji PPE oraz do konfiguracji MDD wchodzącego w skład MB przyporządkowanego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w:t>
      </w:r>
      <w:r w:rsidR="2FC184DA" w:rsidRPr="00EB2E7B">
        <w:rPr>
          <w:rFonts w:asciiTheme="minorHAnsi" w:hAnsiTheme="minorHAnsi" w:cstheme="minorHAnsi"/>
          <w:sz w:val="20"/>
          <w:szCs w:val="20"/>
        </w:rPr>
        <w:t xml:space="preserve"> </w:t>
      </w:r>
    </w:p>
    <w:p w14:paraId="37CFBE89" w14:textId="77777777" w:rsidR="00F2053D" w:rsidRPr="00EB2E7B" w:rsidRDefault="00F2053D" w:rsidP="00472992">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37CD5421" w14:textId="5D4CA748" w:rsidR="00473957" w:rsidRPr="00EB2E7B" w:rsidRDefault="0077111A" w:rsidP="00AD6251">
      <w:pPr>
        <w:pStyle w:val="ANagwek1"/>
        <w:numPr>
          <w:ilvl w:val="0"/>
          <w:numId w:val="85"/>
        </w:numPr>
        <w:rPr>
          <w:rFonts w:asciiTheme="minorHAnsi" w:hAnsiTheme="minorHAnsi" w:cstheme="minorHAnsi"/>
          <w:b/>
          <w:bCs w:val="0"/>
          <w:sz w:val="20"/>
          <w:szCs w:val="20"/>
        </w:rPr>
      </w:pPr>
      <w:bookmarkStart w:id="671" w:name="_Ref75525715"/>
      <w:bookmarkStart w:id="672" w:name="_Toc180153782"/>
      <w:bookmarkStart w:id="673" w:name="_Ref190170222"/>
      <w:bookmarkStart w:id="674" w:name="_Ref190170482"/>
      <w:bookmarkStart w:id="675" w:name="_Toc239333421"/>
      <w:r w:rsidRPr="00EB2E7B">
        <w:rPr>
          <w:rFonts w:asciiTheme="minorHAnsi" w:hAnsiTheme="minorHAnsi" w:cstheme="minorHAnsi"/>
          <w:b/>
          <w:bCs w:val="0"/>
          <w:sz w:val="20"/>
          <w:szCs w:val="20"/>
        </w:rPr>
        <w:lastRenderedPageBreak/>
        <w:t xml:space="preserve">ZASADY </w:t>
      </w:r>
      <w:bookmarkEnd w:id="671"/>
      <w:r w:rsidR="00800A5E" w:rsidRPr="00EB2E7B">
        <w:rPr>
          <w:rFonts w:asciiTheme="minorHAnsi" w:hAnsiTheme="minorHAnsi" w:cstheme="minorHAnsi"/>
          <w:b/>
          <w:bCs w:val="0"/>
          <w:sz w:val="20"/>
          <w:szCs w:val="20"/>
        </w:rPr>
        <w:t>OPRACOWANIA, AKTUALIZACJI I UDOSTEPNIANIA STANDARDOWYCH PROFILI ZUŻYCIA</w:t>
      </w:r>
      <w:bookmarkEnd w:id="672"/>
      <w:bookmarkEnd w:id="673"/>
      <w:bookmarkEnd w:id="674"/>
      <w:bookmarkEnd w:id="675"/>
      <w:r w:rsidRPr="00EB2E7B">
        <w:rPr>
          <w:rFonts w:asciiTheme="minorHAnsi" w:hAnsiTheme="minorHAnsi" w:cstheme="minorHAnsi"/>
          <w:b/>
          <w:bCs w:val="0"/>
          <w:sz w:val="20"/>
          <w:szCs w:val="20"/>
        </w:rPr>
        <w:t xml:space="preserve"> </w:t>
      </w:r>
    </w:p>
    <w:p w14:paraId="265E87A7" w14:textId="2890517B" w:rsidR="006D7782" w:rsidRPr="00EB2E7B" w:rsidRDefault="00232DA9" w:rsidP="004D1C36">
      <w:pPr>
        <w:pStyle w:val="ANagwek2"/>
        <w:rPr>
          <w:rFonts w:asciiTheme="minorHAnsi" w:hAnsiTheme="minorHAnsi" w:cstheme="minorHAnsi"/>
          <w:b w:val="0"/>
          <w:sz w:val="20"/>
          <w:szCs w:val="20"/>
        </w:rPr>
      </w:pPr>
      <w:bookmarkStart w:id="676" w:name="_Toc189833818"/>
      <w:bookmarkStart w:id="677" w:name="_Ref190121686"/>
      <w:bookmarkStart w:id="678" w:name="_Toc239333422"/>
      <w:bookmarkStart w:id="679" w:name="_Ref151916418"/>
      <w:r w:rsidRPr="00EB2E7B">
        <w:rPr>
          <w:rFonts w:asciiTheme="minorHAnsi" w:hAnsiTheme="minorHAnsi" w:cstheme="minorHAnsi"/>
          <w:b w:val="0"/>
          <w:bCs w:val="0"/>
          <w:sz w:val="20"/>
          <w:szCs w:val="20"/>
        </w:rPr>
        <w:t>ACPRO</w:t>
      </w:r>
      <w:r w:rsidR="0077111A" w:rsidRPr="00EB2E7B">
        <w:rPr>
          <w:rFonts w:asciiTheme="minorHAnsi" w:hAnsiTheme="minorHAnsi" w:cstheme="minorHAnsi"/>
          <w:b w:val="0"/>
          <w:bCs w:val="0"/>
          <w:sz w:val="20"/>
          <w:szCs w:val="20"/>
        </w:rPr>
        <w:t xml:space="preserve"> </w:t>
      </w:r>
      <w:r w:rsidR="00800A5E" w:rsidRPr="00EB2E7B">
        <w:rPr>
          <w:rFonts w:asciiTheme="minorHAnsi" w:hAnsiTheme="minorHAnsi" w:cstheme="minorHAnsi"/>
          <w:b w:val="0"/>
          <w:bCs w:val="0"/>
          <w:sz w:val="20"/>
          <w:szCs w:val="20"/>
        </w:rPr>
        <w:t xml:space="preserve">opracowuje i aktualizuje standardowe profile zużycia (profile) </w:t>
      </w:r>
      <w:r w:rsidR="00B63A3C" w:rsidRPr="00EB2E7B">
        <w:rPr>
          <w:rFonts w:asciiTheme="minorHAnsi" w:hAnsiTheme="minorHAnsi" w:cstheme="minorHAnsi"/>
          <w:b w:val="0"/>
          <w:bCs w:val="0"/>
          <w:sz w:val="20"/>
          <w:szCs w:val="20"/>
        </w:rPr>
        <w:t xml:space="preserve">z zachowaniem należytej staranności </w:t>
      </w:r>
      <w:r w:rsidR="00800A5E" w:rsidRPr="00EB2E7B">
        <w:rPr>
          <w:rFonts w:asciiTheme="minorHAnsi" w:hAnsiTheme="minorHAnsi" w:cstheme="minorHAnsi"/>
          <w:b w:val="0"/>
          <w:bCs w:val="0"/>
          <w:sz w:val="20"/>
          <w:szCs w:val="20"/>
        </w:rPr>
        <w:t>na podstawie pomierzonych zmienności obciążeń dobowych odbiorców kontrolnych objętych pomiarami zmienności obciążenia, wytypowanych przez ACPRO spośród odbiorców przyłączonych do sieci dystrybucyjnej</w:t>
      </w:r>
      <w:r w:rsidR="00E17B52" w:rsidRPr="00EB2E7B">
        <w:rPr>
          <w:rFonts w:asciiTheme="minorHAnsi" w:hAnsiTheme="minorHAnsi" w:cstheme="minorHAnsi"/>
          <w:b w:val="0"/>
          <w:bCs w:val="0"/>
          <w:sz w:val="20"/>
          <w:szCs w:val="20"/>
        </w:rPr>
        <w:t xml:space="preserve"> o mocy umownej do 40 kW,</w:t>
      </w:r>
      <w:r w:rsidR="00800A5E" w:rsidRPr="00EB2E7B">
        <w:rPr>
          <w:rFonts w:asciiTheme="minorHAnsi" w:hAnsiTheme="minorHAnsi" w:cstheme="minorHAnsi"/>
          <w:b w:val="0"/>
          <w:bCs w:val="0"/>
          <w:sz w:val="20"/>
          <w:szCs w:val="20"/>
        </w:rPr>
        <w:t xml:space="preserve"> o których mowa w poniższych tabelach</w:t>
      </w:r>
      <w:r w:rsidR="005A1617" w:rsidRPr="00EB2E7B">
        <w:rPr>
          <w:rFonts w:asciiTheme="minorHAnsi" w:hAnsiTheme="minorHAnsi" w:cstheme="minorHAnsi"/>
          <w:b w:val="0"/>
          <w:sz w:val="20"/>
          <w:szCs w:val="20"/>
        </w:rPr>
        <w:t>,</w:t>
      </w:r>
      <w:r w:rsidR="00800A5E" w:rsidRPr="00EB2E7B">
        <w:rPr>
          <w:rFonts w:asciiTheme="minorHAnsi" w:hAnsiTheme="minorHAnsi" w:cstheme="minorHAnsi"/>
          <w:b w:val="0"/>
          <w:bCs w:val="0"/>
          <w:sz w:val="20"/>
          <w:szCs w:val="20"/>
        </w:rPr>
        <w:t xml:space="preserve"> </w:t>
      </w:r>
      <w:r w:rsidR="00B0295F" w:rsidRPr="00EB2E7B">
        <w:rPr>
          <w:rFonts w:asciiTheme="minorHAnsi" w:hAnsiTheme="minorHAnsi" w:cstheme="minorHAnsi"/>
          <w:b w:val="0"/>
          <w:sz w:val="20"/>
          <w:szCs w:val="20"/>
        </w:rPr>
        <w:t xml:space="preserve">przy zastosowaniu technik statystyki matematycznej. Wykaz profili dostępnych dla odbiorców profilowanych zestawiono w tab. </w:t>
      </w:r>
      <w:r w:rsidR="00B0295F" w:rsidRPr="00EB2E7B">
        <w:rPr>
          <w:rFonts w:asciiTheme="minorHAnsi" w:hAnsiTheme="minorHAnsi" w:cstheme="minorHAnsi"/>
          <w:b w:val="0"/>
          <w:bCs w:val="0"/>
          <w:sz w:val="20"/>
          <w:szCs w:val="20"/>
        </w:rPr>
        <w:t>T.1,</w:t>
      </w:r>
      <w:r w:rsidR="00B0295F" w:rsidRPr="00EB2E7B">
        <w:rPr>
          <w:rFonts w:asciiTheme="minorHAnsi" w:hAnsiTheme="minorHAnsi" w:cstheme="minorHAnsi"/>
          <w:b w:val="0"/>
          <w:sz w:val="20"/>
          <w:szCs w:val="20"/>
        </w:rPr>
        <w:t xml:space="preserve"> zaś godzinowe profile wyznaczone w jednostkach względnych zamieszczono w tab. </w:t>
      </w:r>
      <w:r w:rsidR="00B0295F" w:rsidRPr="00EB2E7B">
        <w:rPr>
          <w:rFonts w:asciiTheme="minorHAnsi" w:hAnsiTheme="minorHAnsi" w:cstheme="minorHAnsi"/>
          <w:b w:val="0"/>
          <w:bCs w:val="0"/>
          <w:sz w:val="20"/>
          <w:szCs w:val="20"/>
        </w:rPr>
        <w:t>T.2.</w:t>
      </w:r>
      <w:bookmarkEnd w:id="676"/>
      <w:bookmarkEnd w:id="677"/>
      <w:bookmarkEnd w:id="678"/>
      <w:r w:rsidR="006D7782" w:rsidRPr="00EB2E7B">
        <w:rPr>
          <w:rFonts w:asciiTheme="minorHAnsi" w:hAnsiTheme="minorHAnsi" w:cstheme="minorHAnsi"/>
          <w:b w:val="0"/>
          <w:sz w:val="20"/>
          <w:szCs w:val="20"/>
        </w:rPr>
        <w:t xml:space="preserve"> </w:t>
      </w:r>
    </w:p>
    <w:bookmarkEnd w:id="679"/>
    <w:p w14:paraId="330ECBBD" w14:textId="4447F54D" w:rsidR="00800A5E" w:rsidRPr="00EB2E7B" w:rsidRDefault="00800A5E" w:rsidP="00AD6251">
      <w:pPr>
        <w:spacing w:before="120" w:after="120" w:line="266" w:lineRule="auto"/>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Profile są przedstawione w tabelach w rozdziale </w:t>
      </w:r>
      <w:r w:rsidR="00196729" w:rsidRPr="00EB2E7B">
        <w:rPr>
          <w:rFonts w:asciiTheme="minorHAnsi" w:hAnsiTheme="minorHAnsi" w:cstheme="minorHAnsi"/>
          <w:sz w:val="20"/>
          <w:szCs w:val="20"/>
        </w:rPr>
        <w:fldChar w:fldCharType="begin"/>
      </w:r>
      <w:r w:rsidR="00196729" w:rsidRPr="00EB2E7B">
        <w:rPr>
          <w:rFonts w:asciiTheme="minorHAnsi" w:hAnsiTheme="minorHAnsi" w:cstheme="minorHAnsi"/>
          <w:sz w:val="20"/>
          <w:szCs w:val="20"/>
        </w:rPr>
        <w:instrText xml:space="preserve"> REF _Ref190170482 \w \h  \* MERGEFORMAT </w:instrText>
      </w:r>
      <w:r w:rsidR="00196729" w:rsidRPr="00EB2E7B">
        <w:rPr>
          <w:rFonts w:asciiTheme="minorHAnsi" w:hAnsiTheme="minorHAnsi" w:cstheme="minorHAnsi"/>
          <w:sz w:val="20"/>
          <w:szCs w:val="20"/>
        </w:rPr>
      </w:r>
      <w:r w:rsidR="0019672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G</w:t>
      </w:r>
      <w:r w:rsidR="0019672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która jest udostępniana do wglądu w siedzibie ACPRO oraz zamieszczona na stronie internetowej ACPRO.</w:t>
      </w:r>
    </w:p>
    <w:p w14:paraId="58ACCFF0" w14:textId="77777777" w:rsidR="0012608A" w:rsidRPr="00EB2E7B" w:rsidRDefault="0012608A" w:rsidP="007D5F6D">
      <w:pPr>
        <w:ind w:left="1134"/>
        <w:rPr>
          <w:rFonts w:asciiTheme="minorHAnsi" w:hAnsiTheme="minorHAnsi" w:cstheme="minorHAnsi"/>
          <w:sz w:val="20"/>
          <w:szCs w:val="20"/>
        </w:rPr>
      </w:pPr>
      <w:r w:rsidRPr="00EB2E7B">
        <w:rPr>
          <w:rFonts w:asciiTheme="minorHAnsi" w:hAnsiTheme="minorHAnsi" w:cstheme="minorHAnsi"/>
          <w:sz w:val="20"/>
          <w:szCs w:val="20"/>
        </w:rPr>
        <w:t>Profile są opracowywane i aktualizowane w zależności od zmienności danych będących podstawą ich opracowania.</w:t>
      </w:r>
    </w:p>
    <w:p w14:paraId="0A8DA601" w14:textId="1B9E3445" w:rsidR="00711C69" w:rsidRPr="00EB2E7B" w:rsidRDefault="00711C69" w:rsidP="004D1C36">
      <w:pPr>
        <w:pStyle w:val="ANagwek2"/>
        <w:rPr>
          <w:rFonts w:asciiTheme="minorHAnsi" w:hAnsiTheme="minorHAnsi" w:cstheme="minorHAnsi"/>
          <w:b w:val="0"/>
          <w:sz w:val="20"/>
          <w:szCs w:val="20"/>
        </w:rPr>
      </w:pPr>
      <w:bookmarkStart w:id="680" w:name="_Toc189833819"/>
      <w:bookmarkStart w:id="681" w:name="_Ref190121780"/>
      <w:bookmarkStart w:id="682" w:name="_Toc239333423"/>
      <w:r w:rsidRPr="00EB2E7B">
        <w:rPr>
          <w:rFonts w:asciiTheme="minorHAnsi" w:hAnsiTheme="minorHAnsi" w:cstheme="minorHAnsi"/>
          <w:b w:val="0"/>
          <w:sz w:val="20"/>
          <w:szCs w:val="20"/>
        </w:rPr>
        <w:t xml:space="preserve">Dla odbiorców, o których mowa w pkt. </w:t>
      </w:r>
      <w:r w:rsidR="002D51FE" w:rsidRPr="00EB2E7B">
        <w:rPr>
          <w:rFonts w:asciiTheme="minorHAnsi" w:hAnsiTheme="minorHAnsi" w:cstheme="minorHAnsi"/>
          <w:b w:val="0"/>
          <w:bCs w:val="0"/>
          <w:sz w:val="20"/>
          <w:szCs w:val="20"/>
        </w:rPr>
        <w:fldChar w:fldCharType="begin"/>
      </w:r>
      <w:r w:rsidR="002D51FE" w:rsidRPr="00EB2E7B">
        <w:rPr>
          <w:rFonts w:asciiTheme="minorHAnsi" w:hAnsiTheme="minorHAnsi" w:cstheme="minorHAnsi"/>
          <w:b w:val="0"/>
          <w:sz w:val="20"/>
          <w:szCs w:val="20"/>
        </w:rPr>
        <w:instrText xml:space="preserve"> REF _Ref190121686 \w \h </w:instrText>
      </w:r>
      <w:r w:rsidR="002D51FE" w:rsidRPr="00EB2E7B">
        <w:rPr>
          <w:rFonts w:asciiTheme="minorHAnsi" w:hAnsiTheme="minorHAnsi" w:cstheme="minorHAnsi"/>
          <w:b w:val="0"/>
          <w:bCs w:val="0"/>
          <w:sz w:val="20"/>
          <w:szCs w:val="20"/>
        </w:rPr>
        <w:instrText xml:space="preserve"> \* MERGEFORMAT </w:instrText>
      </w:r>
      <w:r w:rsidR="002D51FE" w:rsidRPr="00EB2E7B">
        <w:rPr>
          <w:rFonts w:asciiTheme="minorHAnsi" w:hAnsiTheme="minorHAnsi" w:cstheme="minorHAnsi"/>
          <w:b w:val="0"/>
          <w:bCs w:val="0"/>
          <w:sz w:val="20"/>
          <w:szCs w:val="20"/>
        </w:rPr>
      </w:r>
      <w:r w:rsidR="002D51FE"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sz w:val="20"/>
          <w:szCs w:val="20"/>
        </w:rPr>
        <w:t>G.1</w:t>
      </w:r>
      <w:r w:rsidR="002D51FE" w:rsidRPr="00EB2E7B">
        <w:rPr>
          <w:rFonts w:asciiTheme="minorHAnsi" w:hAnsiTheme="minorHAnsi" w:cstheme="minorHAnsi"/>
          <w:b w:val="0"/>
          <w:sz w:val="20"/>
          <w:szCs w:val="20"/>
        </w:rPr>
        <w:fldChar w:fldCharType="end"/>
      </w:r>
      <w:r w:rsidRPr="00EB2E7B">
        <w:rPr>
          <w:rFonts w:asciiTheme="minorHAnsi" w:hAnsiTheme="minorHAnsi" w:cstheme="minorHAnsi"/>
          <w:b w:val="0"/>
          <w:bCs w:val="0"/>
          <w:sz w:val="20"/>
          <w:szCs w:val="20"/>
        </w:rPr>
        <w:t xml:space="preserve">, </w:t>
      </w:r>
      <w:r w:rsidRPr="00EB2E7B">
        <w:rPr>
          <w:rFonts w:asciiTheme="minorHAnsi" w:hAnsiTheme="minorHAnsi" w:cstheme="minorHAnsi"/>
          <w:b w:val="0"/>
          <w:sz w:val="20"/>
          <w:szCs w:val="20"/>
        </w:rPr>
        <w:t>ACPRO na podstawie:</w:t>
      </w:r>
      <w:bookmarkEnd w:id="680"/>
      <w:bookmarkEnd w:id="681"/>
      <w:bookmarkEnd w:id="682"/>
    </w:p>
    <w:p w14:paraId="7726297C" w14:textId="10641970" w:rsidR="00711C69" w:rsidRPr="00EB2E7B" w:rsidRDefault="00711C69" w:rsidP="006D74D0">
      <w:pPr>
        <w:pStyle w:val="NormalnyIRiESD"/>
        <w:numPr>
          <w:ilvl w:val="0"/>
          <w:numId w:val="363"/>
        </w:numPr>
        <w:ind w:left="1701" w:hanging="567"/>
        <w:rPr>
          <w:rFonts w:asciiTheme="minorHAnsi" w:hAnsiTheme="minorHAnsi" w:cstheme="minorHAnsi"/>
          <w:sz w:val="20"/>
          <w:szCs w:val="20"/>
        </w:rPr>
      </w:pPr>
      <w:r w:rsidRPr="00EB2E7B">
        <w:rPr>
          <w:rFonts w:asciiTheme="minorHAnsi" w:hAnsiTheme="minorHAnsi" w:cstheme="minorHAnsi"/>
          <w:sz w:val="20"/>
          <w:szCs w:val="20"/>
        </w:rPr>
        <w:t>parametrów technicznych przyłącza,</w:t>
      </w:r>
    </w:p>
    <w:p w14:paraId="0E1271EF" w14:textId="13E32F0F" w:rsidR="00711C69" w:rsidRPr="00EB2E7B" w:rsidRDefault="00711C69" w:rsidP="006D74D0">
      <w:pPr>
        <w:pStyle w:val="NormalnyIRiESD"/>
        <w:numPr>
          <w:ilvl w:val="0"/>
          <w:numId w:val="363"/>
        </w:numPr>
        <w:ind w:left="1701" w:hanging="567"/>
        <w:rPr>
          <w:rFonts w:asciiTheme="minorHAnsi" w:hAnsiTheme="minorHAnsi" w:cstheme="minorHAnsi"/>
          <w:sz w:val="20"/>
          <w:szCs w:val="20"/>
        </w:rPr>
      </w:pPr>
      <w:r w:rsidRPr="00EB2E7B">
        <w:rPr>
          <w:rFonts w:asciiTheme="minorHAnsi" w:hAnsiTheme="minorHAnsi" w:cstheme="minorHAnsi"/>
          <w:sz w:val="20"/>
          <w:szCs w:val="20"/>
        </w:rPr>
        <w:t>grupy taryfowej określonej w umowie dystrybucji</w:t>
      </w:r>
      <w:r w:rsidR="00D361F7" w:rsidRPr="00EB2E7B">
        <w:rPr>
          <w:rFonts w:asciiTheme="minorHAnsi" w:hAnsiTheme="minorHAnsi" w:cstheme="minorHAnsi"/>
          <w:sz w:val="20"/>
          <w:szCs w:val="20"/>
        </w:rPr>
        <w:t xml:space="preserve"> albo umowie kompleksowej</w:t>
      </w:r>
      <w:r w:rsidRPr="00EB2E7B">
        <w:rPr>
          <w:rFonts w:asciiTheme="minorHAnsi" w:hAnsiTheme="minorHAnsi" w:cstheme="minorHAnsi"/>
          <w:sz w:val="20"/>
          <w:szCs w:val="20"/>
        </w:rPr>
        <w:t>,</w:t>
      </w:r>
    </w:p>
    <w:p w14:paraId="74A9A946" w14:textId="0EBB1420" w:rsidR="00711C69" w:rsidRPr="00EB2E7B" w:rsidRDefault="00711C69" w:rsidP="006D74D0">
      <w:pPr>
        <w:pStyle w:val="NormalnyIRiESD"/>
        <w:numPr>
          <w:ilvl w:val="0"/>
          <w:numId w:val="363"/>
        </w:numPr>
        <w:ind w:left="1701" w:hanging="567"/>
        <w:rPr>
          <w:rFonts w:asciiTheme="minorHAnsi" w:hAnsiTheme="minorHAnsi" w:cstheme="minorHAnsi"/>
          <w:sz w:val="20"/>
          <w:szCs w:val="20"/>
        </w:rPr>
      </w:pPr>
      <w:r w:rsidRPr="00EB2E7B">
        <w:rPr>
          <w:rFonts w:asciiTheme="minorHAnsi" w:hAnsiTheme="minorHAnsi" w:cstheme="minorHAnsi"/>
          <w:sz w:val="20"/>
          <w:szCs w:val="20"/>
        </w:rPr>
        <w:t>historycznego lub przewidywanego rocznego zużycia energii elektrycznej,</w:t>
      </w:r>
    </w:p>
    <w:p w14:paraId="5DA7485F" w14:textId="2D81BDBC" w:rsidR="00C66711" w:rsidRPr="00EB2E7B" w:rsidRDefault="00744955" w:rsidP="006D74D0">
      <w:pPr>
        <w:pStyle w:val="NormalnyIRiESD"/>
        <w:numPr>
          <w:ilvl w:val="0"/>
          <w:numId w:val="363"/>
        </w:numPr>
        <w:ind w:left="1701" w:hanging="567"/>
        <w:rPr>
          <w:rFonts w:asciiTheme="minorHAnsi" w:hAnsiTheme="minorHAnsi" w:cstheme="minorHAnsi"/>
          <w:sz w:val="20"/>
          <w:szCs w:val="20"/>
        </w:rPr>
      </w:pPr>
      <w:r w:rsidRPr="00EB2E7B">
        <w:rPr>
          <w:rFonts w:asciiTheme="minorHAnsi" w:hAnsiTheme="minorHAnsi" w:cstheme="minorHAnsi"/>
          <w:sz w:val="20"/>
          <w:szCs w:val="20"/>
        </w:rPr>
        <w:t>charakteru odbioru (potrzeb, na jakie zużywana jest energia elektryczna),</w:t>
      </w:r>
    </w:p>
    <w:p w14:paraId="2BCFDF43" w14:textId="77777777" w:rsidR="00711C69" w:rsidRPr="00EB2E7B" w:rsidRDefault="00711C69"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przydziela odpowiedni profil i planowaną ilość poboru energii na rok kalendarzowy.</w:t>
      </w:r>
    </w:p>
    <w:p w14:paraId="37106D14" w14:textId="2529E116" w:rsidR="00B05A43" w:rsidRPr="00EB2E7B" w:rsidRDefault="00711C69"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Przydzielony standardowy profil zużycia może być wykorzystany przez ACPRO na potrzeby, o których mowa w pkt </w:t>
      </w:r>
      <w:r w:rsidR="00897C18" w:rsidRPr="00EB2E7B">
        <w:rPr>
          <w:rFonts w:asciiTheme="minorHAnsi" w:hAnsiTheme="minorHAnsi" w:cstheme="minorHAnsi"/>
          <w:sz w:val="20"/>
          <w:szCs w:val="20"/>
        </w:rPr>
        <w:fldChar w:fldCharType="begin"/>
      </w:r>
      <w:r w:rsidR="00897C18" w:rsidRPr="00EB2E7B">
        <w:rPr>
          <w:rFonts w:asciiTheme="minorHAnsi" w:hAnsiTheme="minorHAnsi" w:cstheme="minorHAnsi"/>
          <w:sz w:val="20"/>
          <w:szCs w:val="20"/>
        </w:rPr>
        <w:instrText xml:space="preserve"> REF _Ref190121733 \w \h  \* MERGEFORMAT </w:instrText>
      </w:r>
      <w:r w:rsidR="00897C18" w:rsidRPr="00EB2E7B">
        <w:rPr>
          <w:rFonts w:asciiTheme="minorHAnsi" w:hAnsiTheme="minorHAnsi" w:cstheme="minorHAnsi"/>
          <w:sz w:val="20"/>
          <w:szCs w:val="20"/>
        </w:rPr>
      </w:r>
      <w:r w:rsidR="00897C1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C.1.2</w:t>
      </w:r>
      <w:r w:rsidR="00897C18"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2EAD5B8D" w14:textId="1407AAF3" w:rsidR="00B05A43" w:rsidRPr="00EB2E7B" w:rsidRDefault="00B05A43" w:rsidP="004D1C36">
      <w:pPr>
        <w:pStyle w:val="ANagwek2"/>
        <w:rPr>
          <w:rFonts w:asciiTheme="minorHAnsi" w:hAnsiTheme="minorHAnsi" w:cstheme="minorHAnsi"/>
          <w:b w:val="0"/>
          <w:sz w:val="20"/>
          <w:szCs w:val="20"/>
        </w:rPr>
      </w:pPr>
      <w:bookmarkStart w:id="683" w:name="_Toc189833820"/>
      <w:bookmarkStart w:id="684" w:name="_Ref190121800"/>
      <w:bookmarkStart w:id="685" w:name="_Toc239333424"/>
      <w:r w:rsidRPr="00EB2E7B">
        <w:rPr>
          <w:rFonts w:asciiTheme="minorHAnsi" w:hAnsiTheme="minorHAnsi" w:cstheme="minorHAnsi"/>
          <w:b w:val="0"/>
          <w:sz w:val="20"/>
          <w:szCs w:val="20"/>
        </w:rPr>
        <w:t>Przydzielony dla odbiorcy profil oraz planowana ilość poboru energii elektrycznej jest przyjmowana w Generalnej Umowie Dystrybucji zawartej przez sprzedawcę tego odbiorcy profilowego z ACPRO.</w:t>
      </w:r>
      <w:bookmarkEnd w:id="683"/>
      <w:bookmarkEnd w:id="684"/>
      <w:bookmarkEnd w:id="685"/>
    </w:p>
    <w:p w14:paraId="7942AEA8" w14:textId="3DDB3F7F" w:rsidR="00E354AB" w:rsidRPr="00EB2E7B" w:rsidRDefault="00B05A43"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Odbiorcom profilowym, dla których przydzielono profile przed dniem wejścia w</w:t>
      </w:r>
      <w:r w:rsidR="00D9509E" w:rsidRPr="00EB2E7B">
        <w:rPr>
          <w:rFonts w:asciiTheme="minorHAnsi" w:hAnsiTheme="minorHAnsi" w:cstheme="minorHAnsi"/>
          <w:sz w:val="20"/>
          <w:szCs w:val="20"/>
        </w:rPr>
        <w:t> </w:t>
      </w:r>
      <w:r w:rsidRPr="00EB2E7B">
        <w:rPr>
          <w:rFonts w:asciiTheme="minorHAnsi" w:hAnsiTheme="minorHAnsi" w:cstheme="minorHAnsi"/>
          <w:sz w:val="20"/>
          <w:szCs w:val="20"/>
        </w:rPr>
        <w:t>życie niniejszej IRIESD, przydzielone zostają nowe profile zgodnie z kryteriami zawartymi w tab. T.1.</w:t>
      </w:r>
    </w:p>
    <w:p w14:paraId="3FFB9BB8" w14:textId="546DF13E" w:rsidR="00333E93" w:rsidRPr="00EB2E7B" w:rsidRDefault="00E354AB" w:rsidP="004D1C36">
      <w:pPr>
        <w:pStyle w:val="ANagwek2"/>
        <w:rPr>
          <w:rFonts w:asciiTheme="minorHAnsi" w:hAnsiTheme="minorHAnsi" w:cstheme="minorHAnsi"/>
          <w:b w:val="0"/>
          <w:sz w:val="20"/>
          <w:szCs w:val="20"/>
        </w:rPr>
      </w:pPr>
      <w:bookmarkStart w:id="686" w:name="_Toc189833821"/>
      <w:bookmarkStart w:id="687" w:name="_Toc239333425"/>
      <w:r w:rsidRPr="00EB2E7B">
        <w:rPr>
          <w:rFonts w:asciiTheme="minorHAnsi" w:hAnsiTheme="minorHAnsi" w:cstheme="minorHAnsi"/>
          <w:b w:val="0"/>
          <w:sz w:val="20"/>
          <w:szCs w:val="20"/>
        </w:rPr>
        <w:t>W przypadku zmiany parametrów</w:t>
      </w:r>
      <w:r w:rsidR="004144CB" w:rsidRPr="00EB2E7B">
        <w:rPr>
          <w:rFonts w:asciiTheme="minorHAnsi" w:hAnsiTheme="minorHAnsi" w:cstheme="minorHAnsi"/>
          <w:b w:val="0"/>
          <w:sz w:val="20"/>
          <w:szCs w:val="20"/>
        </w:rPr>
        <w:t xml:space="preserve"> dla danego PPE</w:t>
      </w:r>
      <w:r w:rsidRPr="00EB2E7B">
        <w:rPr>
          <w:rFonts w:asciiTheme="minorHAnsi" w:hAnsiTheme="minorHAnsi" w:cstheme="minorHAnsi"/>
          <w:b w:val="0"/>
          <w:bCs w:val="0"/>
          <w:sz w:val="20"/>
          <w:szCs w:val="20"/>
        </w:rPr>
        <w:t xml:space="preserve">, o których mowa w pkt. </w:t>
      </w:r>
      <w:r w:rsidR="0091784E" w:rsidRPr="00EB2E7B">
        <w:rPr>
          <w:rFonts w:asciiTheme="minorHAnsi" w:hAnsiTheme="minorHAnsi" w:cstheme="minorHAnsi"/>
          <w:b w:val="0"/>
          <w:bCs w:val="0"/>
          <w:sz w:val="20"/>
          <w:szCs w:val="20"/>
        </w:rPr>
        <w:fldChar w:fldCharType="begin"/>
      </w:r>
      <w:r w:rsidR="0091784E" w:rsidRPr="00EB2E7B">
        <w:rPr>
          <w:rFonts w:asciiTheme="minorHAnsi" w:hAnsiTheme="minorHAnsi" w:cstheme="minorHAnsi"/>
          <w:b w:val="0"/>
          <w:bCs w:val="0"/>
          <w:sz w:val="20"/>
          <w:szCs w:val="20"/>
        </w:rPr>
        <w:instrText xml:space="preserve"> REF _Ref190121780 \w \h  \* MERGEFORMAT </w:instrText>
      </w:r>
      <w:r w:rsidR="0091784E" w:rsidRPr="00EB2E7B">
        <w:rPr>
          <w:rFonts w:asciiTheme="minorHAnsi" w:hAnsiTheme="minorHAnsi" w:cstheme="minorHAnsi"/>
          <w:b w:val="0"/>
          <w:bCs w:val="0"/>
          <w:sz w:val="20"/>
          <w:szCs w:val="20"/>
        </w:rPr>
      </w:r>
      <w:r w:rsidR="0091784E"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G.2</w:t>
      </w:r>
      <w:r w:rsidR="0091784E" w:rsidRPr="00EB2E7B">
        <w:rPr>
          <w:rFonts w:asciiTheme="minorHAnsi" w:hAnsiTheme="minorHAnsi" w:cstheme="minorHAnsi"/>
          <w:b w:val="0"/>
          <w:bCs w:val="0"/>
          <w:sz w:val="20"/>
          <w:szCs w:val="20"/>
        </w:rPr>
        <w:fldChar w:fldCharType="end"/>
      </w:r>
      <w:r w:rsidRPr="00EB2E7B">
        <w:rPr>
          <w:rFonts w:asciiTheme="minorHAnsi" w:hAnsiTheme="minorHAnsi" w:cstheme="minorHAnsi"/>
          <w:b w:val="0"/>
          <w:bCs w:val="0"/>
          <w:sz w:val="20"/>
          <w:szCs w:val="20"/>
        </w:rPr>
        <w:t>., odbiorca jest zobowiązany do powiadomienia ACPRO</w:t>
      </w:r>
      <w:r w:rsidR="002522C2" w:rsidRPr="00EB2E7B">
        <w:rPr>
          <w:rFonts w:asciiTheme="minorHAnsi" w:hAnsiTheme="minorHAnsi" w:cstheme="minorHAnsi"/>
          <w:b w:val="0"/>
          <w:sz w:val="20"/>
          <w:szCs w:val="20"/>
        </w:rPr>
        <w:t>.</w:t>
      </w:r>
      <w:r w:rsidRPr="00EB2E7B">
        <w:rPr>
          <w:rFonts w:asciiTheme="minorHAnsi" w:hAnsiTheme="minorHAnsi" w:cstheme="minorHAnsi"/>
          <w:b w:val="0"/>
          <w:sz w:val="20"/>
          <w:szCs w:val="20"/>
        </w:rPr>
        <w:t xml:space="preserve"> W takim przypadku ACPRO dokonuje weryfikacji przydzielonego profilu</w:t>
      </w:r>
      <w:r w:rsidR="009014C1" w:rsidRPr="00EB2E7B">
        <w:rPr>
          <w:rFonts w:asciiTheme="minorHAnsi" w:hAnsiTheme="minorHAnsi" w:cstheme="minorHAnsi"/>
          <w:b w:val="0"/>
          <w:sz w:val="20"/>
          <w:szCs w:val="20"/>
        </w:rPr>
        <w:t xml:space="preserve"> dla danego PPE</w:t>
      </w:r>
      <w:r w:rsidRPr="00EB2E7B">
        <w:rPr>
          <w:rFonts w:asciiTheme="minorHAnsi" w:hAnsiTheme="minorHAnsi" w:cstheme="minorHAnsi"/>
          <w:b w:val="0"/>
          <w:sz w:val="20"/>
          <w:szCs w:val="20"/>
        </w:rPr>
        <w:t xml:space="preserve"> </w:t>
      </w:r>
      <w:r w:rsidRPr="00EB2E7B">
        <w:rPr>
          <w:rFonts w:asciiTheme="minorHAnsi" w:hAnsiTheme="minorHAnsi" w:cstheme="minorHAnsi"/>
          <w:b w:val="0"/>
          <w:bCs w:val="0"/>
          <w:sz w:val="20"/>
          <w:szCs w:val="20"/>
        </w:rPr>
        <w:t>oraz planowanej ilość poboru energii elektrycznej i dokonuje odpowiednich zmian w Generalnej Umowie Dystrybucji, o któr</w:t>
      </w:r>
      <w:r w:rsidR="00461C91" w:rsidRPr="00EB2E7B">
        <w:rPr>
          <w:rFonts w:asciiTheme="minorHAnsi" w:hAnsiTheme="minorHAnsi" w:cstheme="minorHAnsi"/>
          <w:b w:val="0"/>
          <w:sz w:val="20"/>
          <w:szCs w:val="20"/>
        </w:rPr>
        <w:t>ej</w:t>
      </w:r>
      <w:r w:rsidRPr="00EB2E7B">
        <w:rPr>
          <w:rFonts w:asciiTheme="minorHAnsi" w:hAnsiTheme="minorHAnsi" w:cstheme="minorHAnsi"/>
          <w:b w:val="0"/>
          <w:sz w:val="20"/>
          <w:szCs w:val="20"/>
        </w:rPr>
        <w:t xml:space="preserve"> mowa w pkt. </w:t>
      </w:r>
      <w:r w:rsidR="0091784E" w:rsidRPr="00EB2E7B">
        <w:rPr>
          <w:rFonts w:asciiTheme="minorHAnsi" w:hAnsiTheme="minorHAnsi" w:cstheme="minorHAnsi"/>
          <w:b w:val="0"/>
          <w:bCs w:val="0"/>
          <w:sz w:val="20"/>
          <w:szCs w:val="20"/>
        </w:rPr>
        <w:fldChar w:fldCharType="begin"/>
      </w:r>
      <w:r w:rsidR="0091784E" w:rsidRPr="00EB2E7B">
        <w:rPr>
          <w:rFonts w:asciiTheme="minorHAnsi" w:hAnsiTheme="minorHAnsi" w:cstheme="minorHAnsi"/>
          <w:b w:val="0"/>
          <w:bCs w:val="0"/>
          <w:sz w:val="20"/>
          <w:szCs w:val="20"/>
        </w:rPr>
        <w:instrText xml:space="preserve"> REF _Ref190121800 \w \h  \* MERGEFORMAT </w:instrText>
      </w:r>
      <w:r w:rsidR="0091784E" w:rsidRPr="00EB2E7B">
        <w:rPr>
          <w:rFonts w:asciiTheme="minorHAnsi" w:hAnsiTheme="minorHAnsi" w:cstheme="minorHAnsi"/>
          <w:b w:val="0"/>
          <w:bCs w:val="0"/>
          <w:sz w:val="20"/>
          <w:szCs w:val="20"/>
        </w:rPr>
      </w:r>
      <w:r w:rsidR="0091784E"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G.3</w:t>
      </w:r>
      <w:r w:rsidR="0091784E" w:rsidRPr="00EB2E7B">
        <w:rPr>
          <w:rFonts w:asciiTheme="minorHAnsi" w:hAnsiTheme="minorHAnsi" w:cstheme="minorHAnsi"/>
          <w:b w:val="0"/>
          <w:bCs w:val="0"/>
          <w:sz w:val="20"/>
          <w:szCs w:val="20"/>
        </w:rPr>
        <w:fldChar w:fldCharType="end"/>
      </w:r>
      <w:r w:rsidRPr="00EB2E7B">
        <w:rPr>
          <w:rFonts w:asciiTheme="minorHAnsi" w:hAnsiTheme="minorHAnsi" w:cstheme="minorHAnsi"/>
          <w:b w:val="0"/>
          <w:bCs w:val="0"/>
          <w:sz w:val="20"/>
          <w:szCs w:val="20"/>
        </w:rPr>
        <w:t>.</w:t>
      </w:r>
      <w:bookmarkEnd w:id="686"/>
      <w:bookmarkEnd w:id="687"/>
    </w:p>
    <w:p w14:paraId="4ACA2F82" w14:textId="2F1F8CDA" w:rsidR="006A7955" w:rsidRPr="00EB2E7B" w:rsidRDefault="00A14541" w:rsidP="004D1C36">
      <w:pPr>
        <w:pStyle w:val="ANagwek2"/>
        <w:rPr>
          <w:rFonts w:asciiTheme="minorHAnsi" w:hAnsiTheme="minorHAnsi" w:cstheme="minorHAnsi"/>
          <w:b w:val="0"/>
          <w:sz w:val="20"/>
          <w:szCs w:val="20"/>
        </w:rPr>
      </w:pPr>
      <w:bookmarkStart w:id="688" w:name="_Toc189833822"/>
      <w:bookmarkStart w:id="689" w:name="_Toc239333426"/>
      <w:r w:rsidRPr="00EB2E7B">
        <w:rPr>
          <w:rFonts w:asciiTheme="minorHAnsi" w:hAnsiTheme="minorHAnsi" w:cstheme="minorHAnsi"/>
          <w:b w:val="0"/>
          <w:sz w:val="20"/>
          <w:szCs w:val="20"/>
        </w:rPr>
        <w:t>W przypadku, gdy okres rozliczenia niezbilansowania na Rynku Bilansującym jest krótszy niż jedna godzina, ustalenie ilości energii elektrycznej dla danego okresu rozliczania niezbilansowania dokonuje się dzieląc godzinow</w:t>
      </w:r>
      <w:r w:rsidR="005515C2" w:rsidRPr="00EB2E7B">
        <w:rPr>
          <w:rFonts w:asciiTheme="minorHAnsi" w:hAnsiTheme="minorHAnsi" w:cstheme="minorHAnsi"/>
          <w:b w:val="0"/>
          <w:sz w:val="20"/>
          <w:szCs w:val="20"/>
        </w:rPr>
        <w:t>e</w:t>
      </w:r>
      <w:r w:rsidRPr="00EB2E7B">
        <w:rPr>
          <w:rFonts w:asciiTheme="minorHAnsi" w:hAnsiTheme="minorHAnsi" w:cstheme="minorHAnsi"/>
          <w:b w:val="0"/>
          <w:sz w:val="20"/>
          <w:szCs w:val="20"/>
        </w:rPr>
        <w:t xml:space="preserve"> ilości energii elektrycznej po równo na zawierające się w tym okresie okresy rozliczania niezbilansowania</w:t>
      </w:r>
      <w:bookmarkEnd w:id="688"/>
      <w:bookmarkEnd w:id="689"/>
    </w:p>
    <w:p w14:paraId="0901E37A" w14:textId="77777777" w:rsidR="00196729" w:rsidRPr="00EB2E7B" w:rsidRDefault="00196729" w:rsidP="0074128A">
      <w:pPr>
        <w:ind w:left="70" w:firstLine="0"/>
        <w:rPr>
          <w:rFonts w:asciiTheme="minorHAnsi" w:hAnsiTheme="minorHAnsi" w:cstheme="minorHAnsi"/>
          <w:sz w:val="20"/>
          <w:szCs w:val="20"/>
        </w:rPr>
      </w:pPr>
    </w:p>
    <w:p w14:paraId="2C5EB9C7" w14:textId="77777777" w:rsidR="00E43F94" w:rsidRPr="00E43F94" w:rsidRDefault="00E43F94" w:rsidP="00E43F94">
      <w:pPr>
        <w:pStyle w:val="Tekstpodstawowy"/>
        <w:keepNext/>
        <w:spacing w:after="60"/>
        <w:rPr>
          <w:rFonts w:asciiTheme="minorHAnsi" w:hAnsiTheme="minorHAnsi" w:cstheme="minorHAnsi"/>
          <w:b/>
          <w:bCs/>
          <w:sz w:val="20"/>
        </w:rPr>
      </w:pPr>
      <w:r w:rsidRPr="00E43F94">
        <w:rPr>
          <w:rFonts w:asciiTheme="minorHAnsi" w:hAnsiTheme="minorHAnsi" w:cstheme="minorHAnsi"/>
          <w:b/>
          <w:bCs/>
          <w:sz w:val="20"/>
        </w:rPr>
        <w:lastRenderedPageBreak/>
        <w:t>Tabela T1. Profil standardowy:</w:t>
      </w:r>
      <w:r w:rsidRPr="00E43F94">
        <w:rPr>
          <w:rFonts w:asciiTheme="minorHAnsi" w:hAnsiTheme="minorHAnsi" w:cstheme="minorHAnsi"/>
          <w:sz w:val="22"/>
          <w:szCs w:val="18"/>
        </w:rPr>
        <w:t xml:space="preserve"> </w:t>
      </w:r>
      <w:r w:rsidRPr="00E43F94">
        <w:rPr>
          <w:rFonts w:asciiTheme="minorHAnsi" w:hAnsiTheme="minorHAnsi" w:cstheme="minorHAnsi"/>
          <w:b/>
          <w:bCs/>
          <w:sz w:val="20"/>
        </w:rPr>
        <w:t>Odbiorcy z grup taryfowych: G11, C11, C11s, C11em, G12/G12as i C12a/C12b</w:t>
      </w:r>
    </w:p>
    <w:tbl>
      <w:tblPr>
        <w:tblW w:w="4957" w:type="dxa"/>
        <w:jc w:val="center"/>
        <w:tblCellMar>
          <w:left w:w="70" w:type="dxa"/>
          <w:right w:w="70" w:type="dxa"/>
        </w:tblCellMar>
        <w:tblLook w:val="04A0" w:firstRow="1" w:lastRow="0" w:firstColumn="1" w:lastColumn="0" w:noHBand="0" w:noVBand="1"/>
      </w:tblPr>
      <w:tblGrid>
        <w:gridCol w:w="1391"/>
        <w:gridCol w:w="1865"/>
        <w:gridCol w:w="1701"/>
      </w:tblGrid>
      <w:tr w:rsidR="00E43F94" w:rsidRPr="00E43F94" w14:paraId="192DB13B" w14:textId="77777777" w:rsidTr="00EC5D8D">
        <w:trPr>
          <w:cantSplit/>
          <w:trHeight w:val="300"/>
          <w:tblHeader/>
          <w:jc w:val="center"/>
        </w:trPr>
        <w:tc>
          <w:tcPr>
            <w:tcW w:w="1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09D54B" w14:textId="77777777" w:rsidR="00E43F94" w:rsidRPr="00E43F94" w:rsidRDefault="00E43F94" w:rsidP="00EC5D8D">
            <w:pPr>
              <w:keepLines/>
              <w:spacing w:after="0"/>
              <w:ind w:left="0" w:firstLine="0"/>
              <w:jc w:val="center"/>
              <w:rPr>
                <w:rFonts w:asciiTheme="minorHAnsi" w:hAnsiTheme="minorHAnsi" w:cstheme="minorHAnsi"/>
                <w:b/>
                <w:bCs/>
                <w:sz w:val="20"/>
                <w:szCs w:val="20"/>
              </w:rPr>
            </w:pPr>
            <w:r w:rsidRPr="00E43F94">
              <w:rPr>
                <w:rFonts w:asciiTheme="minorHAnsi" w:hAnsiTheme="minorHAnsi" w:cstheme="minorHAnsi"/>
                <w:b/>
                <w:bCs/>
                <w:sz w:val="20"/>
                <w:szCs w:val="20"/>
              </w:rPr>
              <w:t>Godziny doby</w:t>
            </w:r>
          </w:p>
        </w:tc>
        <w:tc>
          <w:tcPr>
            <w:tcW w:w="18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487B76" w14:textId="77777777" w:rsidR="00E43F94" w:rsidRPr="00E43F94" w:rsidRDefault="00E43F94" w:rsidP="00EC5D8D">
            <w:pPr>
              <w:keepLines/>
              <w:spacing w:after="0"/>
              <w:ind w:left="0" w:firstLine="0"/>
              <w:jc w:val="center"/>
              <w:rPr>
                <w:rFonts w:asciiTheme="minorHAnsi" w:hAnsiTheme="minorHAnsi" w:cstheme="minorHAnsi"/>
                <w:b/>
                <w:bCs/>
                <w:sz w:val="20"/>
                <w:szCs w:val="20"/>
              </w:rPr>
            </w:pPr>
            <w:r w:rsidRPr="00E43F94">
              <w:rPr>
                <w:rFonts w:asciiTheme="minorHAnsi" w:hAnsiTheme="minorHAnsi" w:cstheme="minorHAnsi"/>
                <w:b/>
                <w:bCs/>
                <w:sz w:val="20"/>
                <w:szCs w:val="20"/>
              </w:rPr>
              <w:t>Dni tygodnia od poniedziałku do piątku</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CB50FD9" w14:textId="77777777" w:rsidR="00E43F94" w:rsidRPr="00E43F94" w:rsidRDefault="00E43F94" w:rsidP="00EC5D8D">
            <w:pPr>
              <w:keepLines/>
              <w:spacing w:after="0"/>
              <w:ind w:left="0" w:firstLine="0"/>
              <w:jc w:val="center"/>
              <w:rPr>
                <w:rFonts w:asciiTheme="minorHAnsi" w:hAnsiTheme="minorHAnsi" w:cstheme="minorHAnsi"/>
                <w:b/>
                <w:bCs/>
                <w:sz w:val="20"/>
                <w:szCs w:val="20"/>
              </w:rPr>
            </w:pPr>
            <w:r w:rsidRPr="00E43F94">
              <w:rPr>
                <w:rFonts w:asciiTheme="minorHAnsi" w:hAnsiTheme="minorHAnsi" w:cstheme="minorHAnsi"/>
                <w:b/>
                <w:bCs/>
                <w:sz w:val="20"/>
                <w:szCs w:val="20"/>
              </w:rPr>
              <w:t>Dni tygodnia od soboty do niedzieli</w:t>
            </w:r>
          </w:p>
        </w:tc>
      </w:tr>
      <w:tr w:rsidR="00E43F94" w:rsidRPr="00E43F94" w14:paraId="138C6959"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08F4DD28"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w:t>
            </w:r>
          </w:p>
        </w:tc>
        <w:tc>
          <w:tcPr>
            <w:tcW w:w="1865" w:type="dxa"/>
            <w:tcBorders>
              <w:top w:val="nil"/>
              <w:left w:val="nil"/>
              <w:bottom w:val="single" w:sz="4" w:space="0" w:color="auto"/>
              <w:right w:val="single" w:sz="4" w:space="0" w:color="auto"/>
            </w:tcBorders>
            <w:noWrap/>
            <w:vAlign w:val="center"/>
            <w:hideMark/>
          </w:tcPr>
          <w:p w14:paraId="34D50E44"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0,016</w:t>
            </w:r>
          </w:p>
        </w:tc>
        <w:tc>
          <w:tcPr>
            <w:tcW w:w="1701" w:type="dxa"/>
            <w:tcBorders>
              <w:top w:val="nil"/>
              <w:left w:val="nil"/>
              <w:bottom w:val="single" w:sz="4" w:space="0" w:color="auto"/>
              <w:right w:val="single" w:sz="4" w:space="0" w:color="auto"/>
            </w:tcBorders>
            <w:noWrap/>
            <w:vAlign w:val="center"/>
            <w:hideMark/>
          </w:tcPr>
          <w:p w14:paraId="6C910C29"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0,008</w:t>
            </w:r>
          </w:p>
        </w:tc>
      </w:tr>
      <w:tr w:rsidR="00E43F94" w:rsidRPr="00E43F94" w14:paraId="7708B38A"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0CB236E7"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2</w:t>
            </w:r>
          </w:p>
        </w:tc>
        <w:tc>
          <w:tcPr>
            <w:tcW w:w="1865" w:type="dxa"/>
            <w:tcBorders>
              <w:top w:val="nil"/>
              <w:left w:val="nil"/>
              <w:bottom w:val="single" w:sz="4" w:space="0" w:color="auto"/>
              <w:right w:val="single" w:sz="4" w:space="0" w:color="auto"/>
            </w:tcBorders>
            <w:noWrap/>
            <w:vAlign w:val="center"/>
            <w:hideMark/>
          </w:tcPr>
          <w:p w14:paraId="2BF0FEE8"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0,016</w:t>
            </w:r>
          </w:p>
        </w:tc>
        <w:tc>
          <w:tcPr>
            <w:tcW w:w="1701" w:type="dxa"/>
            <w:tcBorders>
              <w:top w:val="nil"/>
              <w:left w:val="nil"/>
              <w:bottom w:val="single" w:sz="4" w:space="0" w:color="auto"/>
              <w:right w:val="single" w:sz="4" w:space="0" w:color="auto"/>
            </w:tcBorders>
            <w:noWrap/>
            <w:vAlign w:val="center"/>
            <w:hideMark/>
          </w:tcPr>
          <w:p w14:paraId="576FCC97"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0,008</w:t>
            </w:r>
          </w:p>
        </w:tc>
      </w:tr>
      <w:tr w:rsidR="00E43F94" w:rsidRPr="00E43F94" w14:paraId="086342FA"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23DCAA8C"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3</w:t>
            </w:r>
          </w:p>
        </w:tc>
        <w:tc>
          <w:tcPr>
            <w:tcW w:w="1865" w:type="dxa"/>
            <w:tcBorders>
              <w:top w:val="nil"/>
              <w:left w:val="nil"/>
              <w:bottom w:val="single" w:sz="4" w:space="0" w:color="auto"/>
              <w:right w:val="single" w:sz="4" w:space="0" w:color="auto"/>
            </w:tcBorders>
            <w:noWrap/>
            <w:vAlign w:val="center"/>
            <w:hideMark/>
          </w:tcPr>
          <w:p w14:paraId="6387889C"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0,015</w:t>
            </w:r>
          </w:p>
        </w:tc>
        <w:tc>
          <w:tcPr>
            <w:tcW w:w="1701" w:type="dxa"/>
            <w:tcBorders>
              <w:top w:val="nil"/>
              <w:left w:val="nil"/>
              <w:bottom w:val="single" w:sz="4" w:space="0" w:color="auto"/>
              <w:right w:val="single" w:sz="4" w:space="0" w:color="auto"/>
            </w:tcBorders>
            <w:noWrap/>
            <w:vAlign w:val="center"/>
            <w:hideMark/>
          </w:tcPr>
          <w:p w14:paraId="6190BB0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0,008</w:t>
            </w:r>
          </w:p>
        </w:tc>
      </w:tr>
      <w:tr w:rsidR="00E43F94" w:rsidRPr="00E43F94" w14:paraId="1A4412B1"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630D1EF9"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4</w:t>
            </w:r>
          </w:p>
        </w:tc>
        <w:tc>
          <w:tcPr>
            <w:tcW w:w="1865" w:type="dxa"/>
            <w:tcBorders>
              <w:top w:val="nil"/>
              <w:left w:val="nil"/>
              <w:bottom w:val="single" w:sz="4" w:space="0" w:color="auto"/>
              <w:right w:val="single" w:sz="4" w:space="0" w:color="auto"/>
            </w:tcBorders>
            <w:noWrap/>
            <w:vAlign w:val="center"/>
            <w:hideMark/>
          </w:tcPr>
          <w:p w14:paraId="096A3278"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0,015</w:t>
            </w:r>
          </w:p>
        </w:tc>
        <w:tc>
          <w:tcPr>
            <w:tcW w:w="1701" w:type="dxa"/>
            <w:tcBorders>
              <w:top w:val="nil"/>
              <w:left w:val="nil"/>
              <w:bottom w:val="single" w:sz="4" w:space="0" w:color="auto"/>
              <w:right w:val="single" w:sz="4" w:space="0" w:color="auto"/>
            </w:tcBorders>
            <w:noWrap/>
            <w:vAlign w:val="center"/>
            <w:hideMark/>
          </w:tcPr>
          <w:p w14:paraId="4A1ECA4F"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0,008</w:t>
            </w:r>
          </w:p>
        </w:tc>
      </w:tr>
      <w:tr w:rsidR="00E43F94" w:rsidRPr="00E43F94" w14:paraId="08DEA61B"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408DC98C"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5</w:t>
            </w:r>
          </w:p>
        </w:tc>
        <w:tc>
          <w:tcPr>
            <w:tcW w:w="1865" w:type="dxa"/>
            <w:tcBorders>
              <w:top w:val="nil"/>
              <w:left w:val="nil"/>
              <w:bottom w:val="single" w:sz="4" w:space="0" w:color="auto"/>
              <w:right w:val="single" w:sz="4" w:space="0" w:color="auto"/>
            </w:tcBorders>
            <w:noWrap/>
            <w:vAlign w:val="center"/>
            <w:hideMark/>
          </w:tcPr>
          <w:p w14:paraId="1A79D10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0,015</w:t>
            </w:r>
          </w:p>
        </w:tc>
        <w:tc>
          <w:tcPr>
            <w:tcW w:w="1701" w:type="dxa"/>
            <w:tcBorders>
              <w:top w:val="nil"/>
              <w:left w:val="nil"/>
              <w:bottom w:val="single" w:sz="4" w:space="0" w:color="auto"/>
              <w:right w:val="single" w:sz="4" w:space="0" w:color="auto"/>
            </w:tcBorders>
            <w:noWrap/>
            <w:vAlign w:val="center"/>
            <w:hideMark/>
          </w:tcPr>
          <w:p w14:paraId="4E5408B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0,007</w:t>
            </w:r>
          </w:p>
        </w:tc>
      </w:tr>
      <w:tr w:rsidR="00E43F94" w:rsidRPr="00E43F94" w14:paraId="3B32A8CF"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6096FC9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6</w:t>
            </w:r>
          </w:p>
        </w:tc>
        <w:tc>
          <w:tcPr>
            <w:tcW w:w="1865" w:type="dxa"/>
            <w:tcBorders>
              <w:top w:val="nil"/>
              <w:left w:val="nil"/>
              <w:bottom w:val="single" w:sz="4" w:space="0" w:color="auto"/>
              <w:right w:val="single" w:sz="4" w:space="0" w:color="auto"/>
            </w:tcBorders>
            <w:noWrap/>
            <w:vAlign w:val="center"/>
            <w:hideMark/>
          </w:tcPr>
          <w:p w14:paraId="1B647809"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0,015</w:t>
            </w:r>
          </w:p>
        </w:tc>
        <w:tc>
          <w:tcPr>
            <w:tcW w:w="1701" w:type="dxa"/>
            <w:tcBorders>
              <w:top w:val="nil"/>
              <w:left w:val="nil"/>
              <w:bottom w:val="single" w:sz="4" w:space="0" w:color="auto"/>
              <w:right w:val="single" w:sz="4" w:space="0" w:color="auto"/>
            </w:tcBorders>
            <w:noWrap/>
            <w:vAlign w:val="center"/>
            <w:hideMark/>
          </w:tcPr>
          <w:p w14:paraId="785DA29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0,008</w:t>
            </w:r>
          </w:p>
        </w:tc>
      </w:tr>
      <w:tr w:rsidR="00E43F94" w:rsidRPr="00E43F94" w14:paraId="599279BE"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2182EB16"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7</w:t>
            </w:r>
          </w:p>
        </w:tc>
        <w:tc>
          <w:tcPr>
            <w:tcW w:w="1865" w:type="dxa"/>
            <w:tcBorders>
              <w:top w:val="nil"/>
              <w:left w:val="nil"/>
              <w:bottom w:val="single" w:sz="4" w:space="0" w:color="auto"/>
              <w:right w:val="single" w:sz="4" w:space="0" w:color="auto"/>
            </w:tcBorders>
            <w:noWrap/>
            <w:vAlign w:val="center"/>
            <w:hideMark/>
          </w:tcPr>
          <w:p w14:paraId="3681755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0,017</w:t>
            </w:r>
          </w:p>
        </w:tc>
        <w:tc>
          <w:tcPr>
            <w:tcW w:w="1701" w:type="dxa"/>
            <w:tcBorders>
              <w:top w:val="nil"/>
              <w:left w:val="nil"/>
              <w:bottom w:val="single" w:sz="4" w:space="0" w:color="auto"/>
              <w:right w:val="single" w:sz="4" w:space="0" w:color="auto"/>
            </w:tcBorders>
            <w:noWrap/>
            <w:vAlign w:val="center"/>
            <w:hideMark/>
          </w:tcPr>
          <w:p w14:paraId="1F7EABD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0,008</w:t>
            </w:r>
          </w:p>
        </w:tc>
      </w:tr>
      <w:tr w:rsidR="00E43F94" w:rsidRPr="00E43F94" w14:paraId="7347B112"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635561C9"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8</w:t>
            </w:r>
          </w:p>
        </w:tc>
        <w:tc>
          <w:tcPr>
            <w:tcW w:w="1865" w:type="dxa"/>
            <w:tcBorders>
              <w:top w:val="nil"/>
              <w:left w:val="nil"/>
              <w:bottom w:val="single" w:sz="4" w:space="0" w:color="auto"/>
              <w:right w:val="single" w:sz="4" w:space="0" w:color="auto"/>
            </w:tcBorders>
            <w:noWrap/>
            <w:vAlign w:val="center"/>
            <w:hideMark/>
          </w:tcPr>
          <w:p w14:paraId="5D954E35"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0,020</w:t>
            </w:r>
          </w:p>
        </w:tc>
        <w:tc>
          <w:tcPr>
            <w:tcW w:w="1701" w:type="dxa"/>
            <w:tcBorders>
              <w:top w:val="nil"/>
              <w:left w:val="nil"/>
              <w:bottom w:val="single" w:sz="4" w:space="0" w:color="auto"/>
              <w:right w:val="single" w:sz="4" w:space="0" w:color="auto"/>
            </w:tcBorders>
            <w:noWrap/>
            <w:vAlign w:val="center"/>
            <w:hideMark/>
          </w:tcPr>
          <w:p w14:paraId="43E64090"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0,011</w:t>
            </w:r>
          </w:p>
        </w:tc>
      </w:tr>
      <w:tr w:rsidR="00E43F94" w:rsidRPr="00E43F94" w14:paraId="061266D3"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2060FACC"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9</w:t>
            </w:r>
          </w:p>
        </w:tc>
        <w:tc>
          <w:tcPr>
            <w:tcW w:w="1865" w:type="dxa"/>
            <w:tcBorders>
              <w:top w:val="nil"/>
              <w:left w:val="nil"/>
              <w:bottom w:val="single" w:sz="4" w:space="0" w:color="auto"/>
              <w:right w:val="single" w:sz="4" w:space="0" w:color="auto"/>
            </w:tcBorders>
            <w:noWrap/>
            <w:vAlign w:val="center"/>
            <w:hideMark/>
          </w:tcPr>
          <w:p w14:paraId="4382364E"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0,040</w:t>
            </w:r>
          </w:p>
        </w:tc>
        <w:tc>
          <w:tcPr>
            <w:tcW w:w="1701" w:type="dxa"/>
            <w:tcBorders>
              <w:top w:val="nil"/>
              <w:left w:val="nil"/>
              <w:bottom w:val="single" w:sz="4" w:space="0" w:color="auto"/>
              <w:right w:val="single" w:sz="4" w:space="0" w:color="auto"/>
            </w:tcBorders>
            <w:noWrap/>
            <w:vAlign w:val="center"/>
            <w:hideMark/>
          </w:tcPr>
          <w:p w14:paraId="756A322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0,022</w:t>
            </w:r>
          </w:p>
        </w:tc>
      </w:tr>
      <w:tr w:rsidR="00E43F94" w:rsidRPr="00E43F94" w14:paraId="6227456D"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0AFF54BE"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10</w:t>
            </w:r>
          </w:p>
        </w:tc>
        <w:tc>
          <w:tcPr>
            <w:tcW w:w="1865" w:type="dxa"/>
            <w:tcBorders>
              <w:top w:val="nil"/>
              <w:left w:val="nil"/>
              <w:bottom w:val="single" w:sz="4" w:space="0" w:color="auto"/>
              <w:right w:val="single" w:sz="4" w:space="0" w:color="auto"/>
            </w:tcBorders>
            <w:noWrap/>
            <w:vAlign w:val="center"/>
            <w:hideMark/>
          </w:tcPr>
          <w:p w14:paraId="0062B75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0,054</w:t>
            </w:r>
          </w:p>
        </w:tc>
        <w:tc>
          <w:tcPr>
            <w:tcW w:w="1701" w:type="dxa"/>
            <w:tcBorders>
              <w:top w:val="nil"/>
              <w:left w:val="nil"/>
              <w:bottom w:val="single" w:sz="4" w:space="0" w:color="auto"/>
              <w:right w:val="single" w:sz="4" w:space="0" w:color="auto"/>
            </w:tcBorders>
            <w:noWrap/>
            <w:vAlign w:val="center"/>
            <w:hideMark/>
          </w:tcPr>
          <w:p w14:paraId="661F8467"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0,026</w:t>
            </w:r>
          </w:p>
        </w:tc>
      </w:tr>
      <w:tr w:rsidR="00E43F94" w:rsidRPr="00E43F94" w14:paraId="50FAB9BB"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179F3EF1"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11</w:t>
            </w:r>
          </w:p>
        </w:tc>
        <w:tc>
          <w:tcPr>
            <w:tcW w:w="1865" w:type="dxa"/>
            <w:tcBorders>
              <w:top w:val="nil"/>
              <w:left w:val="nil"/>
              <w:bottom w:val="single" w:sz="4" w:space="0" w:color="auto"/>
              <w:right w:val="single" w:sz="4" w:space="0" w:color="auto"/>
            </w:tcBorders>
            <w:noWrap/>
            <w:vAlign w:val="center"/>
            <w:hideMark/>
          </w:tcPr>
          <w:p w14:paraId="533E5CF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0,058</w:t>
            </w:r>
          </w:p>
        </w:tc>
        <w:tc>
          <w:tcPr>
            <w:tcW w:w="1701" w:type="dxa"/>
            <w:tcBorders>
              <w:top w:val="nil"/>
              <w:left w:val="nil"/>
              <w:bottom w:val="single" w:sz="4" w:space="0" w:color="auto"/>
              <w:right w:val="single" w:sz="4" w:space="0" w:color="auto"/>
            </w:tcBorders>
            <w:noWrap/>
            <w:vAlign w:val="center"/>
            <w:hideMark/>
          </w:tcPr>
          <w:p w14:paraId="1A808F00"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0,032</w:t>
            </w:r>
          </w:p>
        </w:tc>
      </w:tr>
      <w:tr w:rsidR="00E43F94" w:rsidRPr="00E43F94" w14:paraId="39A98422"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3DB426C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12</w:t>
            </w:r>
          </w:p>
        </w:tc>
        <w:tc>
          <w:tcPr>
            <w:tcW w:w="1865" w:type="dxa"/>
            <w:tcBorders>
              <w:top w:val="nil"/>
              <w:left w:val="nil"/>
              <w:bottom w:val="single" w:sz="4" w:space="0" w:color="auto"/>
              <w:right w:val="single" w:sz="4" w:space="0" w:color="auto"/>
            </w:tcBorders>
            <w:noWrap/>
            <w:vAlign w:val="center"/>
            <w:hideMark/>
          </w:tcPr>
          <w:p w14:paraId="433FA290"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0,048</w:t>
            </w:r>
          </w:p>
        </w:tc>
        <w:tc>
          <w:tcPr>
            <w:tcW w:w="1701" w:type="dxa"/>
            <w:tcBorders>
              <w:top w:val="nil"/>
              <w:left w:val="nil"/>
              <w:bottom w:val="single" w:sz="4" w:space="0" w:color="auto"/>
              <w:right w:val="single" w:sz="4" w:space="0" w:color="auto"/>
            </w:tcBorders>
            <w:noWrap/>
            <w:vAlign w:val="center"/>
            <w:hideMark/>
          </w:tcPr>
          <w:p w14:paraId="7B4C5017"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0,030</w:t>
            </w:r>
          </w:p>
        </w:tc>
      </w:tr>
      <w:tr w:rsidR="00E43F94" w:rsidRPr="00E43F94" w14:paraId="73D11931"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373ED6E8"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13</w:t>
            </w:r>
          </w:p>
        </w:tc>
        <w:tc>
          <w:tcPr>
            <w:tcW w:w="1865" w:type="dxa"/>
            <w:tcBorders>
              <w:top w:val="nil"/>
              <w:left w:val="nil"/>
              <w:bottom w:val="single" w:sz="4" w:space="0" w:color="auto"/>
              <w:right w:val="single" w:sz="4" w:space="0" w:color="auto"/>
            </w:tcBorders>
            <w:noWrap/>
            <w:vAlign w:val="center"/>
            <w:hideMark/>
          </w:tcPr>
          <w:p w14:paraId="00C751DC"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0,047</w:t>
            </w:r>
          </w:p>
        </w:tc>
        <w:tc>
          <w:tcPr>
            <w:tcW w:w="1701" w:type="dxa"/>
            <w:tcBorders>
              <w:top w:val="nil"/>
              <w:left w:val="nil"/>
              <w:bottom w:val="single" w:sz="4" w:space="0" w:color="auto"/>
              <w:right w:val="single" w:sz="4" w:space="0" w:color="auto"/>
            </w:tcBorders>
            <w:noWrap/>
            <w:vAlign w:val="center"/>
            <w:hideMark/>
          </w:tcPr>
          <w:p w14:paraId="799C14A6"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0,030</w:t>
            </w:r>
          </w:p>
        </w:tc>
      </w:tr>
      <w:tr w:rsidR="00E43F94" w:rsidRPr="00E43F94" w14:paraId="56530B3A"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37C05FF7"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14</w:t>
            </w:r>
          </w:p>
        </w:tc>
        <w:tc>
          <w:tcPr>
            <w:tcW w:w="1865" w:type="dxa"/>
            <w:tcBorders>
              <w:top w:val="nil"/>
              <w:left w:val="nil"/>
              <w:bottom w:val="single" w:sz="4" w:space="0" w:color="auto"/>
              <w:right w:val="single" w:sz="4" w:space="0" w:color="auto"/>
            </w:tcBorders>
            <w:noWrap/>
            <w:vAlign w:val="center"/>
            <w:hideMark/>
          </w:tcPr>
          <w:p w14:paraId="6A2E679C"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0,048</w:t>
            </w:r>
          </w:p>
        </w:tc>
        <w:tc>
          <w:tcPr>
            <w:tcW w:w="1701" w:type="dxa"/>
            <w:tcBorders>
              <w:top w:val="nil"/>
              <w:left w:val="nil"/>
              <w:bottom w:val="single" w:sz="4" w:space="0" w:color="auto"/>
              <w:right w:val="single" w:sz="4" w:space="0" w:color="auto"/>
            </w:tcBorders>
            <w:noWrap/>
            <w:vAlign w:val="center"/>
            <w:hideMark/>
          </w:tcPr>
          <w:p w14:paraId="1149C68F"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0,032</w:t>
            </w:r>
          </w:p>
        </w:tc>
      </w:tr>
      <w:tr w:rsidR="00E43F94" w:rsidRPr="00E43F94" w14:paraId="6E49A505"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4AE2A18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15</w:t>
            </w:r>
          </w:p>
        </w:tc>
        <w:tc>
          <w:tcPr>
            <w:tcW w:w="1865" w:type="dxa"/>
            <w:tcBorders>
              <w:top w:val="nil"/>
              <w:left w:val="nil"/>
              <w:bottom w:val="single" w:sz="4" w:space="0" w:color="auto"/>
              <w:right w:val="single" w:sz="4" w:space="0" w:color="auto"/>
            </w:tcBorders>
            <w:noWrap/>
            <w:vAlign w:val="center"/>
            <w:hideMark/>
          </w:tcPr>
          <w:p w14:paraId="735AF89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0,040</w:t>
            </w:r>
          </w:p>
        </w:tc>
        <w:tc>
          <w:tcPr>
            <w:tcW w:w="1701" w:type="dxa"/>
            <w:tcBorders>
              <w:top w:val="nil"/>
              <w:left w:val="nil"/>
              <w:bottom w:val="single" w:sz="4" w:space="0" w:color="auto"/>
              <w:right w:val="single" w:sz="4" w:space="0" w:color="auto"/>
            </w:tcBorders>
            <w:noWrap/>
            <w:vAlign w:val="center"/>
            <w:hideMark/>
          </w:tcPr>
          <w:p w14:paraId="03FF2561"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0,025</w:t>
            </w:r>
          </w:p>
        </w:tc>
      </w:tr>
      <w:tr w:rsidR="00E43F94" w:rsidRPr="00E43F94" w14:paraId="656AFF13"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1A4CA628"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16</w:t>
            </w:r>
          </w:p>
        </w:tc>
        <w:tc>
          <w:tcPr>
            <w:tcW w:w="1865" w:type="dxa"/>
            <w:tcBorders>
              <w:top w:val="nil"/>
              <w:left w:val="nil"/>
              <w:bottom w:val="single" w:sz="4" w:space="0" w:color="auto"/>
              <w:right w:val="single" w:sz="4" w:space="0" w:color="auto"/>
            </w:tcBorders>
            <w:noWrap/>
            <w:vAlign w:val="center"/>
            <w:hideMark/>
          </w:tcPr>
          <w:p w14:paraId="098F1165"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0,029</w:t>
            </w:r>
          </w:p>
        </w:tc>
        <w:tc>
          <w:tcPr>
            <w:tcW w:w="1701" w:type="dxa"/>
            <w:tcBorders>
              <w:top w:val="nil"/>
              <w:left w:val="nil"/>
              <w:bottom w:val="single" w:sz="4" w:space="0" w:color="auto"/>
              <w:right w:val="single" w:sz="4" w:space="0" w:color="auto"/>
            </w:tcBorders>
            <w:noWrap/>
            <w:vAlign w:val="center"/>
            <w:hideMark/>
          </w:tcPr>
          <w:p w14:paraId="509B0065"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0,018</w:t>
            </w:r>
          </w:p>
        </w:tc>
      </w:tr>
      <w:tr w:rsidR="00E43F94" w:rsidRPr="00E43F94" w14:paraId="6EA3CC46"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54C87AAE"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17</w:t>
            </w:r>
          </w:p>
        </w:tc>
        <w:tc>
          <w:tcPr>
            <w:tcW w:w="1865" w:type="dxa"/>
            <w:tcBorders>
              <w:top w:val="nil"/>
              <w:left w:val="nil"/>
              <w:bottom w:val="single" w:sz="4" w:space="0" w:color="auto"/>
              <w:right w:val="single" w:sz="4" w:space="0" w:color="auto"/>
            </w:tcBorders>
            <w:noWrap/>
            <w:vAlign w:val="center"/>
            <w:hideMark/>
          </w:tcPr>
          <w:p w14:paraId="2A174BF0"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0,020</w:t>
            </w:r>
          </w:p>
        </w:tc>
        <w:tc>
          <w:tcPr>
            <w:tcW w:w="1701" w:type="dxa"/>
            <w:tcBorders>
              <w:top w:val="nil"/>
              <w:left w:val="nil"/>
              <w:bottom w:val="single" w:sz="4" w:space="0" w:color="auto"/>
              <w:right w:val="single" w:sz="4" w:space="0" w:color="auto"/>
            </w:tcBorders>
            <w:noWrap/>
            <w:vAlign w:val="center"/>
            <w:hideMark/>
          </w:tcPr>
          <w:p w14:paraId="5AC91126"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0,013</w:t>
            </w:r>
          </w:p>
        </w:tc>
      </w:tr>
      <w:tr w:rsidR="00E43F94" w:rsidRPr="00E43F94" w14:paraId="7B04DB3A"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1CE081BB"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18</w:t>
            </w:r>
          </w:p>
        </w:tc>
        <w:tc>
          <w:tcPr>
            <w:tcW w:w="1865" w:type="dxa"/>
            <w:tcBorders>
              <w:top w:val="nil"/>
              <w:left w:val="nil"/>
              <w:bottom w:val="single" w:sz="4" w:space="0" w:color="auto"/>
              <w:right w:val="single" w:sz="4" w:space="0" w:color="auto"/>
            </w:tcBorders>
            <w:noWrap/>
            <w:vAlign w:val="center"/>
            <w:hideMark/>
          </w:tcPr>
          <w:p w14:paraId="6BDDB6C7"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0,019</w:t>
            </w:r>
          </w:p>
        </w:tc>
        <w:tc>
          <w:tcPr>
            <w:tcW w:w="1701" w:type="dxa"/>
            <w:tcBorders>
              <w:top w:val="nil"/>
              <w:left w:val="nil"/>
              <w:bottom w:val="single" w:sz="4" w:space="0" w:color="auto"/>
              <w:right w:val="single" w:sz="4" w:space="0" w:color="auto"/>
            </w:tcBorders>
            <w:noWrap/>
            <w:vAlign w:val="center"/>
            <w:hideMark/>
          </w:tcPr>
          <w:p w14:paraId="33B9D3F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0,011</w:t>
            </w:r>
          </w:p>
        </w:tc>
      </w:tr>
      <w:tr w:rsidR="00E43F94" w:rsidRPr="00E43F94" w14:paraId="2C0BCDBF"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045B4AFE"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19</w:t>
            </w:r>
          </w:p>
        </w:tc>
        <w:tc>
          <w:tcPr>
            <w:tcW w:w="1865" w:type="dxa"/>
            <w:tcBorders>
              <w:top w:val="nil"/>
              <w:left w:val="nil"/>
              <w:bottom w:val="single" w:sz="4" w:space="0" w:color="auto"/>
              <w:right w:val="single" w:sz="4" w:space="0" w:color="auto"/>
            </w:tcBorders>
            <w:noWrap/>
            <w:vAlign w:val="center"/>
            <w:hideMark/>
          </w:tcPr>
          <w:p w14:paraId="3D589CC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0,018</w:t>
            </w:r>
          </w:p>
        </w:tc>
        <w:tc>
          <w:tcPr>
            <w:tcW w:w="1701" w:type="dxa"/>
            <w:tcBorders>
              <w:top w:val="nil"/>
              <w:left w:val="nil"/>
              <w:bottom w:val="single" w:sz="4" w:space="0" w:color="auto"/>
              <w:right w:val="single" w:sz="4" w:space="0" w:color="auto"/>
            </w:tcBorders>
            <w:noWrap/>
            <w:vAlign w:val="center"/>
            <w:hideMark/>
          </w:tcPr>
          <w:p w14:paraId="0B8297F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0,011</w:t>
            </w:r>
          </w:p>
        </w:tc>
      </w:tr>
      <w:tr w:rsidR="00E43F94" w:rsidRPr="00E43F94" w14:paraId="1B2D2577"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5BE0E004"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20</w:t>
            </w:r>
          </w:p>
        </w:tc>
        <w:tc>
          <w:tcPr>
            <w:tcW w:w="1865" w:type="dxa"/>
            <w:tcBorders>
              <w:top w:val="nil"/>
              <w:left w:val="nil"/>
              <w:bottom w:val="single" w:sz="4" w:space="0" w:color="auto"/>
              <w:right w:val="single" w:sz="4" w:space="0" w:color="auto"/>
            </w:tcBorders>
            <w:noWrap/>
            <w:vAlign w:val="center"/>
            <w:hideMark/>
          </w:tcPr>
          <w:p w14:paraId="5CFEEC2B"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0,018</w:t>
            </w:r>
          </w:p>
        </w:tc>
        <w:tc>
          <w:tcPr>
            <w:tcW w:w="1701" w:type="dxa"/>
            <w:tcBorders>
              <w:top w:val="nil"/>
              <w:left w:val="nil"/>
              <w:bottom w:val="single" w:sz="4" w:space="0" w:color="auto"/>
              <w:right w:val="single" w:sz="4" w:space="0" w:color="auto"/>
            </w:tcBorders>
            <w:noWrap/>
            <w:vAlign w:val="center"/>
            <w:hideMark/>
          </w:tcPr>
          <w:p w14:paraId="3AB70AFB"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0,010</w:t>
            </w:r>
          </w:p>
        </w:tc>
      </w:tr>
      <w:tr w:rsidR="00E43F94" w:rsidRPr="00E43F94" w14:paraId="7542CDD9"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2E02F76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21</w:t>
            </w:r>
          </w:p>
        </w:tc>
        <w:tc>
          <w:tcPr>
            <w:tcW w:w="1865" w:type="dxa"/>
            <w:tcBorders>
              <w:top w:val="nil"/>
              <w:left w:val="nil"/>
              <w:bottom w:val="single" w:sz="4" w:space="0" w:color="auto"/>
              <w:right w:val="single" w:sz="4" w:space="0" w:color="auto"/>
            </w:tcBorders>
            <w:noWrap/>
            <w:vAlign w:val="center"/>
            <w:hideMark/>
          </w:tcPr>
          <w:p w14:paraId="42D94A6F"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0,018</w:t>
            </w:r>
          </w:p>
        </w:tc>
        <w:tc>
          <w:tcPr>
            <w:tcW w:w="1701" w:type="dxa"/>
            <w:tcBorders>
              <w:top w:val="nil"/>
              <w:left w:val="nil"/>
              <w:bottom w:val="single" w:sz="4" w:space="0" w:color="auto"/>
              <w:right w:val="single" w:sz="4" w:space="0" w:color="auto"/>
            </w:tcBorders>
            <w:noWrap/>
            <w:vAlign w:val="center"/>
            <w:hideMark/>
          </w:tcPr>
          <w:p w14:paraId="25096A61"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0,010</w:t>
            </w:r>
          </w:p>
        </w:tc>
      </w:tr>
      <w:tr w:rsidR="00E43F94" w:rsidRPr="00E43F94" w14:paraId="4BD793A3"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1EDFEA08"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22</w:t>
            </w:r>
          </w:p>
        </w:tc>
        <w:tc>
          <w:tcPr>
            <w:tcW w:w="1865" w:type="dxa"/>
            <w:tcBorders>
              <w:top w:val="nil"/>
              <w:left w:val="nil"/>
              <w:bottom w:val="single" w:sz="4" w:space="0" w:color="auto"/>
              <w:right w:val="single" w:sz="4" w:space="0" w:color="auto"/>
            </w:tcBorders>
            <w:noWrap/>
            <w:vAlign w:val="center"/>
            <w:hideMark/>
          </w:tcPr>
          <w:p w14:paraId="0F21F37A"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0,018</w:t>
            </w:r>
          </w:p>
        </w:tc>
        <w:tc>
          <w:tcPr>
            <w:tcW w:w="1701" w:type="dxa"/>
            <w:tcBorders>
              <w:top w:val="nil"/>
              <w:left w:val="nil"/>
              <w:bottom w:val="single" w:sz="4" w:space="0" w:color="auto"/>
              <w:right w:val="single" w:sz="4" w:space="0" w:color="auto"/>
            </w:tcBorders>
            <w:noWrap/>
            <w:vAlign w:val="center"/>
            <w:hideMark/>
          </w:tcPr>
          <w:p w14:paraId="2486362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0,009</w:t>
            </w:r>
          </w:p>
        </w:tc>
      </w:tr>
      <w:tr w:rsidR="00E43F94" w:rsidRPr="00E43F94" w14:paraId="2DDB70AD"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2847B387"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23</w:t>
            </w:r>
          </w:p>
        </w:tc>
        <w:tc>
          <w:tcPr>
            <w:tcW w:w="1865" w:type="dxa"/>
            <w:tcBorders>
              <w:top w:val="nil"/>
              <w:left w:val="nil"/>
              <w:bottom w:val="single" w:sz="4" w:space="0" w:color="auto"/>
              <w:right w:val="single" w:sz="4" w:space="0" w:color="auto"/>
            </w:tcBorders>
            <w:noWrap/>
            <w:vAlign w:val="center"/>
            <w:hideMark/>
          </w:tcPr>
          <w:p w14:paraId="61BEF751"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0,017</w:t>
            </w:r>
          </w:p>
        </w:tc>
        <w:tc>
          <w:tcPr>
            <w:tcW w:w="1701" w:type="dxa"/>
            <w:tcBorders>
              <w:top w:val="nil"/>
              <w:left w:val="nil"/>
              <w:bottom w:val="single" w:sz="4" w:space="0" w:color="auto"/>
              <w:right w:val="single" w:sz="4" w:space="0" w:color="auto"/>
            </w:tcBorders>
            <w:noWrap/>
            <w:vAlign w:val="center"/>
            <w:hideMark/>
          </w:tcPr>
          <w:p w14:paraId="7622BDE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0,009</w:t>
            </w:r>
          </w:p>
        </w:tc>
      </w:tr>
      <w:tr w:rsidR="00E43F94" w:rsidRPr="00E43F94" w14:paraId="764C6624"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567E7423"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24</w:t>
            </w:r>
          </w:p>
        </w:tc>
        <w:tc>
          <w:tcPr>
            <w:tcW w:w="1865" w:type="dxa"/>
            <w:tcBorders>
              <w:top w:val="nil"/>
              <w:left w:val="nil"/>
              <w:bottom w:val="single" w:sz="4" w:space="0" w:color="auto"/>
              <w:right w:val="single" w:sz="4" w:space="0" w:color="auto"/>
            </w:tcBorders>
            <w:noWrap/>
            <w:vAlign w:val="center"/>
            <w:hideMark/>
          </w:tcPr>
          <w:p w14:paraId="4C3A5402"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0,017</w:t>
            </w:r>
          </w:p>
        </w:tc>
        <w:tc>
          <w:tcPr>
            <w:tcW w:w="1701" w:type="dxa"/>
            <w:tcBorders>
              <w:top w:val="nil"/>
              <w:left w:val="nil"/>
              <w:bottom w:val="single" w:sz="4" w:space="0" w:color="auto"/>
              <w:right w:val="single" w:sz="4" w:space="0" w:color="auto"/>
            </w:tcBorders>
            <w:noWrap/>
            <w:vAlign w:val="center"/>
            <w:hideMark/>
          </w:tcPr>
          <w:p w14:paraId="74B59CC7"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0,008</w:t>
            </w:r>
          </w:p>
        </w:tc>
      </w:tr>
      <w:tr w:rsidR="00E43F94" w:rsidRPr="00E43F94" w14:paraId="7DBD2C9F" w14:textId="77777777" w:rsidTr="00EC5D8D">
        <w:trPr>
          <w:cantSplit/>
          <w:trHeight w:val="300"/>
          <w:tblHeader/>
          <w:jc w:val="center"/>
        </w:trPr>
        <w:tc>
          <w:tcPr>
            <w:tcW w:w="1391" w:type="dxa"/>
            <w:tcBorders>
              <w:top w:val="nil"/>
              <w:left w:val="single" w:sz="4" w:space="0" w:color="auto"/>
              <w:bottom w:val="single" w:sz="4" w:space="0" w:color="auto"/>
              <w:right w:val="single" w:sz="4" w:space="0" w:color="auto"/>
            </w:tcBorders>
            <w:noWrap/>
            <w:vAlign w:val="center"/>
            <w:hideMark/>
          </w:tcPr>
          <w:p w14:paraId="6BF769FD"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2A</w:t>
            </w:r>
          </w:p>
        </w:tc>
        <w:tc>
          <w:tcPr>
            <w:tcW w:w="1865" w:type="dxa"/>
            <w:tcBorders>
              <w:top w:val="nil"/>
              <w:left w:val="nil"/>
              <w:bottom w:val="single" w:sz="4" w:space="0" w:color="auto"/>
              <w:right w:val="single" w:sz="4" w:space="0" w:color="auto"/>
            </w:tcBorders>
            <w:noWrap/>
            <w:vAlign w:val="center"/>
            <w:hideMark/>
          </w:tcPr>
          <w:p w14:paraId="0DA9F2F1"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0,016</w:t>
            </w:r>
          </w:p>
        </w:tc>
        <w:tc>
          <w:tcPr>
            <w:tcW w:w="1701" w:type="dxa"/>
            <w:tcBorders>
              <w:top w:val="nil"/>
              <w:left w:val="nil"/>
              <w:bottom w:val="single" w:sz="4" w:space="0" w:color="auto"/>
              <w:right w:val="single" w:sz="4" w:space="0" w:color="auto"/>
            </w:tcBorders>
            <w:noWrap/>
            <w:vAlign w:val="center"/>
            <w:hideMark/>
          </w:tcPr>
          <w:p w14:paraId="4BD9CDE8" w14:textId="77777777" w:rsidR="00E43F94" w:rsidRPr="00E43F94" w:rsidRDefault="00E43F94" w:rsidP="00EC5D8D">
            <w:pPr>
              <w:keepLines/>
              <w:spacing w:after="0"/>
              <w:ind w:left="0" w:firstLine="0"/>
              <w:jc w:val="center"/>
              <w:rPr>
                <w:rFonts w:asciiTheme="minorHAnsi" w:hAnsiTheme="minorHAnsi" w:cstheme="minorHAnsi"/>
                <w:sz w:val="20"/>
                <w:szCs w:val="20"/>
              </w:rPr>
            </w:pPr>
            <w:r w:rsidRPr="00E43F94">
              <w:rPr>
                <w:rFonts w:asciiTheme="minorHAnsi" w:hAnsiTheme="minorHAnsi" w:cstheme="minorHAnsi"/>
                <w:sz w:val="20"/>
                <w:szCs w:val="20"/>
              </w:rPr>
              <w:t>0,008</w:t>
            </w:r>
          </w:p>
        </w:tc>
      </w:tr>
    </w:tbl>
    <w:p w14:paraId="6A61C744" w14:textId="77777777" w:rsidR="00F2053D" w:rsidRPr="00EB2E7B" w:rsidRDefault="00F2053D"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7F4CB2AD" w14:textId="745ED350" w:rsidR="000F4DAA" w:rsidRPr="00EB2E7B" w:rsidRDefault="0077111A" w:rsidP="00AD6251">
      <w:pPr>
        <w:pStyle w:val="ANagwek1"/>
        <w:numPr>
          <w:ilvl w:val="0"/>
          <w:numId w:val="85"/>
        </w:numPr>
        <w:rPr>
          <w:rFonts w:asciiTheme="minorHAnsi" w:hAnsiTheme="minorHAnsi" w:cstheme="minorHAnsi"/>
          <w:b/>
          <w:bCs w:val="0"/>
          <w:sz w:val="20"/>
          <w:szCs w:val="20"/>
        </w:rPr>
      </w:pPr>
      <w:bookmarkStart w:id="690" w:name="_Ref189081093"/>
      <w:bookmarkStart w:id="691" w:name="_Toc239333427"/>
      <w:r w:rsidRPr="00EB2E7B">
        <w:rPr>
          <w:rFonts w:asciiTheme="minorHAnsi" w:hAnsiTheme="minorHAnsi" w:cstheme="minorHAnsi"/>
          <w:b/>
          <w:bCs w:val="0"/>
          <w:sz w:val="20"/>
          <w:szCs w:val="20"/>
        </w:rPr>
        <w:lastRenderedPageBreak/>
        <w:t>POSTĘPOWANIE REKLAMACYJNE I OBOWIĄZKI</w:t>
      </w:r>
      <w:r w:rsidR="0030092E" w:rsidRPr="00EB2E7B">
        <w:rPr>
          <w:rFonts w:asciiTheme="minorHAnsi" w:hAnsiTheme="minorHAnsi" w:cstheme="minorHAnsi"/>
          <w:b/>
          <w:bCs w:val="0"/>
          <w:sz w:val="20"/>
          <w:szCs w:val="20"/>
        </w:rPr>
        <w:t xml:space="preserve"> </w:t>
      </w:r>
      <w:r w:rsidRPr="00EB2E7B">
        <w:rPr>
          <w:rFonts w:asciiTheme="minorHAnsi" w:hAnsiTheme="minorHAnsi" w:cstheme="minorHAnsi"/>
          <w:b/>
          <w:bCs w:val="0"/>
          <w:sz w:val="20"/>
          <w:szCs w:val="20"/>
        </w:rPr>
        <w:t>INFORMACYJNE</w:t>
      </w:r>
      <w:bookmarkEnd w:id="690"/>
      <w:bookmarkEnd w:id="691"/>
    </w:p>
    <w:p w14:paraId="0F617384" w14:textId="60459CBF" w:rsidR="00473957" w:rsidRPr="00EB2E7B" w:rsidRDefault="0077111A" w:rsidP="004D1C36">
      <w:pPr>
        <w:pStyle w:val="ANagwek2"/>
        <w:rPr>
          <w:rFonts w:asciiTheme="minorHAnsi" w:hAnsiTheme="minorHAnsi" w:cstheme="minorHAnsi"/>
          <w:b w:val="0"/>
          <w:sz w:val="20"/>
          <w:szCs w:val="20"/>
        </w:rPr>
      </w:pPr>
      <w:bookmarkStart w:id="692" w:name="_Toc189833825"/>
      <w:bookmarkStart w:id="693" w:name="_Toc239333428"/>
      <w:r w:rsidRPr="00EB2E7B">
        <w:rPr>
          <w:rFonts w:asciiTheme="minorHAnsi" w:hAnsiTheme="minorHAnsi" w:cstheme="minorHAnsi"/>
          <w:b w:val="0"/>
          <w:bCs w:val="0"/>
          <w:sz w:val="20"/>
          <w:szCs w:val="20"/>
        </w:rPr>
        <w:t>Niniejszy rozdział określa procedury postępowania i rozstrzygania reklamacji w</w:t>
      </w:r>
      <w:r w:rsidR="00B02150" w:rsidRPr="00EB2E7B">
        <w:rPr>
          <w:rFonts w:asciiTheme="minorHAnsi" w:hAnsiTheme="minorHAnsi" w:cstheme="minorHAnsi"/>
          <w:b w:val="0"/>
          <w:sz w:val="20"/>
          <w:szCs w:val="20"/>
        </w:rPr>
        <w:t> </w:t>
      </w:r>
      <w:r w:rsidRPr="00EB2E7B">
        <w:rPr>
          <w:rFonts w:asciiTheme="minorHAnsi" w:hAnsiTheme="minorHAnsi" w:cstheme="minorHAnsi"/>
          <w:b w:val="0"/>
          <w:bCs w:val="0"/>
          <w:sz w:val="20"/>
          <w:szCs w:val="20"/>
        </w:rPr>
        <w:t xml:space="preserve">zakresie objętym niniejszą </w:t>
      </w:r>
      <w:proofErr w:type="spellStart"/>
      <w:r w:rsidRPr="00EB2E7B">
        <w:rPr>
          <w:rFonts w:asciiTheme="minorHAnsi" w:hAnsiTheme="minorHAnsi" w:cstheme="minorHAnsi"/>
          <w:b w:val="0"/>
          <w:bCs w:val="0"/>
          <w:sz w:val="20"/>
          <w:szCs w:val="20"/>
        </w:rPr>
        <w:t>IRiESD</w:t>
      </w:r>
      <w:proofErr w:type="spellEnd"/>
      <w:r w:rsidRPr="00EB2E7B">
        <w:rPr>
          <w:rFonts w:asciiTheme="minorHAnsi" w:hAnsiTheme="minorHAnsi" w:cstheme="minorHAnsi"/>
          <w:b w:val="0"/>
          <w:bCs w:val="0"/>
          <w:sz w:val="20"/>
          <w:szCs w:val="20"/>
        </w:rPr>
        <w:t>.</w:t>
      </w:r>
      <w:bookmarkEnd w:id="692"/>
      <w:bookmarkEnd w:id="693"/>
    </w:p>
    <w:p w14:paraId="28993565" w14:textId="2E6D7E80" w:rsidR="00473957" w:rsidRPr="00EB2E7B" w:rsidRDefault="001D4427" w:rsidP="004D1C36">
      <w:pPr>
        <w:pStyle w:val="ANagwek2"/>
        <w:rPr>
          <w:rFonts w:asciiTheme="minorHAnsi" w:hAnsiTheme="minorHAnsi" w:cstheme="minorHAnsi"/>
          <w:b w:val="0"/>
          <w:bCs w:val="0"/>
          <w:sz w:val="20"/>
          <w:szCs w:val="20"/>
        </w:rPr>
      </w:pPr>
      <w:bookmarkStart w:id="694" w:name="_Ref75768467"/>
      <w:bookmarkStart w:id="695" w:name="_Toc189833826"/>
      <w:bookmarkStart w:id="696" w:name="_Ref190295830"/>
      <w:r w:rsidRPr="00EB2E7B">
        <w:rPr>
          <w:rFonts w:asciiTheme="minorHAnsi" w:hAnsiTheme="minorHAnsi" w:cstheme="minorHAnsi"/>
          <w:b w:val="0"/>
          <w:sz w:val="20"/>
          <w:szCs w:val="20"/>
        </w:rPr>
        <w:t xml:space="preserve"> </w:t>
      </w:r>
      <w:bookmarkStart w:id="697" w:name="_Toc239333429"/>
      <w:r w:rsidR="005D24CF" w:rsidRPr="00EB2E7B">
        <w:rPr>
          <w:rFonts w:asciiTheme="minorHAnsi" w:hAnsiTheme="minorHAnsi" w:cstheme="minorHAnsi"/>
          <w:b w:val="0"/>
          <w:sz w:val="20"/>
          <w:szCs w:val="20"/>
        </w:rPr>
        <w:t>Podmiot</w:t>
      </w:r>
      <w:r w:rsidRPr="00EB2E7B">
        <w:rPr>
          <w:rFonts w:asciiTheme="minorHAnsi" w:hAnsiTheme="minorHAnsi" w:cstheme="minorHAnsi"/>
          <w:b w:val="0"/>
          <w:sz w:val="20"/>
          <w:szCs w:val="20"/>
        </w:rPr>
        <w:t>y</w:t>
      </w:r>
      <w:r w:rsidR="005D24CF" w:rsidRPr="00EB2E7B">
        <w:rPr>
          <w:rFonts w:asciiTheme="minorHAnsi" w:hAnsiTheme="minorHAnsi" w:cstheme="minorHAnsi"/>
          <w:b w:val="0"/>
          <w:sz w:val="20"/>
          <w:szCs w:val="20"/>
        </w:rPr>
        <w:t xml:space="preserve"> zobowiązane</w:t>
      </w:r>
      <w:r w:rsidR="0028275D" w:rsidRPr="00EB2E7B">
        <w:rPr>
          <w:rFonts w:asciiTheme="minorHAnsi" w:hAnsiTheme="minorHAnsi" w:cstheme="minorHAnsi"/>
          <w:b w:val="0"/>
          <w:bCs w:val="0"/>
          <w:sz w:val="20"/>
          <w:szCs w:val="20"/>
        </w:rPr>
        <w:t xml:space="preserve"> do stosowania </w:t>
      </w:r>
      <w:proofErr w:type="spellStart"/>
      <w:r w:rsidR="0028275D" w:rsidRPr="00EB2E7B">
        <w:rPr>
          <w:rFonts w:asciiTheme="minorHAnsi" w:hAnsiTheme="minorHAnsi" w:cstheme="minorHAnsi"/>
          <w:b w:val="0"/>
          <w:bCs w:val="0"/>
          <w:sz w:val="20"/>
          <w:szCs w:val="20"/>
        </w:rPr>
        <w:t>IRiESD</w:t>
      </w:r>
      <w:proofErr w:type="spellEnd"/>
      <w:r w:rsidR="0028275D" w:rsidRPr="00EB2E7B">
        <w:rPr>
          <w:rFonts w:asciiTheme="minorHAnsi" w:hAnsiTheme="minorHAnsi" w:cstheme="minorHAnsi"/>
          <w:b w:val="0"/>
          <w:bCs w:val="0"/>
          <w:sz w:val="20"/>
          <w:szCs w:val="20"/>
        </w:rPr>
        <w:t xml:space="preserve"> mogą </w:t>
      </w:r>
      <w:r w:rsidR="005D24CF" w:rsidRPr="00EB2E7B">
        <w:rPr>
          <w:rFonts w:asciiTheme="minorHAnsi" w:hAnsiTheme="minorHAnsi" w:cstheme="minorHAnsi"/>
          <w:b w:val="0"/>
          <w:sz w:val="20"/>
          <w:szCs w:val="20"/>
        </w:rPr>
        <w:t>zgłaszać reklamacj</w:t>
      </w:r>
      <w:r w:rsidR="009350D7" w:rsidRPr="00EB2E7B">
        <w:rPr>
          <w:rFonts w:asciiTheme="minorHAnsi" w:hAnsiTheme="minorHAnsi" w:cstheme="minorHAnsi"/>
          <w:b w:val="0"/>
          <w:sz w:val="20"/>
          <w:szCs w:val="20"/>
        </w:rPr>
        <w:t>e</w:t>
      </w:r>
      <w:r w:rsidR="0028275D" w:rsidRPr="00EB2E7B">
        <w:rPr>
          <w:rFonts w:asciiTheme="minorHAnsi" w:hAnsiTheme="minorHAnsi" w:cstheme="minorHAnsi"/>
          <w:b w:val="0"/>
          <w:bCs w:val="0"/>
          <w:sz w:val="20"/>
          <w:szCs w:val="20"/>
        </w:rPr>
        <w:t xml:space="preserve"> w formie pisemnej (drogą pocztową, osobiście), w formie elektronicznej (pocztą elektroniczną lub poprzez stronę internetową, o ile wprowadzona została taka funkcjonalność lub poprzez dedykowany system informatyczny ACPRO, o ile ACPRO taki system wdrożył) lub ustnej (osobiście, telefonicznie).</w:t>
      </w:r>
      <w:bookmarkEnd w:id="694"/>
      <w:bookmarkEnd w:id="697"/>
      <w:r w:rsidR="0077111A" w:rsidRPr="00EB2E7B">
        <w:rPr>
          <w:rFonts w:asciiTheme="minorHAnsi" w:hAnsiTheme="minorHAnsi" w:cstheme="minorHAnsi"/>
          <w:b w:val="0"/>
          <w:bCs w:val="0"/>
          <w:sz w:val="20"/>
          <w:szCs w:val="20"/>
        </w:rPr>
        <w:t xml:space="preserve"> </w:t>
      </w:r>
      <w:bookmarkEnd w:id="695"/>
      <w:bookmarkEnd w:id="696"/>
    </w:p>
    <w:p w14:paraId="18A21E23" w14:textId="49826DEA" w:rsidR="00851456" w:rsidRPr="00EB2E7B" w:rsidRDefault="00C45839" w:rsidP="004D1C36">
      <w:pPr>
        <w:pStyle w:val="ANagwek2"/>
        <w:rPr>
          <w:rFonts w:asciiTheme="minorHAnsi" w:hAnsiTheme="minorHAnsi" w:cstheme="minorHAnsi"/>
          <w:b w:val="0"/>
          <w:bCs w:val="0"/>
          <w:sz w:val="20"/>
          <w:szCs w:val="20"/>
        </w:rPr>
      </w:pPr>
      <w:bookmarkStart w:id="698" w:name="_Toc189833827"/>
      <w:bookmarkStart w:id="699" w:name="_Toc239333430"/>
      <w:r w:rsidRPr="00EB2E7B">
        <w:rPr>
          <w:rFonts w:asciiTheme="minorHAnsi" w:hAnsiTheme="minorHAnsi" w:cstheme="minorHAnsi"/>
          <w:b w:val="0"/>
          <w:bCs w:val="0"/>
          <w:sz w:val="20"/>
          <w:szCs w:val="20"/>
        </w:rPr>
        <w:t>URD posiadający zawartą ze sprzedawcą umowę kompleksową, składa wnioski i</w:t>
      </w:r>
      <w:r w:rsidR="00B02150" w:rsidRPr="00EB2E7B">
        <w:rPr>
          <w:rFonts w:asciiTheme="minorHAnsi" w:hAnsiTheme="minorHAnsi" w:cstheme="minorHAnsi"/>
          <w:b w:val="0"/>
          <w:sz w:val="20"/>
          <w:szCs w:val="20"/>
        </w:rPr>
        <w:t> </w:t>
      </w:r>
      <w:r w:rsidRPr="00EB2E7B">
        <w:rPr>
          <w:rFonts w:asciiTheme="minorHAnsi" w:hAnsiTheme="minorHAnsi" w:cstheme="minorHAnsi"/>
          <w:b w:val="0"/>
          <w:bCs w:val="0"/>
          <w:sz w:val="20"/>
          <w:szCs w:val="20"/>
        </w:rPr>
        <w:t xml:space="preserve">reklamacje o których mowa w niniejszym rozdziale, wyłącznie do tego sprzedawcy, z zastrzeżeniem pkt </w:t>
      </w:r>
      <w:r w:rsidRPr="00EB2E7B">
        <w:rPr>
          <w:rFonts w:asciiTheme="minorHAnsi" w:hAnsiTheme="minorHAnsi" w:cstheme="minorHAnsi"/>
          <w:b w:val="0"/>
          <w:bCs w:val="0"/>
          <w:sz w:val="20"/>
          <w:szCs w:val="20"/>
        </w:rPr>
        <w:fldChar w:fldCharType="begin"/>
      </w:r>
      <w:r w:rsidRPr="00EB2E7B">
        <w:rPr>
          <w:rFonts w:asciiTheme="minorHAnsi" w:hAnsiTheme="minorHAnsi" w:cstheme="minorHAnsi"/>
          <w:b w:val="0"/>
          <w:bCs w:val="0"/>
          <w:sz w:val="20"/>
          <w:szCs w:val="20"/>
        </w:rPr>
        <w:instrText xml:space="preserve"> REF _Ref75767828 \r \h </w:instrText>
      </w:r>
      <w:r w:rsidR="004D1077" w:rsidRPr="00EB2E7B">
        <w:rPr>
          <w:rFonts w:asciiTheme="minorHAnsi" w:hAnsiTheme="minorHAnsi" w:cstheme="minorHAnsi"/>
          <w:b w:val="0"/>
          <w:bCs w:val="0"/>
          <w:sz w:val="20"/>
          <w:szCs w:val="20"/>
        </w:rPr>
        <w:instrText xml:space="preserve"> \* MERGEFORMAT </w:instrText>
      </w:r>
      <w:r w:rsidRPr="00EB2E7B">
        <w:rPr>
          <w:rFonts w:asciiTheme="minorHAnsi" w:hAnsiTheme="minorHAnsi" w:cstheme="minorHAnsi"/>
          <w:b w:val="0"/>
          <w:bCs w:val="0"/>
          <w:sz w:val="20"/>
          <w:szCs w:val="20"/>
        </w:rPr>
      </w:r>
      <w:r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H.4</w:t>
      </w:r>
      <w:r w:rsidRPr="00EB2E7B">
        <w:rPr>
          <w:rFonts w:asciiTheme="minorHAnsi" w:hAnsiTheme="minorHAnsi" w:cstheme="minorHAnsi"/>
          <w:b w:val="0"/>
          <w:bCs w:val="0"/>
          <w:sz w:val="20"/>
          <w:szCs w:val="20"/>
        </w:rPr>
        <w:fldChar w:fldCharType="end"/>
      </w:r>
      <w:r w:rsidRPr="00EB2E7B">
        <w:rPr>
          <w:rFonts w:asciiTheme="minorHAnsi" w:hAnsiTheme="minorHAnsi" w:cstheme="minorHAnsi"/>
          <w:b w:val="0"/>
          <w:bCs w:val="0"/>
          <w:sz w:val="20"/>
          <w:szCs w:val="20"/>
        </w:rPr>
        <w:t xml:space="preserve">. oraz pkt </w:t>
      </w:r>
      <w:r w:rsidRPr="00EB2E7B">
        <w:rPr>
          <w:rFonts w:asciiTheme="minorHAnsi" w:hAnsiTheme="minorHAnsi" w:cstheme="minorHAnsi"/>
          <w:b w:val="0"/>
          <w:bCs w:val="0"/>
          <w:sz w:val="20"/>
          <w:szCs w:val="20"/>
        </w:rPr>
        <w:fldChar w:fldCharType="begin"/>
      </w:r>
      <w:r w:rsidRPr="00EB2E7B">
        <w:rPr>
          <w:rFonts w:asciiTheme="minorHAnsi" w:hAnsiTheme="minorHAnsi" w:cstheme="minorHAnsi"/>
          <w:b w:val="0"/>
          <w:bCs w:val="0"/>
          <w:sz w:val="20"/>
          <w:szCs w:val="20"/>
        </w:rPr>
        <w:instrText xml:space="preserve"> REF _Ref75768201 \r \h </w:instrText>
      </w:r>
      <w:r w:rsidR="004D1077" w:rsidRPr="00EB2E7B">
        <w:rPr>
          <w:rFonts w:asciiTheme="minorHAnsi" w:hAnsiTheme="minorHAnsi" w:cstheme="minorHAnsi"/>
          <w:b w:val="0"/>
          <w:bCs w:val="0"/>
          <w:sz w:val="20"/>
          <w:szCs w:val="20"/>
        </w:rPr>
        <w:instrText xml:space="preserve"> \* MERGEFORMAT </w:instrText>
      </w:r>
      <w:r w:rsidRPr="00EB2E7B">
        <w:rPr>
          <w:rFonts w:asciiTheme="minorHAnsi" w:hAnsiTheme="minorHAnsi" w:cstheme="minorHAnsi"/>
          <w:b w:val="0"/>
          <w:bCs w:val="0"/>
          <w:sz w:val="20"/>
          <w:szCs w:val="20"/>
        </w:rPr>
      </w:r>
      <w:r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9)</w:t>
      </w:r>
      <w:r w:rsidRPr="00EB2E7B">
        <w:rPr>
          <w:rFonts w:asciiTheme="minorHAnsi" w:hAnsiTheme="minorHAnsi" w:cstheme="minorHAnsi"/>
          <w:b w:val="0"/>
          <w:bCs w:val="0"/>
          <w:sz w:val="20"/>
          <w:szCs w:val="20"/>
        </w:rPr>
        <w:fldChar w:fldCharType="end"/>
      </w:r>
      <w:r w:rsidRPr="00EB2E7B">
        <w:rPr>
          <w:rFonts w:asciiTheme="minorHAnsi" w:hAnsiTheme="minorHAnsi" w:cstheme="minorHAnsi"/>
          <w:b w:val="0"/>
          <w:bCs w:val="0"/>
          <w:sz w:val="20"/>
          <w:szCs w:val="20"/>
        </w:rPr>
        <w:t xml:space="preserve">. </w:t>
      </w:r>
      <w:proofErr w:type="spellStart"/>
      <w:r w:rsidRPr="00EB2E7B">
        <w:rPr>
          <w:rFonts w:asciiTheme="minorHAnsi" w:hAnsiTheme="minorHAnsi" w:cstheme="minorHAnsi"/>
          <w:b w:val="0"/>
          <w:bCs w:val="0"/>
          <w:sz w:val="20"/>
          <w:szCs w:val="20"/>
        </w:rPr>
        <w:t>ppkt</w:t>
      </w:r>
      <w:proofErr w:type="spellEnd"/>
      <w:r w:rsidRPr="00EB2E7B">
        <w:rPr>
          <w:rFonts w:asciiTheme="minorHAnsi" w:hAnsiTheme="minorHAnsi" w:cstheme="minorHAnsi"/>
          <w:b w:val="0"/>
          <w:bCs w:val="0"/>
          <w:sz w:val="20"/>
          <w:szCs w:val="20"/>
        </w:rPr>
        <w:t xml:space="preserve"> </w:t>
      </w:r>
      <w:r w:rsidRPr="00EB2E7B">
        <w:rPr>
          <w:rFonts w:asciiTheme="minorHAnsi" w:hAnsiTheme="minorHAnsi" w:cstheme="minorHAnsi"/>
          <w:b w:val="0"/>
          <w:bCs w:val="0"/>
          <w:sz w:val="20"/>
          <w:szCs w:val="20"/>
        </w:rPr>
        <w:fldChar w:fldCharType="begin"/>
      </w:r>
      <w:r w:rsidRPr="00EB2E7B">
        <w:rPr>
          <w:rFonts w:asciiTheme="minorHAnsi" w:hAnsiTheme="minorHAnsi" w:cstheme="minorHAnsi"/>
          <w:b w:val="0"/>
          <w:bCs w:val="0"/>
          <w:sz w:val="20"/>
          <w:szCs w:val="20"/>
        </w:rPr>
        <w:instrText xml:space="preserve"> REF _Ref75768317 \r \h </w:instrText>
      </w:r>
      <w:r w:rsidR="004D1077" w:rsidRPr="00EB2E7B">
        <w:rPr>
          <w:rFonts w:asciiTheme="minorHAnsi" w:hAnsiTheme="minorHAnsi" w:cstheme="minorHAnsi"/>
          <w:b w:val="0"/>
          <w:bCs w:val="0"/>
          <w:sz w:val="20"/>
          <w:szCs w:val="20"/>
        </w:rPr>
        <w:instrText xml:space="preserve"> \* MERGEFORMAT </w:instrText>
      </w:r>
      <w:r w:rsidRPr="00EB2E7B">
        <w:rPr>
          <w:rFonts w:asciiTheme="minorHAnsi" w:hAnsiTheme="minorHAnsi" w:cstheme="minorHAnsi"/>
          <w:b w:val="0"/>
          <w:bCs w:val="0"/>
          <w:sz w:val="20"/>
          <w:szCs w:val="20"/>
        </w:rPr>
      </w:r>
      <w:r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8)</w:t>
      </w:r>
      <w:r w:rsidRPr="00EB2E7B">
        <w:rPr>
          <w:rFonts w:asciiTheme="minorHAnsi" w:hAnsiTheme="minorHAnsi" w:cstheme="minorHAnsi"/>
          <w:b w:val="0"/>
          <w:bCs w:val="0"/>
          <w:sz w:val="20"/>
          <w:szCs w:val="20"/>
        </w:rPr>
        <w:fldChar w:fldCharType="end"/>
      </w:r>
      <w:r w:rsidR="0077111A" w:rsidRPr="00EB2E7B">
        <w:rPr>
          <w:rFonts w:asciiTheme="minorHAnsi" w:hAnsiTheme="minorHAnsi" w:cstheme="minorHAnsi"/>
          <w:b w:val="0"/>
          <w:bCs w:val="0"/>
          <w:sz w:val="20"/>
          <w:szCs w:val="20"/>
        </w:rPr>
        <w:t>.</w:t>
      </w:r>
      <w:bookmarkEnd w:id="698"/>
      <w:bookmarkEnd w:id="699"/>
    </w:p>
    <w:p w14:paraId="64772CD2" w14:textId="77777777" w:rsidR="00FD43D4" w:rsidRPr="00EB2E7B" w:rsidRDefault="0077111A"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URD posiadający zawartą ze sprzedawcą umowę sprzedaży oraz z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umowę dystrybucji, reklamacje dotyczące umowy sprzedaży składa bezpośrednio do sprzedawcy, a reklamacje dotyczące umowy dystrybucji składa bezpośrednio do  </w:t>
      </w:r>
      <w:r w:rsidR="00232DA9"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1E6AF245" w14:textId="326CA56E" w:rsidR="00473957" w:rsidRPr="00EB2E7B" w:rsidRDefault="001F13E1"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Prosument, Prosument zbiorowy oraz Prosument wirtualny będący konsumentem w</w:t>
      </w:r>
      <w:r w:rsidR="00C27279" w:rsidRPr="00EB2E7B">
        <w:rPr>
          <w:rFonts w:asciiTheme="minorHAnsi" w:hAnsiTheme="minorHAnsi" w:cstheme="minorHAnsi"/>
          <w:sz w:val="20"/>
          <w:szCs w:val="20"/>
        </w:rPr>
        <w:t> </w:t>
      </w:r>
      <w:r w:rsidRPr="00EB2E7B">
        <w:rPr>
          <w:rFonts w:asciiTheme="minorHAnsi" w:hAnsiTheme="minorHAnsi" w:cstheme="minorHAnsi"/>
          <w:sz w:val="20"/>
          <w:szCs w:val="20"/>
        </w:rPr>
        <w:t>rozumieniu przepisów ustawy z dnia 23 kwietnia 1964 r. – Kodeks cywilny, który posiada zawartą ze sprzedawcą umowę kompleksową, składa reklamacje dotyczące rozliczania i dystrybucji energii elektrycznej do tego sprzedawcy.</w:t>
      </w:r>
    </w:p>
    <w:p w14:paraId="07DCF479" w14:textId="019FF8BC" w:rsidR="00473957" w:rsidRPr="00EB2E7B" w:rsidRDefault="00232DA9" w:rsidP="004D1C36">
      <w:pPr>
        <w:pStyle w:val="ANagwek2"/>
        <w:rPr>
          <w:rFonts w:asciiTheme="minorHAnsi" w:hAnsiTheme="minorHAnsi" w:cstheme="minorHAnsi"/>
          <w:b w:val="0"/>
          <w:bCs w:val="0"/>
          <w:sz w:val="20"/>
          <w:szCs w:val="20"/>
        </w:rPr>
      </w:pPr>
      <w:bookmarkStart w:id="700" w:name="_Ref75767828"/>
      <w:bookmarkStart w:id="701" w:name="_Toc189833828"/>
      <w:bookmarkStart w:id="702" w:name="_Toc239333431"/>
      <w:r w:rsidRPr="00EB2E7B">
        <w:rPr>
          <w:rFonts w:asciiTheme="minorHAnsi" w:hAnsiTheme="minorHAnsi" w:cstheme="minorHAnsi"/>
          <w:b w:val="0"/>
          <w:bCs w:val="0"/>
          <w:sz w:val="20"/>
          <w:szCs w:val="20"/>
        </w:rPr>
        <w:t>ACPRO</w:t>
      </w:r>
      <w:r w:rsidR="0077111A" w:rsidRPr="00EB2E7B">
        <w:rPr>
          <w:rFonts w:asciiTheme="minorHAnsi" w:hAnsiTheme="minorHAnsi" w:cstheme="minorHAnsi"/>
          <w:b w:val="0"/>
          <w:bCs w:val="0"/>
          <w:sz w:val="20"/>
          <w:szCs w:val="20"/>
        </w:rPr>
        <w:t xml:space="preserve"> </w:t>
      </w:r>
      <w:r w:rsidR="00E75F71" w:rsidRPr="00EB2E7B">
        <w:rPr>
          <w:rFonts w:asciiTheme="minorHAnsi" w:hAnsiTheme="minorHAnsi" w:cstheme="minorHAnsi"/>
          <w:b w:val="0"/>
          <w:bCs w:val="0"/>
          <w:sz w:val="20"/>
          <w:szCs w:val="20"/>
        </w:rPr>
        <w:t>samodzielnie (bez udziału sprzedawcy) realizować będzie następujące obowiązki w zakresie postępowania reklamacyjnego oraz realizacji obowiązków informacyjnych wynikających z przepisów, o których mowa w pkt </w:t>
      </w:r>
      <w:r w:rsidR="00851456" w:rsidRPr="00EB2E7B">
        <w:rPr>
          <w:rFonts w:asciiTheme="minorHAnsi" w:hAnsiTheme="minorHAnsi" w:cstheme="minorHAnsi"/>
          <w:b w:val="0"/>
          <w:bCs w:val="0"/>
          <w:sz w:val="20"/>
          <w:szCs w:val="20"/>
        </w:rPr>
        <w:fldChar w:fldCharType="begin"/>
      </w:r>
      <w:r w:rsidR="00851456" w:rsidRPr="00EB2E7B">
        <w:rPr>
          <w:rFonts w:asciiTheme="minorHAnsi" w:hAnsiTheme="minorHAnsi" w:cstheme="minorHAnsi"/>
          <w:b w:val="0"/>
          <w:bCs w:val="0"/>
          <w:sz w:val="20"/>
          <w:szCs w:val="20"/>
        </w:rPr>
        <w:instrText xml:space="preserve"> REF _Ref75767871 \r \h </w:instrText>
      </w:r>
      <w:r w:rsidR="004D1077" w:rsidRPr="00EB2E7B">
        <w:rPr>
          <w:rFonts w:asciiTheme="minorHAnsi" w:hAnsiTheme="minorHAnsi" w:cstheme="minorHAnsi"/>
          <w:b w:val="0"/>
          <w:bCs w:val="0"/>
          <w:sz w:val="20"/>
          <w:szCs w:val="20"/>
        </w:rPr>
        <w:instrText xml:space="preserve"> \* MERGEFORMAT </w:instrText>
      </w:r>
      <w:r w:rsidR="00851456" w:rsidRPr="00EB2E7B">
        <w:rPr>
          <w:rFonts w:asciiTheme="minorHAnsi" w:hAnsiTheme="minorHAnsi" w:cstheme="minorHAnsi"/>
          <w:b w:val="0"/>
          <w:bCs w:val="0"/>
          <w:sz w:val="20"/>
          <w:szCs w:val="20"/>
        </w:rPr>
      </w:r>
      <w:r w:rsidR="00851456"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A.1.1</w:t>
      </w:r>
      <w:r w:rsidR="00851456" w:rsidRPr="00EB2E7B">
        <w:rPr>
          <w:rFonts w:asciiTheme="minorHAnsi" w:hAnsiTheme="minorHAnsi" w:cstheme="minorHAnsi"/>
          <w:b w:val="0"/>
          <w:bCs w:val="0"/>
          <w:sz w:val="20"/>
          <w:szCs w:val="20"/>
        </w:rPr>
        <w:fldChar w:fldCharType="end"/>
      </w:r>
      <w:r w:rsidR="0077111A" w:rsidRPr="00EB2E7B">
        <w:rPr>
          <w:rFonts w:asciiTheme="minorHAnsi" w:hAnsiTheme="minorHAnsi" w:cstheme="minorHAnsi"/>
          <w:b w:val="0"/>
          <w:bCs w:val="0"/>
          <w:sz w:val="20"/>
          <w:szCs w:val="20"/>
        </w:rPr>
        <w:t>:</w:t>
      </w:r>
      <w:bookmarkEnd w:id="700"/>
      <w:bookmarkEnd w:id="701"/>
      <w:bookmarkEnd w:id="702"/>
      <w:r w:rsidR="0077111A" w:rsidRPr="00EB2E7B">
        <w:rPr>
          <w:rFonts w:asciiTheme="minorHAnsi" w:hAnsiTheme="minorHAnsi" w:cstheme="minorHAnsi"/>
          <w:b w:val="0"/>
          <w:bCs w:val="0"/>
          <w:sz w:val="20"/>
          <w:szCs w:val="20"/>
        </w:rPr>
        <w:t xml:space="preserve"> </w:t>
      </w:r>
    </w:p>
    <w:p w14:paraId="535CFFFD" w14:textId="7BC8C2B1" w:rsidR="00895B09" w:rsidRPr="00EB2E7B" w:rsidRDefault="00895B09" w:rsidP="00246C72">
      <w:pPr>
        <w:pStyle w:val="1przed"/>
        <w:numPr>
          <w:ilvl w:val="0"/>
          <w:numId w:val="376"/>
        </w:numPr>
        <w:ind w:left="1701" w:hanging="567"/>
        <w:rPr>
          <w:rFonts w:asciiTheme="minorHAnsi" w:hAnsiTheme="minorHAnsi" w:cstheme="minorHAnsi"/>
          <w:sz w:val="20"/>
          <w:szCs w:val="20"/>
        </w:rPr>
      </w:pPr>
      <w:r w:rsidRPr="00EB2E7B">
        <w:rPr>
          <w:rFonts w:asciiTheme="minorHAnsi" w:hAnsiTheme="minorHAnsi" w:cstheme="minorHAnsi"/>
          <w:sz w:val="20"/>
          <w:szCs w:val="20"/>
        </w:rPr>
        <w:t>przyjmowanie od URD przez całą dobę zgłoszeń dotyczących przerw w</w:t>
      </w:r>
      <w:r w:rsidR="001672BF" w:rsidRPr="00EB2E7B">
        <w:rPr>
          <w:rFonts w:asciiTheme="minorHAnsi" w:hAnsiTheme="minorHAnsi" w:cstheme="minorHAnsi"/>
          <w:sz w:val="20"/>
          <w:szCs w:val="20"/>
        </w:rPr>
        <w:t> </w:t>
      </w:r>
      <w:r w:rsidRPr="00EB2E7B">
        <w:rPr>
          <w:rFonts w:asciiTheme="minorHAnsi" w:hAnsiTheme="minorHAnsi" w:cstheme="minorHAnsi"/>
          <w:sz w:val="20"/>
          <w:szCs w:val="20"/>
        </w:rPr>
        <w:t>dostarczaniu energii elektrycznej oraz wystąpienia zagrożeń życia i</w:t>
      </w:r>
      <w:r w:rsidR="00CB22B7" w:rsidRPr="00EB2E7B">
        <w:rPr>
          <w:rFonts w:asciiTheme="minorHAnsi" w:hAnsiTheme="minorHAnsi" w:cstheme="minorHAnsi"/>
          <w:sz w:val="20"/>
          <w:szCs w:val="20"/>
        </w:rPr>
        <w:t> </w:t>
      </w:r>
      <w:r w:rsidRPr="00EB2E7B">
        <w:rPr>
          <w:rFonts w:asciiTheme="minorHAnsi" w:hAnsiTheme="minorHAnsi" w:cstheme="minorHAnsi"/>
          <w:sz w:val="20"/>
          <w:szCs w:val="20"/>
        </w:rPr>
        <w:t>zdrowia spowodowanych niewłaściwą pracą sieci,</w:t>
      </w:r>
    </w:p>
    <w:p w14:paraId="5F49C31E" w14:textId="1A83F50F" w:rsidR="00473957" w:rsidRPr="00EB2E7B" w:rsidRDefault="0077111A" w:rsidP="00246C7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udzielanie </w:t>
      </w:r>
      <w:r w:rsidR="00E75F71" w:rsidRPr="00EB2E7B">
        <w:rPr>
          <w:rFonts w:asciiTheme="minorHAnsi" w:hAnsiTheme="minorHAnsi" w:cstheme="minorHAnsi"/>
          <w:sz w:val="20"/>
          <w:szCs w:val="20"/>
        </w:rPr>
        <w:t>URD, na ich żądanie, informacji o przewidywanym terminie wznowienia dostarczania energii elektrycznej przerwanego z powodu awarii w sieci,</w:t>
      </w:r>
    </w:p>
    <w:p w14:paraId="2BCF4A1D" w14:textId="7AB04128" w:rsidR="00473957" w:rsidRPr="00EB2E7B" w:rsidRDefault="0077111A" w:rsidP="00246C7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powiadamianie, </w:t>
      </w:r>
      <w:r w:rsidR="00E75F71" w:rsidRPr="00EB2E7B">
        <w:rPr>
          <w:rFonts w:asciiTheme="minorHAnsi" w:hAnsiTheme="minorHAnsi" w:cstheme="minorHAnsi"/>
          <w:sz w:val="20"/>
          <w:szCs w:val="20"/>
        </w:rPr>
        <w:t>z co najmniej 5-dniowym wyprzedzeniem o terminach i czasie planowanych przerw w dostarczaniu energii elektrycznej w formie:</w:t>
      </w:r>
    </w:p>
    <w:p w14:paraId="4A5B09CF" w14:textId="6FD57D56" w:rsidR="00473957" w:rsidRPr="00EB2E7B" w:rsidRDefault="0077111A" w:rsidP="00EF0288">
      <w:pPr>
        <w:pStyle w:val="apo"/>
        <w:numPr>
          <w:ilvl w:val="0"/>
          <w:numId w:val="12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ogłoszeń </w:t>
      </w:r>
      <w:r w:rsidR="00E75F71" w:rsidRPr="00EB2E7B">
        <w:rPr>
          <w:rFonts w:asciiTheme="minorHAnsi" w:hAnsiTheme="minorHAnsi" w:cstheme="minorHAnsi"/>
          <w:sz w:val="20"/>
          <w:szCs w:val="20"/>
        </w:rPr>
        <w:t xml:space="preserve">prasowych, internetowych, komunikatów radiowych lub telewizyjnych lub w inny sposób zwyczajowo przyjęty na danym terenie – jeżeli URD jest zasilany z sieci o napięciu znamionowym nie wyższym niż 1 </w:t>
      </w:r>
      <w:proofErr w:type="spellStart"/>
      <w:r w:rsidR="00E75F71" w:rsidRPr="00EB2E7B">
        <w:rPr>
          <w:rFonts w:asciiTheme="minorHAnsi" w:hAnsiTheme="minorHAnsi" w:cstheme="minorHAnsi"/>
          <w:sz w:val="20"/>
          <w:szCs w:val="20"/>
        </w:rPr>
        <w:t>kV</w:t>
      </w:r>
      <w:proofErr w:type="spellEnd"/>
      <w:r w:rsidR="00E75F71" w:rsidRPr="00EB2E7B">
        <w:rPr>
          <w:rFonts w:asciiTheme="minorHAnsi" w:hAnsiTheme="minorHAnsi" w:cstheme="minorHAnsi"/>
          <w:sz w:val="20"/>
          <w:szCs w:val="20"/>
        </w:rPr>
        <w:t>,</w:t>
      </w:r>
    </w:p>
    <w:p w14:paraId="21942AC9" w14:textId="64230238" w:rsidR="00473957" w:rsidRPr="00EB2E7B" w:rsidRDefault="0077111A" w:rsidP="00EF0288">
      <w:pPr>
        <w:pStyle w:val="apo"/>
        <w:numPr>
          <w:ilvl w:val="0"/>
          <w:numId w:val="127"/>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indywidualnych </w:t>
      </w:r>
      <w:r w:rsidR="00E75F71" w:rsidRPr="00EB2E7B">
        <w:rPr>
          <w:rFonts w:asciiTheme="minorHAnsi" w:hAnsiTheme="minorHAnsi" w:cstheme="minorHAnsi"/>
          <w:sz w:val="20"/>
          <w:szCs w:val="20"/>
        </w:rPr>
        <w:t>zawiadomień pisemnych, telefonicznych lub za pomocą innego środka komunikowania się – jeżeli URD jest zasilany z</w:t>
      </w:r>
      <w:r w:rsidR="008659FC" w:rsidRPr="00EB2E7B">
        <w:rPr>
          <w:rFonts w:asciiTheme="minorHAnsi" w:hAnsiTheme="minorHAnsi" w:cstheme="minorHAnsi"/>
          <w:sz w:val="20"/>
          <w:szCs w:val="20"/>
        </w:rPr>
        <w:t> </w:t>
      </w:r>
      <w:r w:rsidR="00E75F71" w:rsidRPr="00EB2E7B">
        <w:rPr>
          <w:rFonts w:asciiTheme="minorHAnsi" w:hAnsiTheme="minorHAnsi" w:cstheme="minorHAnsi"/>
          <w:sz w:val="20"/>
          <w:szCs w:val="20"/>
        </w:rPr>
        <w:t xml:space="preserve">sieci o napięciu znamionowym wyższym niż 1 </w:t>
      </w:r>
      <w:proofErr w:type="spellStart"/>
      <w:r w:rsidR="00E75F71" w:rsidRPr="00EB2E7B">
        <w:rPr>
          <w:rFonts w:asciiTheme="minorHAnsi" w:hAnsiTheme="minorHAnsi" w:cstheme="minorHAnsi"/>
          <w:sz w:val="20"/>
          <w:szCs w:val="20"/>
        </w:rPr>
        <w:t>kV</w:t>
      </w:r>
      <w:proofErr w:type="spellEnd"/>
      <w:r w:rsidR="00E75F71" w:rsidRPr="00EB2E7B">
        <w:rPr>
          <w:rFonts w:asciiTheme="minorHAnsi" w:hAnsiTheme="minorHAnsi" w:cstheme="minorHAnsi"/>
          <w:sz w:val="20"/>
          <w:szCs w:val="20"/>
        </w:rPr>
        <w:t>,</w:t>
      </w:r>
    </w:p>
    <w:p w14:paraId="2874FB67" w14:textId="027763A2" w:rsidR="00E75F71" w:rsidRPr="00EB2E7B" w:rsidRDefault="00E75F71" w:rsidP="00EF0288">
      <w:pPr>
        <w:pStyle w:val="apo"/>
        <w:numPr>
          <w:ilvl w:val="0"/>
          <w:numId w:val="127"/>
        </w:numPr>
        <w:ind w:left="2268" w:hanging="567"/>
        <w:rPr>
          <w:rFonts w:asciiTheme="minorHAnsi" w:hAnsiTheme="minorHAnsi" w:cstheme="minorHAnsi"/>
          <w:sz w:val="20"/>
          <w:szCs w:val="20"/>
        </w:rPr>
      </w:pPr>
      <w:r w:rsidRPr="00EB2E7B">
        <w:rPr>
          <w:rFonts w:asciiTheme="minorHAnsi" w:hAnsiTheme="minorHAnsi" w:cstheme="minorHAnsi"/>
          <w:sz w:val="20"/>
          <w:szCs w:val="20"/>
        </w:rPr>
        <w:t>wiadomości wysyłanych na adres poczty elektronicznej, jeżeli URD udostępnił ten adres przedsiębiorstwu energetycznemu w umowie dystrybucji albo w umowie kompleksowej, lub w sposób określony w tych umowach,</w:t>
      </w:r>
    </w:p>
    <w:p w14:paraId="4C3A19AA" w14:textId="7779F510" w:rsidR="00473957" w:rsidRPr="00EB2E7B" w:rsidRDefault="0077111A" w:rsidP="00246C7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informowanie </w:t>
      </w:r>
      <w:r w:rsidR="00E75F71" w:rsidRPr="00EB2E7B">
        <w:rPr>
          <w:rFonts w:asciiTheme="minorHAnsi" w:hAnsiTheme="minorHAnsi" w:cstheme="minorHAnsi"/>
          <w:sz w:val="20"/>
          <w:szCs w:val="20"/>
        </w:rPr>
        <w:t>na piśmie, lub w inny sposób określony w umowie dystrybucji albo w umowie kompleksowej, z co najmniej:</w:t>
      </w:r>
    </w:p>
    <w:p w14:paraId="6BF774E2" w14:textId="6EAC6AAB" w:rsidR="00473957" w:rsidRPr="00EB2E7B" w:rsidRDefault="00E75F71" w:rsidP="00EF0288">
      <w:pPr>
        <w:pStyle w:val="apo"/>
        <w:numPr>
          <w:ilvl w:val="0"/>
          <w:numId w:val="373"/>
        </w:numPr>
        <w:ind w:left="2268"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tygodniowym wyprzedzeniem – URD zasilanych z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o zamierzonej zmianie nastawień w automatyce zabezpieczeniowej i innych parametrach mających wpływ na współpracę ruchową z siecią,</w:t>
      </w:r>
    </w:p>
    <w:p w14:paraId="0F4BF20C" w14:textId="1D73999C" w:rsidR="00473957" w:rsidRPr="00EB2E7B" w:rsidRDefault="00E75F71" w:rsidP="00EF0288">
      <w:pPr>
        <w:pStyle w:val="apo"/>
        <w:numPr>
          <w:ilvl w:val="0"/>
          <w:numId w:val="373"/>
        </w:numPr>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rocznym wyprzedzeniem – URD zasilanych z sieci o napięciu znamionowym równym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niższym, o konieczności dostosowania urządzeń i instalacji do zmienionego napięcia znamionowego, podwyższonego poziomu prądów zwarcia, zmiany rodzaju przyłącza lub innych warunków funkcjonowania sieci,</w:t>
      </w:r>
    </w:p>
    <w:p w14:paraId="6F917838" w14:textId="421B70D5" w:rsidR="00473957" w:rsidRPr="00EB2E7B" w:rsidRDefault="00E75F71" w:rsidP="00EF0288">
      <w:pPr>
        <w:pStyle w:val="apo"/>
        <w:numPr>
          <w:ilvl w:val="0"/>
          <w:numId w:val="373"/>
        </w:numPr>
        <w:ind w:left="2268" w:hanging="567"/>
        <w:rPr>
          <w:rFonts w:asciiTheme="minorHAnsi" w:hAnsiTheme="minorHAnsi" w:cstheme="minorHAnsi"/>
          <w:sz w:val="20"/>
          <w:szCs w:val="20"/>
        </w:rPr>
      </w:pPr>
      <w:r w:rsidRPr="00EB2E7B">
        <w:rPr>
          <w:rFonts w:asciiTheme="minorHAnsi" w:hAnsiTheme="minorHAnsi" w:cstheme="minorHAnsi"/>
          <w:sz w:val="20"/>
          <w:szCs w:val="20"/>
        </w:rPr>
        <w:t>3-letnim wyprzedzeniem – URD zasilanych z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o konieczności dostosowania urządzeń i instalacji do zmienionego napięcia znamionowego, podwyższonego poziomu prądów zwarcia lub zmianie innych warunków funkcjonowania sieci,</w:t>
      </w:r>
    </w:p>
    <w:p w14:paraId="3ABDEF96" w14:textId="681CF78A" w:rsidR="00473957" w:rsidRPr="00EB2E7B" w:rsidRDefault="0077111A" w:rsidP="00246C72">
      <w:pPr>
        <w:pStyle w:val="1przed"/>
        <w:ind w:left="1701" w:hanging="567"/>
        <w:rPr>
          <w:rFonts w:asciiTheme="minorHAnsi" w:hAnsiTheme="minorHAnsi" w:cstheme="minorHAnsi"/>
          <w:sz w:val="20"/>
          <w:szCs w:val="20"/>
        </w:rPr>
      </w:pPr>
      <w:bookmarkStart w:id="703" w:name="_Ref190122503"/>
      <w:r w:rsidRPr="00EB2E7B">
        <w:rPr>
          <w:rFonts w:asciiTheme="minorHAnsi" w:hAnsiTheme="minorHAnsi" w:cstheme="minorHAnsi"/>
          <w:sz w:val="20"/>
          <w:szCs w:val="20"/>
        </w:rPr>
        <w:t xml:space="preserve">kontaktowanie </w:t>
      </w:r>
      <w:r w:rsidR="00E75F71" w:rsidRPr="00EB2E7B">
        <w:rPr>
          <w:rFonts w:asciiTheme="minorHAnsi" w:hAnsiTheme="minorHAnsi" w:cstheme="minorHAnsi"/>
          <w:sz w:val="20"/>
          <w:szCs w:val="20"/>
        </w:rPr>
        <w:t>się z URD w sprawie odpłatnego podejmowania stosownych czynności w sieci w celu umożliwienia bezpiecznego wykonania, przez URD lub inny podmiot, prac w obszarze oddziaływania tej sieci,</w:t>
      </w:r>
      <w:bookmarkEnd w:id="703"/>
    </w:p>
    <w:p w14:paraId="239D0F0E" w14:textId="6FB8B067" w:rsidR="00473957" w:rsidRPr="00EB2E7B" w:rsidRDefault="0077111A" w:rsidP="00246C7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przyjmowanie </w:t>
      </w:r>
      <w:r w:rsidR="00E75F71" w:rsidRPr="00EB2E7B">
        <w:rPr>
          <w:rFonts w:asciiTheme="minorHAnsi" w:hAnsiTheme="minorHAnsi" w:cstheme="minorHAnsi"/>
          <w:sz w:val="20"/>
          <w:szCs w:val="20"/>
        </w:rPr>
        <w:t xml:space="preserve">od URD reklamacji na wstrzymanie przez ACPRO dostarczania energii z przyczyn innych niż wskazana w pkt </w:t>
      </w:r>
      <w:r w:rsidR="00851456" w:rsidRPr="00EB2E7B">
        <w:rPr>
          <w:rFonts w:asciiTheme="minorHAnsi" w:hAnsiTheme="minorHAnsi" w:cstheme="minorHAnsi"/>
          <w:sz w:val="20"/>
          <w:szCs w:val="20"/>
        </w:rPr>
        <w:fldChar w:fldCharType="begin"/>
      </w:r>
      <w:r w:rsidR="00851456" w:rsidRPr="00EB2E7B">
        <w:rPr>
          <w:rFonts w:asciiTheme="minorHAnsi" w:hAnsiTheme="minorHAnsi" w:cstheme="minorHAnsi"/>
          <w:sz w:val="20"/>
          <w:szCs w:val="20"/>
        </w:rPr>
        <w:instrText xml:space="preserve"> REF _Ref75429040 \r \h </w:instrText>
      </w:r>
      <w:r w:rsidR="005A7D7D" w:rsidRPr="00EB2E7B">
        <w:rPr>
          <w:rFonts w:asciiTheme="minorHAnsi" w:hAnsiTheme="minorHAnsi" w:cstheme="minorHAnsi"/>
          <w:sz w:val="20"/>
          <w:szCs w:val="20"/>
        </w:rPr>
        <w:instrText xml:space="preserve"> \* MERGEFORMAT </w:instrText>
      </w:r>
      <w:r w:rsidR="00851456" w:rsidRPr="00EB2E7B">
        <w:rPr>
          <w:rFonts w:asciiTheme="minorHAnsi" w:hAnsiTheme="minorHAnsi" w:cstheme="minorHAnsi"/>
          <w:sz w:val="20"/>
          <w:szCs w:val="20"/>
        </w:rPr>
      </w:r>
      <w:r w:rsidR="0085145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II.3.2.2</w:t>
      </w:r>
      <w:r w:rsidR="00851456"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5B576373" w14:textId="222E5316" w:rsidR="00473957" w:rsidRPr="00EB2E7B" w:rsidRDefault="0077111A" w:rsidP="00246C7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przyjmowanie </w:t>
      </w:r>
      <w:r w:rsidR="00E75F71" w:rsidRPr="00EB2E7B">
        <w:rPr>
          <w:rFonts w:asciiTheme="minorHAnsi" w:hAnsiTheme="minorHAnsi" w:cstheme="minorHAnsi"/>
          <w:sz w:val="20"/>
          <w:szCs w:val="20"/>
        </w:rPr>
        <w:t>dodatkowych zleceń od URD na wykonanie czynności wynikających z Taryfy ACPRO,</w:t>
      </w:r>
    </w:p>
    <w:p w14:paraId="428F2B0A" w14:textId="7117A5DF" w:rsidR="00473957" w:rsidRPr="00EB2E7B" w:rsidRDefault="001F13E1" w:rsidP="00246C7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przyjmowanie </w:t>
      </w:r>
      <w:r w:rsidR="00E75F71" w:rsidRPr="00EB2E7B">
        <w:rPr>
          <w:rFonts w:asciiTheme="minorHAnsi" w:hAnsiTheme="minorHAnsi" w:cstheme="minorHAnsi"/>
          <w:sz w:val="20"/>
          <w:szCs w:val="20"/>
        </w:rPr>
        <w:t>od Prosumenta, Prosumenta zbiorowego oraz Prosumenta wirtualnego będącego konsumentem w rozumieniu przepisów ustawy z dnia 23 kwietnia 1964 r. – Kodeks cywilny, reklamacji dotyczących przyłączenia instalacji odnawialnego źródła energii, a także rozliczania i dystrybucji energii elektrycznej wytworzonej w tej instalacji, o ile prosument ten posiada zawartą umowę dystrybucji z ACPRO,</w:t>
      </w:r>
    </w:p>
    <w:p w14:paraId="46951AB1" w14:textId="3DE17F84" w:rsidR="00FC0341" w:rsidRPr="00EB2E7B" w:rsidRDefault="00E75F71" w:rsidP="00246C72">
      <w:pPr>
        <w:pStyle w:val="1przed"/>
        <w:ind w:left="1701" w:hanging="567"/>
        <w:rPr>
          <w:rFonts w:asciiTheme="minorHAnsi" w:hAnsiTheme="minorHAnsi" w:cstheme="minorHAnsi"/>
          <w:sz w:val="20"/>
          <w:szCs w:val="20"/>
        </w:rPr>
      </w:pPr>
      <w:r w:rsidRPr="00EB2E7B">
        <w:rPr>
          <w:rFonts w:asciiTheme="minorHAnsi" w:hAnsiTheme="minorHAnsi" w:cstheme="minorHAnsi"/>
          <w:sz w:val="20"/>
          <w:szCs w:val="20"/>
        </w:rPr>
        <w:t>niezwłoczne przekazywanie URD protokołów z czynności określonych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8128F6" w:rsidRPr="00EB2E7B">
        <w:rPr>
          <w:rFonts w:asciiTheme="minorHAnsi" w:hAnsiTheme="minorHAnsi" w:cstheme="minorHAnsi"/>
          <w:sz w:val="20"/>
          <w:szCs w:val="20"/>
        </w:rPr>
        <w:fldChar w:fldCharType="begin"/>
      </w:r>
      <w:r w:rsidR="008128F6" w:rsidRPr="00EB2E7B">
        <w:rPr>
          <w:rFonts w:asciiTheme="minorHAnsi" w:hAnsiTheme="minorHAnsi" w:cstheme="minorHAnsi"/>
          <w:sz w:val="20"/>
          <w:szCs w:val="20"/>
        </w:rPr>
        <w:instrText xml:space="preserve"> REF _Ref190122503 \w \h  \* MERGEFORMAT </w:instrText>
      </w:r>
      <w:r w:rsidR="008128F6" w:rsidRPr="00EB2E7B">
        <w:rPr>
          <w:rFonts w:asciiTheme="minorHAnsi" w:hAnsiTheme="minorHAnsi" w:cstheme="minorHAnsi"/>
          <w:sz w:val="20"/>
          <w:szCs w:val="20"/>
        </w:rPr>
      </w:r>
      <w:r w:rsidR="008128F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w:t>
      </w:r>
      <w:r w:rsidR="008128F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lub protokół z wykonania pomiarów jakościowych energii elektrycznej, o których mowa w pkt </w:t>
      </w:r>
      <w:r w:rsidR="00271806" w:rsidRPr="00EB2E7B">
        <w:rPr>
          <w:rFonts w:asciiTheme="minorHAnsi" w:hAnsiTheme="minorHAnsi" w:cstheme="minorHAnsi"/>
          <w:sz w:val="20"/>
          <w:szCs w:val="20"/>
        </w:rPr>
        <w:fldChar w:fldCharType="begin"/>
      </w:r>
      <w:r w:rsidR="00271806" w:rsidRPr="00EB2E7B">
        <w:rPr>
          <w:rFonts w:asciiTheme="minorHAnsi" w:hAnsiTheme="minorHAnsi" w:cstheme="minorHAnsi"/>
          <w:sz w:val="20"/>
          <w:szCs w:val="20"/>
        </w:rPr>
        <w:instrText xml:space="preserve"> REF _Ref190167442 \r \h  \* MERGEFORMAT </w:instrText>
      </w:r>
      <w:r w:rsidR="00271806" w:rsidRPr="00EB2E7B">
        <w:rPr>
          <w:rFonts w:asciiTheme="minorHAnsi" w:hAnsiTheme="minorHAnsi" w:cstheme="minorHAnsi"/>
          <w:sz w:val="20"/>
          <w:szCs w:val="20"/>
        </w:rPr>
      </w:r>
      <w:r w:rsidR="0027180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H.5</w:t>
      </w:r>
      <w:r w:rsidR="00271806"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94344B" w:rsidRPr="00EB2E7B">
        <w:rPr>
          <w:rFonts w:asciiTheme="minorHAnsi" w:hAnsiTheme="minorHAnsi" w:cstheme="minorHAnsi"/>
          <w:sz w:val="20"/>
          <w:szCs w:val="20"/>
        </w:rPr>
        <w:fldChar w:fldCharType="begin"/>
      </w:r>
      <w:r w:rsidR="0094344B" w:rsidRPr="00EB2E7B">
        <w:rPr>
          <w:rFonts w:asciiTheme="minorHAnsi" w:hAnsiTheme="minorHAnsi" w:cstheme="minorHAnsi"/>
          <w:sz w:val="20"/>
          <w:szCs w:val="20"/>
        </w:rPr>
        <w:instrText xml:space="preserve"> REF _Ref190122537 \w \h  \* MERGEFORMAT </w:instrText>
      </w:r>
      <w:r w:rsidR="0094344B" w:rsidRPr="00EB2E7B">
        <w:rPr>
          <w:rFonts w:asciiTheme="minorHAnsi" w:hAnsiTheme="minorHAnsi" w:cstheme="minorHAnsi"/>
          <w:sz w:val="20"/>
          <w:szCs w:val="20"/>
        </w:rPr>
      </w:r>
      <w:r w:rsidR="0094344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w:t>
      </w:r>
      <w:r w:rsidR="0094344B"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Start w:id="704" w:name="_Ref75768201"/>
    </w:p>
    <w:p w14:paraId="300E5DCD" w14:textId="5429088B" w:rsidR="0066636F" w:rsidRPr="00EB2E7B" w:rsidRDefault="0077111A" w:rsidP="004D1C36">
      <w:pPr>
        <w:pStyle w:val="ANagwek2"/>
        <w:rPr>
          <w:rFonts w:asciiTheme="minorHAnsi" w:hAnsiTheme="minorHAnsi" w:cstheme="minorHAnsi"/>
          <w:b w:val="0"/>
          <w:bCs w:val="0"/>
          <w:sz w:val="20"/>
          <w:szCs w:val="20"/>
        </w:rPr>
      </w:pPr>
      <w:bookmarkStart w:id="705" w:name="_Toc189833829"/>
      <w:bookmarkStart w:id="706" w:name="_Ref190167442"/>
      <w:bookmarkStart w:id="707" w:name="_Ref190295846"/>
      <w:bookmarkStart w:id="708" w:name="_Toc239333432"/>
      <w:r w:rsidRPr="00EB2E7B">
        <w:rPr>
          <w:rFonts w:asciiTheme="minorHAnsi" w:hAnsiTheme="minorHAnsi" w:cstheme="minorHAnsi"/>
          <w:b w:val="0"/>
          <w:bCs w:val="0"/>
          <w:sz w:val="20"/>
          <w:szCs w:val="20"/>
        </w:rPr>
        <w:t>Postępowanie w sprawie reklamacji złożonych sprzedawcy przez URD</w:t>
      </w:r>
      <w:r w:rsidR="0030092E" w:rsidRPr="00EB2E7B">
        <w:rPr>
          <w:rFonts w:asciiTheme="minorHAnsi" w:hAnsiTheme="minorHAnsi" w:cstheme="minorHAnsi"/>
          <w:b w:val="0"/>
          <w:bCs w:val="0"/>
          <w:sz w:val="20"/>
          <w:szCs w:val="20"/>
        </w:rPr>
        <w:t xml:space="preserve"> </w:t>
      </w:r>
      <w:r w:rsidRPr="00EB2E7B">
        <w:rPr>
          <w:rFonts w:asciiTheme="minorHAnsi" w:hAnsiTheme="minorHAnsi" w:cstheme="minorHAnsi"/>
          <w:b w:val="0"/>
          <w:bCs w:val="0"/>
          <w:sz w:val="20"/>
          <w:szCs w:val="20"/>
        </w:rPr>
        <w:t>posiadającego zawartą umowę kompleksową, w sprawach innych niż opisane w</w:t>
      </w:r>
      <w:r w:rsidR="005B5280" w:rsidRPr="00EB2E7B">
        <w:rPr>
          <w:rFonts w:asciiTheme="minorHAnsi" w:hAnsiTheme="minorHAnsi" w:cstheme="minorHAnsi"/>
          <w:b w:val="0"/>
          <w:bCs w:val="0"/>
          <w:sz w:val="20"/>
          <w:szCs w:val="20"/>
        </w:rPr>
        <w:t> </w:t>
      </w:r>
      <w:r w:rsidRPr="00EB2E7B">
        <w:rPr>
          <w:rFonts w:asciiTheme="minorHAnsi" w:hAnsiTheme="minorHAnsi" w:cstheme="minorHAnsi"/>
          <w:b w:val="0"/>
          <w:bCs w:val="0"/>
          <w:sz w:val="20"/>
          <w:szCs w:val="20"/>
        </w:rPr>
        <w:t xml:space="preserve">pkt. </w:t>
      </w:r>
      <w:r w:rsidR="00851456" w:rsidRPr="00EB2E7B">
        <w:rPr>
          <w:rFonts w:asciiTheme="minorHAnsi" w:hAnsiTheme="minorHAnsi" w:cstheme="minorHAnsi"/>
          <w:b w:val="0"/>
          <w:bCs w:val="0"/>
          <w:sz w:val="20"/>
          <w:szCs w:val="20"/>
        </w:rPr>
        <w:fldChar w:fldCharType="begin"/>
      </w:r>
      <w:r w:rsidR="00851456" w:rsidRPr="00EB2E7B">
        <w:rPr>
          <w:rFonts w:asciiTheme="minorHAnsi" w:hAnsiTheme="minorHAnsi" w:cstheme="minorHAnsi"/>
          <w:b w:val="0"/>
          <w:bCs w:val="0"/>
          <w:sz w:val="20"/>
          <w:szCs w:val="20"/>
        </w:rPr>
        <w:instrText xml:space="preserve"> REF _Ref75767828 \r \h </w:instrText>
      </w:r>
      <w:r w:rsidR="00681CB7" w:rsidRPr="00EB2E7B">
        <w:rPr>
          <w:rFonts w:asciiTheme="minorHAnsi" w:hAnsiTheme="minorHAnsi" w:cstheme="minorHAnsi"/>
          <w:b w:val="0"/>
          <w:bCs w:val="0"/>
          <w:sz w:val="20"/>
          <w:szCs w:val="20"/>
        </w:rPr>
        <w:instrText xml:space="preserve"> \* MERGEFORMAT </w:instrText>
      </w:r>
      <w:r w:rsidR="00851456" w:rsidRPr="00EB2E7B">
        <w:rPr>
          <w:rFonts w:asciiTheme="minorHAnsi" w:hAnsiTheme="minorHAnsi" w:cstheme="minorHAnsi"/>
          <w:b w:val="0"/>
          <w:bCs w:val="0"/>
          <w:sz w:val="20"/>
          <w:szCs w:val="20"/>
        </w:rPr>
      </w:r>
      <w:r w:rsidR="00851456"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H.4</w:t>
      </w:r>
      <w:r w:rsidR="00851456" w:rsidRPr="00EB2E7B">
        <w:rPr>
          <w:rFonts w:asciiTheme="minorHAnsi" w:hAnsiTheme="minorHAnsi" w:cstheme="minorHAnsi"/>
          <w:b w:val="0"/>
          <w:bCs w:val="0"/>
          <w:sz w:val="20"/>
          <w:szCs w:val="20"/>
        </w:rPr>
        <w:fldChar w:fldCharType="end"/>
      </w:r>
      <w:r w:rsidRPr="00EB2E7B">
        <w:rPr>
          <w:rFonts w:asciiTheme="minorHAnsi" w:hAnsiTheme="minorHAnsi" w:cstheme="minorHAnsi"/>
          <w:b w:val="0"/>
          <w:bCs w:val="0"/>
          <w:sz w:val="20"/>
          <w:szCs w:val="20"/>
        </w:rPr>
        <w:t xml:space="preserve">, </w:t>
      </w:r>
      <w:r w:rsidR="00EF0DA1" w:rsidRPr="00EB2E7B">
        <w:rPr>
          <w:rFonts w:asciiTheme="minorHAnsi" w:hAnsiTheme="minorHAnsi" w:cstheme="minorHAnsi"/>
          <w:b w:val="0"/>
          <w:bCs w:val="0"/>
          <w:sz w:val="20"/>
          <w:szCs w:val="20"/>
        </w:rPr>
        <w:t>r</w:t>
      </w:r>
      <w:r w:rsidRPr="00EB2E7B">
        <w:rPr>
          <w:rFonts w:asciiTheme="minorHAnsi" w:hAnsiTheme="minorHAnsi" w:cstheme="minorHAnsi"/>
          <w:b w:val="0"/>
          <w:bCs w:val="0"/>
          <w:sz w:val="20"/>
          <w:szCs w:val="20"/>
        </w:rPr>
        <w:t>ealizowane jest w następujący sposób:</w:t>
      </w:r>
      <w:bookmarkEnd w:id="704"/>
      <w:bookmarkEnd w:id="705"/>
      <w:bookmarkEnd w:id="706"/>
      <w:bookmarkEnd w:id="707"/>
      <w:bookmarkEnd w:id="708"/>
    </w:p>
    <w:p w14:paraId="4FD51605" w14:textId="3CFC8ADA" w:rsidR="0066636F" w:rsidRPr="00EB2E7B" w:rsidRDefault="0066636F" w:rsidP="00700978">
      <w:pPr>
        <w:pStyle w:val="NormalnyIRiESD"/>
        <w:numPr>
          <w:ilvl w:val="0"/>
          <w:numId w:val="371"/>
        </w:numPr>
        <w:ind w:left="1701" w:hanging="567"/>
        <w:rPr>
          <w:rFonts w:asciiTheme="minorHAnsi" w:hAnsiTheme="minorHAnsi" w:cstheme="minorHAnsi"/>
          <w:sz w:val="20"/>
          <w:szCs w:val="20"/>
        </w:rPr>
      </w:pPr>
      <w:r w:rsidRPr="00EB2E7B">
        <w:rPr>
          <w:rFonts w:asciiTheme="minorHAnsi" w:hAnsiTheme="minorHAnsi" w:cstheme="minorHAnsi"/>
          <w:sz w:val="20"/>
          <w:szCs w:val="20"/>
        </w:rPr>
        <w:t>reklamacje dotyczące odczytu wskazań układu pomiarowo-rozliczeniowego przekazywane są przez sprzedawcę do ACPRO. ACPRO dokonuje weryfikacji wskazań układu pomiarowo-rozliczeniowego w terminie 7 dni kalendarzowych od daty otrzymania reklamacji od sprzedawcy i w tym samym terminie przekazuje odpowiedź sprzedawcy,</w:t>
      </w:r>
    </w:p>
    <w:p w14:paraId="3B3B091F" w14:textId="20A2F484" w:rsidR="0066636F" w:rsidRPr="00EB2E7B" w:rsidRDefault="008421C0" w:rsidP="00700978">
      <w:pPr>
        <w:pStyle w:val="NormalnyIRiESD"/>
        <w:numPr>
          <w:ilvl w:val="0"/>
          <w:numId w:val="371"/>
        </w:numPr>
        <w:ind w:left="1701" w:hanging="567"/>
        <w:rPr>
          <w:rFonts w:asciiTheme="minorHAnsi" w:hAnsiTheme="minorHAnsi" w:cstheme="minorHAnsi"/>
          <w:sz w:val="20"/>
          <w:szCs w:val="20"/>
        </w:rPr>
      </w:pPr>
      <w:r w:rsidRPr="00EB2E7B">
        <w:rPr>
          <w:rFonts w:asciiTheme="minorHAnsi" w:hAnsiTheme="minorHAnsi" w:cstheme="minorHAnsi"/>
          <w:sz w:val="20"/>
          <w:szCs w:val="20"/>
        </w:rPr>
        <w:t>reklamacje dotyczące prawidłowości działania układu pomiarowo-rozliczeniowego sprzedawca przekazuje do ACPRO w ciągu 2 dni roboczych w</w:t>
      </w:r>
      <w:r w:rsidR="007448E2" w:rsidRPr="00EB2E7B">
        <w:rPr>
          <w:rFonts w:asciiTheme="minorHAnsi" w:hAnsiTheme="minorHAnsi" w:cstheme="minorHAnsi"/>
          <w:sz w:val="20"/>
          <w:szCs w:val="20"/>
        </w:rPr>
        <w:t> </w:t>
      </w:r>
      <w:r w:rsidRPr="00EB2E7B">
        <w:rPr>
          <w:rFonts w:asciiTheme="minorHAnsi" w:hAnsiTheme="minorHAnsi" w:cstheme="minorHAnsi"/>
          <w:sz w:val="20"/>
          <w:szCs w:val="20"/>
        </w:rPr>
        <w:t>formie elektronicznej. ACPRO bezzwłocznie podejmuje działania w celu rozpatrzenia reklamacji oraz naprawy lub wymiany układu pomiarowo-rozliczeniowego. ACPRO niezwłocznie informuje w formie elektronicznej sprzedawcę o zrealizowanych działaniach, w tym naprawach lub wymianach, a także o ewentualnej korekcie danych pomiarowych w wyniku stwierdzonych nieprawidłowości pracy układu pomiarowo-rozliczeniowego. ACPRO wykonuje powyższe czynności w terminie 9 dni kalendarzowych od otrzymania reklamacji,</w:t>
      </w:r>
    </w:p>
    <w:p w14:paraId="62072617" w14:textId="77777777" w:rsidR="008421C0" w:rsidRPr="00EB2E7B" w:rsidRDefault="008421C0" w:rsidP="00D91B4C">
      <w:pPr>
        <w:pStyle w:val="1przeda"/>
        <w:numPr>
          <w:ilvl w:val="0"/>
          <w:numId w:val="371"/>
        </w:numPr>
        <w:ind w:left="1701" w:hanging="567"/>
        <w:rPr>
          <w:rFonts w:asciiTheme="minorHAnsi" w:hAnsiTheme="minorHAnsi" w:cstheme="minorHAnsi"/>
          <w:sz w:val="20"/>
          <w:szCs w:val="20"/>
        </w:rPr>
      </w:pPr>
      <w:bookmarkStart w:id="709" w:name="_Ref190122634"/>
      <w:r w:rsidRPr="00EB2E7B">
        <w:rPr>
          <w:rFonts w:asciiTheme="minorHAnsi" w:hAnsiTheme="minorHAnsi" w:cstheme="minorHAnsi"/>
          <w:sz w:val="20"/>
          <w:szCs w:val="20"/>
        </w:rPr>
        <w:lastRenderedPageBreak/>
        <w:t>w przypadku żądania URD laboratoryjnego sprawdzenia licznika, sprzedawca informuje o tym ACPRO w terminie 2 dni roboczych. ACPRO realizuje żądanie URD w terminie zapewniającym realizację obowiązku w 14 dni kalendarzowych od zgłoszenia URD. Pokrycie kosztów laboratoryjnego sprawdzenia licznika odbywa się zgodnie z zapisami obowiązującego prawa,</w:t>
      </w:r>
      <w:bookmarkEnd w:id="709"/>
    </w:p>
    <w:p w14:paraId="6BEA0C06" w14:textId="1CA2151D" w:rsidR="008421C0" w:rsidRPr="00EB2E7B" w:rsidRDefault="008421C0" w:rsidP="00D91B4C">
      <w:pPr>
        <w:pStyle w:val="1przeda"/>
        <w:numPr>
          <w:ilvl w:val="0"/>
          <w:numId w:val="371"/>
        </w:numPr>
        <w:ind w:left="1701" w:hanging="567"/>
        <w:rPr>
          <w:rFonts w:asciiTheme="minorHAnsi" w:hAnsiTheme="minorHAnsi" w:cstheme="minorHAnsi"/>
          <w:sz w:val="20"/>
          <w:szCs w:val="20"/>
        </w:rPr>
      </w:pPr>
      <w:r w:rsidRPr="00EB2E7B">
        <w:rPr>
          <w:rFonts w:asciiTheme="minorHAnsi" w:hAnsiTheme="minorHAnsi" w:cstheme="minorHAnsi"/>
          <w:sz w:val="20"/>
          <w:szCs w:val="20"/>
        </w:rPr>
        <w:t xml:space="preserve">w ciągu 30 dni kalendarzowych od dnia otrzymania wyniku badania laboratoryjnego o którym mowa w pkt. </w:t>
      </w:r>
      <w:r w:rsidR="00AE2242" w:rsidRPr="00EB2E7B">
        <w:rPr>
          <w:rFonts w:asciiTheme="minorHAnsi" w:hAnsiTheme="minorHAnsi" w:cstheme="minorHAnsi"/>
          <w:sz w:val="20"/>
          <w:szCs w:val="20"/>
        </w:rPr>
        <w:fldChar w:fldCharType="begin"/>
      </w:r>
      <w:r w:rsidR="00AE2242" w:rsidRPr="00EB2E7B">
        <w:rPr>
          <w:rFonts w:asciiTheme="minorHAnsi" w:hAnsiTheme="minorHAnsi" w:cstheme="minorHAnsi"/>
          <w:sz w:val="20"/>
          <w:szCs w:val="20"/>
        </w:rPr>
        <w:instrText xml:space="preserve"> REF _Ref190122634 \w \h  \* MERGEFORMAT </w:instrText>
      </w:r>
      <w:r w:rsidR="00AE2242" w:rsidRPr="00EB2E7B">
        <w:rPr>
          <w:rFonts w:asciiTheme="minorHAnsi" w:hAnsiTheme="minorHAnsi" w:cstheme="minorHAnsi"/>
          <w:sz w:val="20"/>
          <w:szCs w:val="20"/>
        </w:rPr>
      </w:r>
      <w:r w:rsidR="00AE224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00AE224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URD może zlecić wykonanie dodatkowej ekspertyzy badanego uprzednio układu pomiarowo-rozliczeniowego. Koszt ekspertyzy pokrywa URD na zasadach określonych w</w:t>
      </w:r>
      <w:r w:rsidR="00513251" w:rsidRPr="00EB2E7B">
        <w:rPr>
          <w:rFonts w:asciiTheme="minorHAnsi" w:hAnsiTheme="minorHAnsi" w:cstheme="minorHAnsi"/>
          <w:sz w:val="20"/>
          <w:szCs w:val="20"/>
        </w:rPr>
        <w:t> </w:t>
      </w:r>
      <w:r w:rsidRPr="00EB2E7B">
        <w:rPr>
          <w:rFonts w:asciiTheme="minorHAnsi" w:hAnsiTheme="minorHAnsi" w:cstheme="minorHAnsi"/>
          <w:sz w:val="20"/>
          <w:szCs w:val="20"/>
        </w:rPr>
        <w:t>przepisach prawa,</w:t>
      </w:r>
    </w:p>
    <w:p w14:paraId="0CF2D0D8" w14:textId="3935BD9C" w:rsidR="005D4794" w:rsidRPr="00EB2E7B" w:rsidRDefault="005D4794" w:rsidP="00D91B4C">
      <w:pPr>
        <w:pStyle w:val="1przeda"/>
        <w:numPr>
          <w:ilvl w:val="0"/>
          <w:numId w:val="371"/>
        </w:numPr>
        <w:ind w:left="1701" w:hanging="567"/>
        <w:rPr>
          <w:rFonts w:asciiTheme="minorHAnsi" w:hAnsiTheme="minorHAnsi" w:cstheme="minorHAnsi"/>
          <w:sz w:val="20"/>
          <w:szCs w:val="20"/>
        </w:rPr>
      </w:pPr>
      <w:bookmarkStart w:id="710" w:name="_Ref190122537"/>
      <w:r w:rsidRPr="00EB2E7B">
        <w:rPr>
          <w:rFonts w:asciiTheme="minorHAnsi" w:hAnsiTheme="minorHAnsi" w:cstheme="minorHAnsi"/>
          <w:sz w:val="20"/>
          <w:szCs w:val="20"/>
        </w:rPr>
        <w:t>reklamacje dotyczące dotrzymania parametrów jakościowych energii elektrycznej dostarczanej z sieci elektroenergetycznej, przekazywane są do ACPRO przez sprzedawcę w terminie 2 dni roboczych. ACPRO dokonuje sprawdzenia dotrzymania parametrów jakościowych energii elektrycznej dostarczanej z sieci elektroenergetycznej, przez wykonanie odpowiednich pomiarów. ACPRO przekazuje sprzedawcy informację o wynikach sprawdzenia niezwłocznie po zakończeniu pomiarów. W przypadku zgodności zmierzonych parametrów jakościowych energii elektrycznej z parametrami określonymi w aktach wykonawczych do Ustawy albo ustalonymi w umowie kompleksowej, koszty sprawdzenia i pomiarów ponosi URD na zasadach określonych w Taryfie ACPRO,</w:t>
      </w:r>
      <w:bookmarkEnd w:id="710"/>
    </w:p>
    <w:p w14:paraId="5A499947" w14:textId="77777777" w:rsidR="00E954A0" w:rsidRDefault="00047FD1">
      <w:pPr>
        <w:pStyle w:val="1przeda"/>
        <w:numPr>
          <w:ilvl w:val="0"/>
          <w:numId w:val="371"/>
        </w:numPr>
        <w:ind w:left="1701" w:hanging="567"/>
        <w:rPr>
          <w:rFonts w:asciiTheme="minorHAnsi" w:hAnsiTheme="minorHAnsi" w:cstheme="minorHAnsi"/>
          <w:sz w:val="20"/>
          <w:szCs w:val="20"/>
        </w:rPr>
      </w:pPr>
      <w:r>
        <w:rPr>
          <w:rFonts w:asciiTheme="minorHAnsi" w:hAnsiTheme="minorHAnsi" w:cstheme="minorHAnsi"/>
          <w:sz w:val="20"/>
          <w:szCs w:val="20"/>
        </w:rPr>
        <w:t>od dnia przystąpienia ACPRO do CSIRE — reklamacje dotyczące dotrzymania parametrów jakościowych energii elektrycznej dostarczanej z sieci elektroenergetycznej przekazywane są do ACPRO przez sprzedawcę poprzez CSIRE w terminie 2 dni roboczych od jej otrzymania. ACPRO dokonuje sprawdzenia dotrzymania parametrów jakościowych energii elektrycznej dostarczanej z sieci elektroenergetycznej przez wykonanie odpowiednich pomiarów. ACPRO przekazuje sprzedawcy poprzez CSIRE informację o wynikach sprawdzenia niezwłocznie po zakończeniu pomiarów, a w przypadku URD w gospodarstwach domowych — niezwłocznie, jednak nie później niż w terminie 10 dni kalendarzowych od zakończenia pomiarów. W przypadku zgodności zmierzonych parametrów jakościowych energii elektrycznej z parametrami określonymi w aktach wykonawczych do Ustawy albo ustalonymi w umowie kompleksowej, koszty sprawdzenia i pomiarów ponosi URD na zasadach określonych w Taryfie ACPRO,</w:t>
      </w:r>
    </w:p>
    <w:p w14:paraId="1AC9571E" w14:textId="77777777" w:rsidR="002218EF" w:rsidRPr="00EB2E7B" w:rsidRDefault="002218EF" w:rsidP="00252AFD">
      <w:pPr>
        <w:pStyle w:val="NormalnyIRiESD"/>
        <w:numPr>
          <w:ilvl w:val="0"/>
          <w:numId w:val="371"/>
        </w:numPr>
        <w:rPr>
          <w:rFonts w:asciiTheme="minorHAnsi" w:hAnsiTheme="minorHAnsi" w:cstheme="minorHAnsi"/>
          <w:sz w:val="20"/>
          <w:szCs w:val="20"/>
        </w:rPr>
      </w:pPr>
      <w:bookmarkStart w:id="711" w:name="_Ref75768209"/>
      <w:r w:rsidRPr="00EB2E7B">
        <w:rPr>
          <w:rFonts w:asciiTheme="minorHAnsi" w:hAnsiTheme="minorHAnsi" w:cstheme="minorHAnsi"/>
          <w:sz w:val="20"/>
          <w:szCs w:val="20"/>
        </w:rPr>
        <w:t>w przypadku otrzymania przez sprzedawcę od:</w:t>
      </w:r>
      <w:bookmarkEnd w:id="711"/>
    </w:p>
    <w:p w14:paraId="391FEB32" w14:textId="77777777" w:rsidR="002218EF" w:rsidRPr="00EB2E7B" w:rsidRDefault="002218EF" w:rsidP="00AD6251">
      <w:pPr>
        <w:pStyle w:val="apo"/>
        <w:numPr>
          <w:ilvl w:val="0"/>
          <w:numId w:val="130"/>
        </w:numPr>
        <w:ind w:left="2268" w:hanging="567"/>
        <w:rPr>
          <w:rFonts w:asciiTheme="minorHAnsi" w:hAnsiTheme="minorHAnsi" w:cstheme="minorHAnsi"/>
          <w:sz w:val="20"/>
          <w:szCs w:val="20"/>
        </w:rPr>
      </w:pPr>
      <w:bookmarkStart w:id="712" w:name="_Ref75768215"/>
      <w:r w:rsidRPr="00EB2E7B">
        <w:rPr>
          <w:rFonts w:asciiTheme="minorHAnsi" w:hAnsiTheme="minorHAnsi" w:cstheme="minorHAnsi"/>
          <w:sz w:val="20"/>
          <w:szCs w:val="20"/>
        </w:rPr>
        <w:t xml:space="preserve">URD przyłączonego do sieci o napięciu znamionowym nie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wniosku o udzielenie bonifikaty z tytułu przekroczenia dopuszczalnych czasów przerw w dostarczaniu energii elektrycznej,</w:t>
      </w:r>
      <w:bookmarkEnd w:id="712"/>
    </w:p>
    <w:p w14:paraId="188EBA14" w14:textId="77777777" w:rsidR="002218EF" w:rsidRPr="00EB2E7B" w:rsidRDefault="002218EF" w:rsidP="00AD6251">
      <w:pPr>
        <w:pStyle w:val="apo"/>
        <w:numPr>
          <w:ilvl w:val="0"/>
          <w:numId w:val="130"/>
        </w:numPr>
        <w:ind w:left="2268" w:hanging="567"/>
        <w:rPr>
          <w:rFonts w:asciiTheme="minorHAnsi" w:hAnsiTheme="minorHAnsi" w:cstheme="minorHAnsi"/>
          <w:sz w:val="20"/>
          <w:szCs w:val="20"/>
        </w:rPr>
      </w:pPr>
      <w:r w:rsidRPr="00EB2E7B">
        <w:rPr>
          <w:rFonts w:asciiTheme="minorHAnsi" w:hAnsiTheme="minorHAnsi" w:cstheme="minorHAnsi"/>
          <w:sz w:val="20"/>
          <w:szCs w:val="20"/>
        </w:rPr>
        <w:t>URD wniosku o udzielenie bonifikaty z tytułu niedotrzymania parametrów jakościowych energii elektrycznej, z wyłączeniem niedotrzymania parametrów jakościowych energii elektrycznej określających dopuszczalne czasy przerw  w dostarczaniu energii elektrycznej,</w:t>
      </w:r>
    </w:p>
    <w:p w14:paraId="36854DBC" w14:textId="38AC82EC" w:rsidR="002218EF" w:rsidRPr="00EB2E7B" w:rsidRDefault="002218EF" w:rsidP="00F42B25">
      <w:pPr>
        <w:pStyle w:val="apo"/>
        <w:rPr>
          <w:rFonts w:asciiTheme="minorHAnsi" w:hAnsiTheme="minorHAnsi" w:cstheme="minorHAnsi"/>
          <w:sz w:val="20"/>
          <w:szCs w:val="20"/>
        </w:rPr>
      </w:pPr>
      <w:r w:rsidRPr="00EB2E7B">
        <w:rPr>
          <w:rFonts w:asciiTheme="minorHAnsi" w:hAnsiTheme="minorHAnsi" w:cstheme="minorHAnsi"/>
          <w:sz w:val="20"/>
          <w:szCs w:val="20"/>
        </w:rPr>
        <w:t xml:space="preserve">sprzedawca przekazuje ACPRO w formie elektronicznej ten wniosek w ciągu 2 dni roboczych od dnia otrzymania wniosku URD. </w:t>
      </w:r>
    </w:p>
    <w:p w14:paraId="3303EF2D" w14:textId="33EFDAEA" w:rsidR="002218EF" w:rsidRPr="00EB2E7B" w:rsidRDefault="002218EF" w:rsidP="00F42B25">
      <w:pPr>
        <w:pStyle w:val="apo"/>
        <w:rPr>
          <w:rFonts w:asciiTheme="minorHAnsi" w:hAnsiTheme="minorHAnsi" w:cstheme="minorHAnsi"/>
          <w:sz w:val="20"/>
          <w:szCs w:val="20"/>
        </w:rPr>
      </w:pPr>
      <w:r w:rsidRPr="00EB2E7B">
        <w:rPr>
          <w:rFonts w:asciiTheme="minorHAnsi" w:hAnsiTheme="minorHAnsi" w:cstheme="minorHAnsi"/>
          <w:sz w:val="20"/>
          <w:szCs w:val="20"/>
        </w:rPr>
        <w:t>ACPRO po rozpatrzeniu wniosku, przekazuje sprzedawcy informację o uznaniu bądź odrzuceniu wniosku URD wraz z podaniem przyczyn odrzucenia, w terminie 14 dni kalendarzowych od dnia otrzymania wniosku od sprzedawcy,</w:t>
      </w:r>
    </w:p>
    <w:p w14:paraId="38FB6EEF" w14:textId="77777777" w:rsidR="002218EF" w:rsidRPr="00EB2E7B" w:rsidRDefault="002218EF" w:rsidP="002218EF">
      <w:pPr>
        <w:pStyle w:val="Akapitzlist"/>
        <w:numPr>
          <w:ilvl w:val="0"/>
          <w:numId w:val="377"/>
        </w:numPr>
        <w:spacing w:before="120" w:after="120" w:line="298" w:lineRule="auto"/>
        <w:ind w:left="1701" w:right="118" w:hanging="567"/>
        <w:contextualSpacing w:val="0"/>
        <w:rPr>
          <w:rFonts w:asciiTheme="minorHAnsi" w:hAnsiTheme="minorHAnsi" w:cstheme="minorHAnsi"/>
          <w:sz w:val="20"/>
          <w:szCs w:val="20"/>
        </w:rPr>
      </w:pPr>
      <w:bookmarkStart w:id="713" w:name="_Ref190122756"/>
      <w:r w:rsidRPr="00EB2E7B">
        <w:rPr>
          <w:rFonts w:asciiTheme="minorHAnsi" w:hAnsiTheme="minorHAnsi" w:cstheme="minorHAnsi"/>
          <w:sz w:val="20"/>
          <w:szCs w:val="20"/>
        </w:rPr>
        <w:lastRenderedPageBreak/>
        <w:t>w przypadku zaistnienia przesłanek do udzielenia URD przez ACPRO bonifikaty bez wcześniejszego wniosku URD, ACPRO przekazuje sprzedawcy informacje niezbędne do udzielenia URD przez sprzedawcę bonifikaty w terminie 21 dni kalendarzowych od:</w:t>
      </w:r>
      <w:bookmarkEnd w:id="713"/>
    </w:p>
    <w:p w14:paraId="20DB9BA5" w14:textId="77777777" w:rsidR="002218EF" w:rsidRPr="00EB2E7B" w:rsidRDefault="002218EF" w:rsidP="002218EF">
      <w:pPr>
        <w:pStyle w:val="-"/>
        <w:numPr>
          <w:ilvl w:val="0"/>
          <w:numId w:val="378"/>
        </w:numPr>
        <w:spacing w:line="298" w:lineRule="auto"/>
        <w:ind w:left="2268" w:hanging="567"/>
        <w:rPr>
          <w:rFonts w:asciiTheme="minorHAnsi" w:hAnsiTheme="minorHAnsi" w:cstheme="minorHAnsi"/>
          <w:sz w:val="20"/>
          <w:szCs w:val="20"/>
        </w:rPr>
      </w:pPr>
      <w:r w:rsidRPr="00EB2E7B">
        <w:rPr>
          <w:rFonts w:asciiTheme="minorHAnsi" w:hAnsiTheme="minorHAnsi" w:cstheme="minorHAnsi"/>
          <w:sz w:val="20"/>
          <w:szCs w:val="20"/>
        </w:rPr>
        <w:t>ostatniego dnia, w którym nastąpiło niedotrzymanie przez ACPRO standardów jakościowych obsługi odbiorców,</w:t>
      </w:r>
    </w:p>
    <w:p w14:paraId="23EED419" w14:textId="77777777" w:rsidR="002218EF" w:rsidRPr="00EB2E7B" w:rsidRDefault="002218EF" w:rsidP="002218EF">
      <w:pPr>
        <w:pStyle w:val="-"/>
        <w:numPr>
          <w:ilvl w:val="0"/>
          <w:numId w:val="378"/>
        </w:numPr>
        <w:spacing w:line="298" w:lineRule="auto"/>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ostatniego dnia, w którym nastąpiło przekroczenie dopuszczalnych czasów przerw w dostarczaniu energii elektrycznej dla URD przyłączonych do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1C4B7DAE" w14:textId="4C55965D" w:rsidR="002218EF" w:rsidRPr="00EB2E7B" w:rsidRDefault="002218EF" w:rsidP="002218EF">
      <w:pPr>
        <w:pStyle w:val="-"/>
        <w:numPr>
          <w:ilvl w:val="0"/>
          <w:numId w:val="378"/>
        </w:numPr>
        <w:spacing w:line="298" w:lineRule="auto"/>
        <w:ind w:left="2268" w:hanging="567"/>
        <w:rPr>
          <w:rFonts w:asciiTheme="minorHAnsi" w:hAnsiTheme="minorHAnsi" w:cstheme="minorHAnsi"/>
          <w:sz w:val="20"/>
          <w:szCs w:val="20"/>
        </w:rPr>
      </w:pPr>
      <w:r w:rsidRPr="00EB2E7B">
        <w:rPr>
          <w:rFonts w:asciiTheme="minorHAnsi" w:hAnsiTheme="minorHAnsi" w:cstheme="minorHAnsi"/>
          <w:sz w:val="20"/>
          <w:szCs w:val="20"/>
        </w:rPr>
        <w:t xml:space="preserve">dnia otrzymania wniosku,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_Ref75768201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_Ref75768209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7)</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_Ref75768215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dla innych URD niż URD, który złożył wniosek o którym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_Ref75768201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_Ref75768209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7)</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_Ref75768215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zasilanych z tego samego miejsca dostarczania co URD, który złożył ten wniosek, dla których również potwierdzono przekroczenie czasów przerw w dostarczaniu energii elektrycznej,</w:t>
      </w:r>
    </w:p>
    <w:p w14:paraId="17213157" w14:textId="77D74916" w:rsidR="002218EF" w:rsidRPr="00EB2E7B" w:rsidRDefault="002218EF" w:rsidP="002218EF">
      <w:pPr>
        <w:pStyle w:val="Akapitzlist"/>
        <w:numPr>
          <w:ilvl w:val="0"/>
          <w:numId w:val="377"/>
        </w:numPr>
        <w:spacing w:before="120" w:after="120" w:line="298" w:lineRule="auto"/>
        <w:ind w:left="1701" w:right="118"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bonifikata, o której mowa w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153AE8" w:rsidRPr="00EB2E7B">
        <w:rPr>
          <w:rFonts w:asciiTheme="minorHAnsi" w:hAnsiTheme="minorHAnsi" w:cstheme="minorHAnsi"/>
          <w:sz w:val="20"/>
          <w:szCs w:val="20"/>
        </w:rPr>
        <w:fldChar w:fldCharType="begin"/>
      </w:r>
      <w:r w:rsidR="00153AE8" w:rsidRPr="00EB2E7B">
        <w:rPr>
          <w:rFonts w:asciiTheme="minorHAnsi" w:hAnsiTheme="minorHAnsi" w:cstheme="minorHAnsi"/>
          <w:sz w:val="20"/>
          <w:szCs w:val="20"/>
        </w:rPr>
        <w:instrText xml:space="preserve"> REF _Ref190122756 \w \h  \* MERGEFORMAT </w:instrText>
      </w:r>
      <w:r w:rsidR="00153AE8" w:rsidRPr="00EB2E7B">
        <w:rPr>
          <w:rFonts w:asciiTheme="minorHAnsi" w:hAnsiTheme="minorHAnsi" w:cstheme="minorHAnsi"/>
          <w:sz w:val="20"/>
          <w:szCs w:val="20"/>
        </w:rPr>
      </w:r>
      <w:r w:rsidR="00153AE8"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6a)</w:t>
      </w:r>
      <w:r w:rsidR="00153AE8"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jest uwzględniana w rozliczeniach  z URD za najbliższy okres rozliczeniowy i uwzględniana w rozliczeniach pomiędzy ACPRO a sprzedawcą,</w:t>
      </w:r>
    </w:p>
    <w:p w14:paraId="6F6E81C3" w14:textId="77777777" w:rsidR="002218EF" w:rsidRPr="00EB2E7B" w:rsidRDefault="002218EF" w:rsidP="002218EF">
      <w:pPr>
        <w:pStyle w:val="Akapitzlist"/>
        <w:numPr>
          <w:ilvl w:val="0"/>
          <w:numId w:val="377"/>
        </w:numPr>
        <w:spacing w:before="120" w:after="120" w:line="298" w:lineRule="auto"/>
        <w:ind w:left="1701" w:right="118" w:hanging="567"/>
        <w:contextualSpacing w:val="0"/>
        <w:rPr>
          <w:rFonts w:asciiTheme="minorHAnsi" w:hAnsiTheme="minorHAnsi" w:cstheme="minorHAnsi"/>
          <w:sz w:val="20"/>
          <w:szCs w:val="20"/>
        </w:rPr>
      </w:pPr>
      <w:r w:rsidRPr="00EB2E7B">
        <w:rPr>
          <w:rFonts w:asciiTheme="minorHAnsi" w:hAnsiTheme="minorHAnsi" w:cstheme="minorHAnsi"/>
          <w:sz w:val="20"/>
          <w:szCs w:val="20"/>
        </w:rPr>
        <w:t>w przypadku otrzymania przez sprzedawcę reklamacji URD w sprawie bonifikaty, sprzedawca przekazuje ACPRO reklamację  w formie elektronicznej w ciągu 2 dni roboczych. ACPRO po rozpatrzeniu reklamacji, przekazuje sprzedawcy informację o uznaniu bądź odrzuceniu reklamacji URD, wraz z podaniem przyczyn odrzucenia, w terminie 21 dni kalendarzowych od dnia otrzymania reklamacji od sprzedawcy,</w:t>
      </w:r>
    </w:p>
    <w:p w14:paraId="1E92143E" w14:textId="77777777" w:rsidR="002218EF" w:rsidRPr="00EB2E7B" w:rsidRDefault="002218EF" w:rsidP="00EF0288">
      <w:pPr>
        <w:pStyle w:val="apo"/>
        <w:numPr>
          <w:ilvl w:val="0"/>
          <w:numId w:val="371"/>
        </w:numPr>
        <w:ind w:left="1701" w:hanging="567"/>
        <w:rPr>
          <w:rFonts w:asciiTheme="minorHAnsi" w:hAnsiTheme="minorHAnsi" w:cstheme="minorHAnsi"/>
          <w:sz w:val="20"/>
          <w:szCs w:val="20"/>
        </w:rPr>
      </w:pPr>
      <w:bookmarkStart w:id="714" w:name="_Ref75768317"/>
      <w:r w:rsidRPr="00EB2E7B">
        <w:rPr>
          <w:rFonts w:asciiTheme="minorHAnsi" w:hAnsiTheme="minorHAnsi" w:cstheme="minorHAnsi"/>
          <w:sz w:val="20"/>
          <w:szCs w:val="20"/>
        </w:rPr>
        <w:t>wnioski URD o odszkodowanie wynikające z niedotrzymania parametrów jakościowych energii elektrycznej dostarczanej z sieci elektroenergetycznej, niedotrzymania standardów jakościowych obsługi URD, przerw w dostarczaniu energii elektrycznej, bądź nie wykonania lub nienależytego wykonania usługi dystrybucji na rzecz URD, sprzedawca przekazuje w ciągu 2 dni roboczych do ACPRO w formie elektronicznej wraz ze skanem wniosku. ACPRO niezwłocznie rozpatruje złożone wnioski i informuje sprzedawcę lub URD o wyniku ich rozpatrzenia,</w:t>
      </w:r>
      <w:bookmarkEnd w:id="714"/>
    </w:p>
    <w:p w14:paraId="7D44B3DF" w14:textId="77777777" w:rsidR="002218EF" w:rsidRPr="00EB2E7B" w:rsidRDefault="002218EF" w:rsidP="00AD6251">
      <w:pPr>
        <w:pStyle w:val="apo"/>
        <w:numPr>
          <w:ilvl w:val="0"/>
          <w:numId w:val="371"/>
        </w:numPr>
        <w:ind w:left="1701" w:hanging="567"/>
        <w:rPr>
          <w:rFonts w:asciiTheme="minorHAnsi" w:hAnsiTheme="minorHAnsi" w:cstheme="minorHAnsi"/>
          <w:sz w:val="20"/>
          <w:szCs w:val="20"/>
        </w:rPr>
      </w:pPr>
      <w:r w:rsidRPr="00EB2E7B">
        <w:rPr>
          <w:rFonts w:asciiTheme="minorHAnsi" w:hAnsiTheme="minorHAnsi" w:cstheme="minorHAnsi"/>
          <w:sz w:val="20"/>
          <w:szCs w:val="20"/>
        </w:rPr>
        <w:t>W przypadku prowadzonego postępowania reklamacyjnego sprzedawca na żądanie ACPRO, w terminie 7 dni od otrzymania żądania, prześle w formie elektronicznej do ACPRO kopię odpowiedzi udzielonej URD.</w:t>
      </w:r>
    </w:p>
    <w:p w14:paraId="4FB57AC1" w14:textId="58EAD74B" w:rsidR="002218EF" w:rsidRPr="00EB2E7B" w:rsidRDefault="002218EF" w:rsidP="00700978">
      <w:pPr>
        <w:ind w:left="1134"/>
        <w:rPr>
          <w:rFonts w:asciiTheme="minorHAnsi" w:hAnsiTheme="minorHAnsi" w:cstheme="minorHAnsi"/>
          <w:sz w:val="20"/>
          <w:szCs w:val="20"/>
        </w:rPr>
      </w:pPr>
      <w:r w:rsidRPr="00EB2E7B">
        <w:rPr>
          <w:rFonts w:asciiTheme="minorHAnsi" w:hAnsiTheme="minorHAnsi" w:cstheme="minorHAnsi"/>
          <w:sz w:val="20"/>
          <w:szCs w:val="20"/>
        </w:rPr>
        <w:t xml:space="preserve">Odpowiedzi na reklamacje URD złożone do sprzedawcy, zgodnie z zasadami opisanymi w niniejszym punkcie, udzielane są URD przez sprzedawcę za wyjątkiem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_Ref75768317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4604DC77" w14:textId="5AD84028" w:rsidR="002218EF" w:rsidRPr="00E43F94" w:rsidRDefault="002218EF" w:rsidP="00E43F94">
      <w:pPr>
        <w:pStyle w:val="ANagwek2"/>
        <w:rPr>
          <w:rFonts w:asciiTheme="minorHAnsi" w:hAnsiTheme="minorHAnsi" w:cstheme="minorHAnsi"/>
          <w:b w:val="0"/>
          <w:bCs w:val="0"/>
          <w:sz w:val="20"/>
          <w:szCs w:val="20"/>
        </w:rPr>
      </w:pPr>
      <w:bookmarkStart w:id="715" w:name="_Ref75768504"/>
      <w:bookmarkStart w:id="716" w:name="_Toc189833830"/>
      <w:bookmarkStart w:id="717" w:name="_Toc239333433"/>
      <w:r w:rsidRPr="00EB2E7B">
        <w:rPr>
          <w:rFonts w:asciiTheme="minorHAnsi" w:hAnsiTheme="minorHAnsi" w:cstheme="minorHAnsi"/>
          <w:b w:val="0"/>
          <w:bCs w:val="0"/>
          <w:sz w:val="20"/>
          <w:szCs w:val="20"/>
        </w:rPr>
        <w:t>Reklamacje powinny być przesyłane do ACPRO, na adres pocztowy:</w:t>
      </w:r>
      <w:bookmarkEnd w:id="715"/>
      <w:bookmarkEnd w:id="716"/>
      <w:bookmarkEnd w:id="717"/>
      <w:r w:rsidRPr="00EB2E7B">
        <w:rPr>
          <w:rFonts w:asciiTheme="minorHAnsi" w:hAnsiTheme="minorHAnsi" w:cstheme="minorHAnsi"/>
          <w:b w:val="0"/>
          <w:bCs w:val="0"/>
          <w:sz w:val="20"/>
          <w:szCs w:val="20"/>
        </w:rPr>
        <w:t xml:space="preserve"> </w:t>
      </w:r>
    </w:p>
    <w:p w14:paraId="53795CFB" w14:textId="328AE343" w:rsidR="00E43F94" w:rsidRPr="00E43F94" w:rsidRDefault="00E43F94" w:rsidP="00231077">
      <w:pPr>
        <w:ind w:left="1134" w:firstLine="0"/>
        <w:jc w:val="center"/>
        <w:rPr>
          <w:rFonts w:asciiTheme="minorHAnsi" w:hAnsiTheme="minorHAnsi" w:cstheme="minorHAnsi"/>
          <w:iCs/>
          <w:sz w:val="20"/>
          <w:szCs w:val="20"/>
        </w:rPr>
      </w:pPr>
      <w:r w:rsidRPr="00E43F94">
        <w:rPr>
          <w:rFonts w:asciiTheme="minorHAnsi" w:hAnsiTheme="minorHAnsi" w:cstheme="minorHAnsi"/>
          <w:iCs/>
          <w:sz w:val="20"/>
          <w:szCs w:val="20"/>
        </w:rPr>
        <w:t>ul. Kościerzyńska 17-19</w:t>
      </w:r>
      <w:r w:rsidR="00231077">
        <w:rPr>
          <w:rFonts w:asciiTheme="minorHAnsi" w:hAnsiTheme="minorHAnsi" w:cstheme="minorHAnsi"/>
          <w:iCs/>
          <w:sz w:val="20"/>
          <w:szCs w:val="20"/>
        </w:rPr>
        <w:t xml:space="preserve">, </w:t>
      </w:r>
      <w:r w:rsidRPr="00E43F94">
        <w:rPr>
          <w:rFonts w:asciiTheme="minorHAnsi" w:hAnsiTheme="minorHAnsi" w:cstheme="minorHAnsi"/>
          <w:iCs/>
          <w:sz w:val="20"/>
          <w:szCs w:val="20"/>
        </w:rPr>
        <w:t>51-430 Wrocław</w:t>
      </w:r>
    </w:p>
    <w:p w14:paraId="22B489BD" w14:textId="6EB75BAE" w:rsidR="002218EF" w:rsidRPr="00EB2E7B" w:rsidRDefault="002218EF" w:rsidP="00231077">
      <w:pPr>
        <w:ind w:left="1134" w:firstLine="0"/>
        <w:rPr>
          <w:rFonts w:asciiTheme="minorHAnsi" w:hAnsiTheme="minorHAnsi" w:cstheme="minorHAnsi"/>
          <w:sz w:val="20"/>
          <w:szCs w:val="20"/>
        </w:rPr>
      </w:pPr>
      <w:r w:rsidRPr="00EB2E7B">
        <w:rPr>
          <w:rFonts w:asciiTheme="minorHAnsi" w:hAnsiTheme="minorHAnsi" w:cstheme="minorHAnsi"/>
          <w:sz w:val="20"/>
          <w:szCs w:val="20"/>
        </w:rPr>
        <w:t>lub z wykorzystaniem środków komunikacji elektronicznej, w tym na adres</w:t>
      </w:r>
      <w:r w:rsidR="00231077">
        <w:rPr>
          <w:rFonts w:asciiTheme="minorHAnsi" w:hAnsiTheme="minorHAnsi" w:cstheme="minorHAnsi"/>
          <w:sz w:val="20"/>
          <w:szCs w:val="20"/>
        </w:rPr>
        <w:t xml:space="preserve"> </w:t>
      </w:r>
      <w:r w:rsidR="00260F14" w:rsidRPr="00231077">
        <w:rPr>
          <w:rFonts w:asciiTheme="minorHAnsi" w:hAnsiTheme="minorHAnsi" w:cstheme="minorHAnsi"/>
          <w:sz w:val="20"/>
          <w:szCs w:val="20"/>
        </w:rPr>
        <w:t>biuro@</w:t>
      </w:r>
      <w:r w:rsidR="00231077">
        <w:rPr>
          <w:rFonts w:asciiTheme="minorHAnsi" w:hAnsiTheme="minorHAnsi" w:cstheme="minorHAnsi"/>
          <w:sz w:val="20"/>
          <w:szCs w:val="20"/>
        </w:rPr>
        <w:t>acpro.pl</w:t>
      </w:r>
    </w:p>
    <w:p w14:paraId="04BAF5D9" w14:textId="40DCDEC0" w:rsidR="00260F14" w:rsidRPr="00EB2E7B" w:rsidRDefault="00A4415C" w:rsidP="00A4415C">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 uwzględnieniem pkt </w:t>
      </w:r>
      <w:r w:rsidR="008A16F2" w:rsidRPr="00EB2E7B">
        <w:rPr>
          <w:rFonts w:asciiTheme="minorHAnsi" w:hAnsiTheme="minorHAnsi" w:cstheme="minorHAnsi"/>
          <w:sz w:val="20"/>
          <w:szCs w:val="20"/>
        </w:rPr>
        <w:fldChar w:fldCharType="begin"/>
      </w:r>
      <w:r w:rsidR="008A16F2" w:rsidRPr="00EB2E7B">
        <w:rPr>
          <w:rFonts w:asciiTheme="minorHAnsi" w:hAnsiTheme="minorHAnsi" w:cstheme="minorHAnsi"/>
          <w:sz w:val="20"/>
          <w:szCs w:val="20"/>
        </w:rPr>
        <w:instrText xml:space="preserve"> REF _Ref190295830 \r \h  \* MERGEFORMAT </w:instrText>
      </w:r>
      <w:r w:rsidR="008A16F2" w:rsidRPr="00EB2E7B">
        <w:rPr>
          <w:rFonts w:asciiTheme="minorHAnsi" w:hAnsiTheme="minorHAnsi" w:cstheme="minorHAnsi"/>
          <w:sz w:val="20"/>
          <w:szCs w:val="20"/>
        </w:rPr>
      </w:r>
      <w:r w:rsidR="008A16F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H.2</w:t>
      </w:r>
      <w:r w:rsidR="008A16F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8A16F2" w:rsidRPr="00EB2E7B">
        <w:rPr>
          <w:rFonts w:asciiTheme="minorHAnsi" w:hAnsiTheme="minorHAnsi" w:cstheme="minorHAnsi"/>
          <w:sz w:val="20"/>
          <w:szCs w:val="20"/>
        </w:rPr>
        <w:fldChar w:fldCharType="begin"/>
      </w:r>
      <w:r w:rsidR="008A16F2" w:rsidRPr="00EB2E7B">
        <w:rPr>
          <w:rFonts w:asciiTheme="minorHAnsi" w:hAnsiTheme="minorHAnsi" w:cstheme="minorHAnsi"/>
          <w:sz w:val="20"/>
          <w:szCs w:val="20"/>
        </w:rPr>
        <w:instrText xml:space="preserve"> REF _Ref190295846 \r \h  \* MERGEFORMAT </w:instrText>
      </w:r>
      <w:r w:rsidR="008A16F2" w:rsidRPr="00EB2E7B">
        <w:rPr>
          <w:rFonts w:asciiTheme="minorHAnsi" w:hAnsiTheme="minorHAnsi" w:cstheme="minorHAnsi"/>
          <w:sz w:val="20"/>
          <w:szCs w:val="20"/>
        </w:rPr>
      </w:r>
      <w:r w:rsidR="008A16F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H.5</w:t>
      </w:r>
      <w:r w:rsidR="008A16F2"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0314E391" w14:textId="79B093B5" w:rsidR="002218EF" w:rsidRPr="00EB2E7B" w:rsidRDefault="002218EF" w:rsidP="004D1C36">
      <w:pPr>
        <w:pStyle w:val="ANagwek2"/>
        <w:rPr>
          <w:rFonts w:asciiTheme="minorHAnsi" w:hAnsiTheme="minorHAnsi" w:cstheme="minorHAnsi"/>
          <w:b w:val="0"/>
          <w:bCs w:val="0"/>
          <w:sz w:val="20"/>
          <w:szCs w:val="20"/>
        </w:rPr>
      </w:pPr>
      <w:bookmarkStart w:id="718" w:name="_Toc189833831"/>
      <w:bookmarkStart w:id="719" w:name="_Toc239333434"/>
      <w:r w:rsidRPr="00EB2E7B">
        <w:rPr>
          <w:rFonts w:asciiTheme="minorHAnsi" w:hAnsiTheme="minorHAnsi" w:cstheme="minorHAnsi"/>
          <w:b w:val="0"/>
          <w:bCs w:val="0"/>
          <w:sz w:val="20"/>
          <w:szCs w:val="20"/>
        </w:rPr>
        <w:t>Zgłoszenie przez podmiot reklamacji do ACPRO powinno zawierać w szczególności:</w:t>
      </w:r>
      <w:bookmarkEnd w:id="718"/>
      <w:bookmarkEnd w:id="719"/>
      <w:r w:rsidRPr="00EB2E7B">
        <w:rPr>
          <w:rFonts w:asciiTheme="minorHAnsi" w:hAnsiTheme="minorHAnsi" w:cstheme="minorHAnsi"/>
          <w:b w:val="0"/>
          <w:bCs w:val="0"/>
          <w:sz w:val="20"/>
          <w:szCs w:val="20"/>
        </w:rPr>
        <w:t xml:space="preserve"> </w:t>
      </w:r>
    </w:p>
    <w:p w14:paraId="536AE53A" w14:textId="083BAB18" w:rsidR="002218EF" w:rsidRPr="00EB2E7B" w:rsidRDefault="002218EF" w:rsidP="000516A9">
      <w:pPr>
        <w:pStyle w:val="Tekstblokowy"/>
        <w:numPr>
          <w:ilvl w:val="0"/>
          <w:numId w:val="131"/>
        </w:numPr>
        <w:ind w:left="1701" w:hanging="566"/>
        <w:rPr>
          <w:rFonts w:asciiTheme="minorHAnsi" w:hAnsiTheme="minorHAnsi" w:cstheme="minorHAnsi"/>
          <w:sz w:val="20"/>
          <w:szCs w:val="20"/>
        </w:rPr>
      </w:pPr>
      <w:bookmarkStart w:id="720" w:name="_Ref75768342"/>
      <w:r w:rsidRPr="00EB2E7B">
        <w:rPr>
          <w:rFonts w:asciiTheme="minorHAnsi" w:hAnsiTheme="minorHAnsi" w:cstheme="minorHAnsi"/>
          <w:sz w:val="20"/>
          <w:szCs w:val="20"/>
        </w:rPr>
        <w:t>dane adresowe podmiotu;</w:t>
      </w:r>
      <w:bookmarkEnd w:id="720"/>
      <w:r w:rsidRPr="00EB2E7B">
        <w:rPr>
          <w:rFonts w:asciiTheme="minorHAnsi" w:hAnsiTheme="minorHAnsi" w:cstheme="minorHAnsi"/>
          <w:sz w:val="20"/>
          <w:szCs w:val="20"/>
        </w:rPr>
        <w:t xml:space="preserve"> </w:t>
      </w:r>
    </w:p>
    <w:p w14:paraId="46E8BAB6" w14:textId="77777777" w:rsidR="002218EF" w:rsidRPr="00EB2E7B" w:rsidRDefault="002218EF" w:rsidP="00AD6251">
      <w:pPr>
        <w:pStyle w:val="Tekstblokowy"/>
        <w:numPr>
          <w:ilvl w:val="0"/>
          <w:numId w:val="131"/>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 xml:space="preserve">datę zaistnienia oraz dokładny opis i przyczynę okoliczności stanowiących podstawę reklamacji wraz z uzasadnieniem; </w:t>
      </w:r>
    </w:p>
    <w:p w14:paraId="694FC463" w14:textId="77777777" w:rsidR="002218EF" w:rsidRPr="00EB2E7B" w:rsidRDefault="002218EF" w:rsidP="00AD6251">
      <w:pPr>
        <w:pStyle w:val="Tekstblokowy"/>
        <w:numPr>
          <w:ilvl w:val="0"/>
          <w:numId w:val="131"/>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zgłaszane żądanie; </w:t>
      </w:r>
    </w:p>
    <w:p w14:paraId="342DF5DD" w14:textId="77777777" w:rsidR="002218EF" w:rsidRPr="00EB2E7B" w:rsidRDefault="002218EF" w:rsidP="00AD6251">
      <w:pPr>
        <w:pStyle w:val="Tekstblokowy"/>
        <w:numPr>
          <w:ilvl w:val="0"/>
          <w:numId w:val="131"/>
        </w:numPr>
        <w:ind w:left="1701" w:hanging="566"/>
        <w:rPr>
          <w:rFonts w:asciiTheme="minorHAnsi" w:hAnsiTheme="minorHAnsi" w:cstheme="minorHAnsi"/>
          <w:sz w:val="20"/>
          <w:szCs w:val="20"/>
        </w:rPr>
      </w:pPr>
      <w:bookmarkStart w:id="721" w:name="_Ref75768348"/>
      <w:r w:rsidRPr="00EB2E7B">
        <w:rPr>
          <w:rFonts w:asciiTheme="minorHAnsi" w:hAnsiTheme="minorHAnsi" w:cstheme="minorHAnsi"/>
          <w:sz w:val="20"/>
          <w:szCs w:val="20"/>
        </w:rPr>
        <w:t>dokumenty uzasadniające żądanie.</w:t>
      </w:r>
      <w:bookmarkEnd w:id="721"/>
      <w:r w:rsidRPr="00EB2E7B">
        <w:rPr>
          <w:rFonts w:asciiTheme="minorHAnsi" w:hAnsiTheme="minorHAnsi" w:cstheme="minorHAnsi"/>
          <w:sz w:val="20"/>
          <w:szCs w:val="20"/>
        </w:rPr>
        <w:t xml:space="preserve"> </w:t>
      </w:r>
    </w:p>
    <w:p w14:paraId="623DE857" w14:textId="02172EDA" w:rsidR="002218EF" w:rsidRPr="00EB2E7B" w:rsidRDefault="002218EF"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Uchybienia w zgłoszeniu reklamacyjnym dot.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_Ref75768342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_Ref75768348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nie mogą być przyczyną odmowy rozpatrzenia reklamacji przez ACPRO.  </w:t>
      </w:r>
    </w:p>
    <w:p w14:paraId="7C072F43" w14:textId="66C233E1" w:rsidR="002218EF" w:rsidRPr="00EB2E7B" w:rsidRDefault="002218EF" w:rsidP="004D1C36">
      <w:pPr>
        <w:pStyle w:val="ANagwek2"/>
        <w:rPr>
          <w:rFonts w:asciiTheme="minorHAnsi" w:hAnsiTheme="minorHAnsi" w:cstheme="minorHAnsi"/>
          <w:b w:val="0"/>
          <w:bCs w:val="0"/>
          <w:sz w:val="20"/>
          <w:szCs w:val="20"/>
        </w:rPr>
      </w:pPr>
      <w:bookmarkStart w:id="722" w:name="_Ref75768428"/>
      <w:bookmarkStart w:id="723" w:name="_Toc189833832"/>
      <w:bookmarkStart w:id="724" w:name="_Toc239333435"/>
      <w:r w:rsidRPr="00EB2E7B">
        <w:rPr>
          <w:rFonts w:asciiTheme="minorHAnsi" w:hAnsiTheme="minorHAnsi" w:cstheme="minorHAnsi"/>
          <w:b w:val="0"/>
          <w:bCs w:val="0"/>
          <w:sz w:val="20"/>
          <w:szCs w:val="20"/>
        </w:rPr>
        <w:t>ACPRO rozstrzyga zgłoszoną reklamację w terminie nie dłuższym niż:</w:t>
      </w:r>
      <w:bookmarkEnd w:id="722"/>
      <w:bookmarkEnd w:id="723"/>
      <w:bookmarkEnd w:id="724"/>
      <w:r w:rsidRPr="00EB2E7B">
        <w:rPr>
          <w:rFonts w:asciiTheme="minorHAnsi" w:hAnsiTheme="minorHAnsi" w:cstheme="minorHAnsi"/>
          <w:b w:val="0"/>
          <w:bCs w:val="0"/>
          <w:sz w:val="20"/>
          <w:szCs w:val="20"/>
        </w:rPr>
        <w:t xml:space="preserve"> </w:t>
      </w:r>
    </w:p>
    <w:p w14:paraId="4C6CB9EC" w14:textId="4A5A152D" w:rsidR="00F90997" w:rsidRPr="00EB2E7B" w:rsidRDefault="002218EF" w:rsidP="00AD6251">
      <w:pPr>
        <w:pStyle w:val="Tekstblokowy"/>
        <w:numPr>
          <w:ilvl w:val="0"/>
          <w:numId w:val="132"/>
        </w:numPr>
        <w:spacing w:before="120" w:after="120" w:line="266" w:lineRule="auto"/>
        <w:ind w:left="1701" w:hanging="566"/>
        <w:rPr>
          <w:rFonts w:asciiTheme="minorHAnsi" w:hAnsiTheme="minorHAnsi" w:cstheme="minorHAnsi"/>
          <w:sz w:val="20"/>
          <w:szCs w:val="20"/>
        </w:rPr>
      </w:pPr>
      <w:bookmarkStart w:id="725" w:name="_Ref75768432"/>
      <w:r w:rsidRPr="00EB2E7B">
        <w:rPr>
          <w:rFonts w:asciiTheme="minorHAnsi" w:hAnsiTheme="minorHAnsi" w:cstheme="minorHAnsi"/>
          <w:sz w:val="20"/>
          <w:szCs w:val="20"/>
        </w:rPr>
        <w:t xml:space="preserve">określonym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_Ref75768201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jeżeli reklamacja została złożona do sprzedawcy przez</w:t>
      </w:r>
      <w:bookmarkEnd w:id="725"/>
      <w:r w:rsidRPr="00EB2E7B">
        <w:rPr>
          <w:rFonts w:asciiTheme="minorHAnsi" w:hAnsiTheme="minorHAnsi" w:cstheme="minorHAnsi"/>
          <w:sz w:val="20"/>
          <w:szCs w:val="20"/>
        </w:rPr>
        <w:t xml:space="preserve"> </w:t>
      </w:r>
      <w:bookmarkStart w:id="726" w:name="_Ref75768448"/>
      <w:r w:rsidRPr="00EB2E7B">
        <w:rPr>
          <w:rFonts w:asciiTheme="minorHAnsi" w:hAnsiTheme="minorHAnsi" w:cstheme="minorHAnsi"/>
          <w:sz w:val="20"/>
          <w:szCs w:val="20"/>
        </w:rPr>
        <w:t>URD posiadającego zawartą ze sprzedawcą umowę kompleksową</w:t>
      </w:r>
      <w:r w:rsidR="00F90997" w:rsidRPr="00EB2E7B">
        <w:rPr>
          <w:rFonts w:asciiTheme="minorHAnsi" w:hAnsiTheme="minorHAnsi" w:cstheme="minorHAnsi"/>
          <w:sz w:val="20"/>
          <w:szCs w:val="20"/>
        </w:rPr>
        <w:t>,</w:t>
      </w:r>
    </w:p>
    <w:p w14:paraId="1E9DEBE2" w14:textId="6F1EF0EB" w:rsidR="002218EF" w:rsidRPr="00EB2E7B" w:rsidRDefault="002218EF" w:rsidP="00F90997">
      <w:pPr>
        <w:pStyle w:val="Tekstblokowy"/>
        <w:numPr>
          <w:ilvl w:val="0"/>
          <w:numId w:val="132"/>
        </w:numPr>
        <w:spacing w:before="120" w:after="120" w:line="266" w:lineRule="auto"/>
        <w:ind w:left="1701" w:hanging="566"/>
        <w:rPr>
          <w:rFonts w:asciiTheme="minorHAnsi" w:hAnsiTheme="minorHAnsi" w:cstheme="minorHAnsi"/>
          <w:sz w:val="20"/>
          <w:szCs w:val="20"/>
        </w:rPr>
      </w:pPr>
      <w:bookmarkStart w:id="727" w:name="_Ref190122938"/>
      <w:bookmarkEnd w:id="726"/>
      <w:r w:rsidRPr="00EB2E7B">
        <w:rPr>
          <w:rFonts w:asciiTheme="minorHAnsi" w:hAnsiTheme="minorHAnsi" w:cstheme="minorHAnsi"/>
          <w:sz w:val="20"/>
          <w:szCs w:val="20"/>
        </w:rPr>
        <w:t>14 dni kalendarzowych od daty otrzymania zgłoszenia reklamacji od URD – jeżeli reklamacja dotyczy rozliczeń za świadczone przez ACPRO usługi dystrybucji, lub jeżeli reklamacja dotyczy kwestii związanych ze wstrzymaniem dostarczania energii elektrycznej dokonanym z inicjatywy ACPRO,</w:t>
      </w:r>
      <w:bookmarkEnd w:id="727"/>
    </w:p>
    <w:p w14:paraId="2B6EFF0A" w14:textId="77777777" w:rsidR="002218EF" w:rsidRPr="00EB2E7B" w:rsidRDefault="002218EF" w:rsidP="00AD6251">
      <w:pPr>
        <w:pStyle w:val="Tekstblokowy"/>
        <w:numPr>
          <w:ilvl w:val="0"/>
          <w:numId w:val="132"/>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t>7 dni kalendarzowych od daty otrzymania zgłoszenia reklamacji od sprzedawcy – jeżeli reklamacja została złożona sprzedawcy przez URD posiadającego zawartą umowę sprzedaży i reklamacja dotyczy odczytu wskazań układu pomiarowo-rozliczeniowego udostępnionego przez ACPRO do sprzedawcy,</w:t>
      </w:r>
    </w:p>
    <w:p w14:paraId="5C3AF67A" w14:textId="77777777" w:rsidR="002218EF" w:rsidRPr="00EB2E7B" w:rsidRDefault="002218EF" w:rsidP="00AD6251">
      <w:pPr>
        <w:pStyle w:val="Tekstblokowy"/>
        <w:numPr>
          <w:ilvl w:val="0"/>
          <w:numId w:val="132"/>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t>14 dni kalendarzowych od daty otrzymania zgłoszenia reklamacji, o ile przepisy prawa nie stanowią inaczej – w pozostałych przypadkach dotyczących URD będących konsumentami,</w:t>
      </w:r>
    </w:p>
    <w:p w14:paraId="5D0E89F9" w14:textId="77777777" w:rsidR="002218EF" w:rsidRPr="00EB2E7B" w:rsidRDefault="002218EF" w:rsidP="00AD6251">
      <w:pPr>
        <w:pStyle w:val="Tekstblokowy"/>
        <w:numPr>
          <w:ilvl w:val="0"/>
          <w:numId w:val="132"/>
        </w:numPr>
        <w:spacing w:before="120" w:after="120" w:line="266" w:lineRule="auto"/>
        <w:ind w:left="1701" w:hanging="566"/>
        <w:rPr>
          <w:rFonts w:asciiTheme="minorHAnsi" w:hAnsiTheme="minorHAnsi" w:cstheme="minorHAnsi"/>
          <w:sz w:val="20"/>
          <w:szCs w:val="20"/>
        </w:rPr>
      </w:pPr>
      <w:bookmarkStart w:id="728" w:name="_Ref190122943"/>
      <w:r w:rsidRPr="00EB2E7B">
        <w:rPr>
          <w:rFonts w:asciiTheme="minorHAnsi" w:hAnsiTheme="minorHAnsi" w:cstheme="minorHAnsi"/>
          <w:sz w:val="20"/>
          <w:szCs w:val="20"/>
        </w:rPr>
        <w:t>30 dni kalendarzowych od daty otrzymania zgłoszenia reklamacji – w pozostałych przypadkach dotyczących URD niebędących konsumentami.</w:t>
      </w:r>
      <w:bookmarkEnd w:id="728"/>
    </w:p>
    <w:p w14:paraId="11D005A1" w14:textId="77777777" w:rsidR="002218EF" w:rsidRPr="00EB2E7B" w:rsidRDefault="002218EF"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konieczności wykonania dodatkowych analiz i pomiarów, ACPRO we wskazanych powyżej terminach, informuje o planowanym terminie rozpatrzenia reklamacji.</w:t>
      </w:r>
    </w:p>
    <w:p w14:paraId="7474A1BD" w14:textId="4B1FF9E0" w:rsidR="002218EF" w:rsidRPr="00EB2E7B" w:rsidRDefault="002218EF" w:rsidP="004D1C36">
      <w:pPr>
        <w:pStyle w:val="ANagwek2"/>
        <w:rPr>
          <w:rFonts w:asciiTheme="minorHAnsi" w:hAnsiTheme="minorHAnsi" w:cstheme="minorHAnsi"/>
          <w:b w:val="0"/>
          <w:bCs w:val="0"/>
          <w:sz w:val="20"/>
          <w:szCs w:val="20"/>
        </w:rPr>
      </w:pPr>
      <w:bookmarkStart w:id="729" w:name="_Ref75768477"/>
      <w:bookmarkStart w:id="730" w:name="_Toc189833833"/>
      <w:bookmarkStart w:id="731" w:name="_Toc239333436"/>
      <w:r w:rsidRPr="00EB2E7B">
        <w:rPr>
          <w:rFonts w:asciiTheme="minorHAnsi" w:hAnsiTheme="minorHAnsi" w:cstheme="minorHAnsi"/>
          <w:b w:val="0"/>
          <w:bCs w:val="0"/>
          <w:sz w:val="20"/>
          <w:szCs w:val="20"/>
        </w:rPr>
        <w:t>Rozstrzygnięcie reklamacji wraz z uzasadnieniem jest przesyłane:</w:t>
      </w:r>
      <w:bookmarkEnd w:id="729"/>
      <w:bookmarkEnd w:id="730"/>
      <w:bookmarkEnd w:id="731"/>
    </w:p>
    <w:p w14:paraId="6BC35328" w14:textId="06879350" w:rsidR="00871AC9" w:rsidRPr="00EB2E7B" w:rsidRDefault="002218EF" w:rsidP="00AD6251">
      <w:pPr>
        <w:pStyle w:val="Tekstblokowy"/>
        <w:numPr>
          <w:ilvl w:val="0"/>
          <w:numId w:val="133"/>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 przypadkach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_Ref75768428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H.8</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CD2075" w:rsidRPr="00EB2E7B">
        <w:rPr>
          <w:rFonts w:asciiTheme="minorHAnsi" w:hAnsiTheme="minorHAnsi" w:cstheme="minorHAnsi"/>
          <w:sz w:val="20"/>
          <w:szCs w:val="20"/>
        </w:rPr>
        <w:t xml:space="preserve">lit.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_Ref75768432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 sposób określony w GUD,</w:t>
      </w:r>
    </w:p>
    <w:p w14:paraId="44A9A495" w14:textId="52AB6B8D" w:rsidR="002218EF" w:rsidRPr="00EB2E7B" w:rsidRDefault="002218EF" w:rsidP="00AD6251">
      <w:pPr>
        <w:pStyle w:val="Tekstblokowy"/>
        <w:numPr>
          <w:ilvl w:val="0"/>
          <w:numId w:val="133"/>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 przypadkach o których mowa w pkt </w:t>
      </w:r>
      <w:r w:rsidR="00EF5ED9" w:rsidRPr="00EB2E7B">
        <w:rPr>
          <w:rFonts w:asciiTheme="minorHAnsi" w:hAnsiTheme="minorHAnsi" w:cstheme="minorHAnsi"/>
          <w:sz w:val="20"/>
          <w:szCs w:val="20"/>
        </w:rPr>
        <w:fldChar w:fldCharType="begin"/>
      </w:r>
      <w:r w:rsidR="00EF5ED9" w:rsidRPr="00EB2E7B">
        <w:rPr>
          <w:rFonts w:asciiTheme="minorHAnsi" w:hAnsiTheme="minorHAnsi" w:cstheme="minorHAnsi"/>
          <w:sz w:val="20"/>
          <w:szCs w:val="20"/>
        </w:rPr>
        <w:instrText xml:space="preserve"> REF _Ref75768428 \r \h  \* MERGEFORMAT </w:instrText>
      </w:r>
      <w:r w:rsidR="00EF5ED9" w:rsidRPr="00EB2E7B">
        <w:rPr>
          <w:rFonts w:asciiTheme="minorHAnsi" w:hAnsiTheme="minorHAnsi" w:cstheme="minorHAnsi"/>
          <w:sz w:val="20"/>
          <w:szCs w:val="20"/>
        </w:rPr>
      </w:r>
      <w:r w:rsidR="00EF5ED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H.8</w:t>
      </w:r>
      <w:r w:rsidR="00EF5ED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lit. </w:t>
      </w:r>
      <w:r w:rsidR="00EF5ED9" w:rsidRPr="00EB2E7B">
        <w:rPr>
          <w:rFonts w:asciiTheme="minorHAnsi" w:hAnsiTheme="minorHAnsi" w:cstheme="minorHAnsi"/>
          <w:sz w:val="20"/>
          <w:szCs w:val="20"/>
        </w:rPr>
        <w:fldChar w:fldCharType="begin"/>
      </w:r>
      <w:r w:rsidR="00EF5ED9" w:rsidRPr="00EB2E7B">
        <w:rPr>
          <w:rFonts w:asciiTheme="minorHAnsi" w:hAnsiTheme="minorHAnsi" w:cstheme="minorHAnsi"/>
          <w:sz w:val="20"/>
          <w:szCs w:val="20"/>
        </w:rPr>
        <w:instrText xml:space="preserve"> REF _Ref190122938 \w \h  \* MERGEFORMAT </w:instrText>
      </w:r>
      <w:r w:rsidR="00EF5ED9" w:rsidRPr="00EB2E7B">
        <w:rPr>
          <w:rFonts w:asciiTheme="minorHAnsi" w:hAnsiTheme="minorHAnsi" w:cstheme="minorHAnsi"/>
          <w:sz w:val="20"/>
          <w:szCs w:val="20"/>
        </w:rPr>
      </w:r>
      <w:r w:rsidR="00EF5ED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EF5ED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t>
      </w:r>
      <w:r w:rsidR="00EF5ED9" w:rsidRPr="00EB2E7B">
        <w:rPr>
          <w:rFonts w:asciiTheme="minorHAnsi" w:hAnsiTheme="minorHAnsi" w:cstheme="minorHAnsi"/>
          <w:sz w:val="20"/>
          <w:szCs w:val="20"/>
        </w:rPr>
        <w:fldChar w:fldCharType="begin"/>
      </w:r>
      <w:r w:rsidR="00EF5ED9" w:rsidRPr="00EB2E7B">
        <w:rPr>
          <w:rFonts w:asciiTheme="minorHAnsi" w:hAnsiTheme="minorHAnsi" w:cstheme="minorHAnsi"/>
          <w:sz w:val="20"/>
          <w:szCs w:val="20"/>
        </w:rPr>
        <w:instrText xml:space="preserve"> REF _Ref190122943 \w \h  \* MERGEFORMAT </w:instrText>
      </w:r>
      <w:r w:rsidR="00EF5ED9" w:rsidRPr="00EB2E7B">
        <w:rPr>
          <w:rFonts w:asciiTheme="minorHAnsi" w:hAnsiTheme="minorHAnsi" w:cstheme="minorHAnsi"/>
          <w:sz w:val="20"/>
          <w:szCs w:val="20"/>
        </w:rPr>
      </w:r>
      <w:r w:rsidR="00EF5ED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e)</w:t>
      </w:r>
      <w:r w:rsidR="00EF5ED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 sposób określony w</w:t>
      </w:r>
      <w:r w:rsidR="00871AC9" w:rsidRPr="00EB2E7B">
        <w:rPr>
          <w:rFonts w:asciiTheme="minorHAnsi" w:hAnsiTheme="minorHAnsi" w:cstheme="minorHAnsi"/>
          <w:sz w:val="20"/>
          <w:szCs w:val="20"/>
        </w:rPr>
        <w:t> </w:t>
      </w:r>
      <w:r w:rsidRPr="00EB2E7B">
        <w:rPr>
          <w:rFonts w:asciiTheme="minorHAnsi" w:hAnsiTheme="minorHAnsi" w:cstheme="minorHAnsi"/>
          <w:sz w:val="20"/>
          <w:szCs w:val="20"/>
        </w:rPr>
        <w:t xml:space="preserve">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_Ref75768467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H.2</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3B1BD394" w14:textId="4C95D11D" w:rsidR="002218EF" w:rsidRPr="00EB2E7B" w:rsidRDefault="002218EF" w:rsidP="004D1C36">
      <w:pPr>
        <w:pStyle w:val="ANagwek2"/>
        <w:rPr>
          <w:rFonts w:asciiTheme="minorHAnsi" w:hAnsiTheme="minorHAnsi" w:cstheme="minorHAnsi"/>
          <w:b w:val="0"/>
          <w:bCs w:val="0"/>
          <w:sz w:val="20"/>
          <w:szCs w:val="20"/>
        </w:rPr>
      </w:pPr>
      <w:bookmarkStart w:id="732" w:name="_Toc189833834"/>
      <w:bookmarkStart w:id="733" w:name="_Toc239333437"/>
      <w:r w:rsidRPr="00EB2E7B">
        <w:rPr>
          <w:rFonts w:asciiTheme="minorHAnsi" w:hAnsiTheme="minorHAnsi" w:cstheme="minorHAnsi"/>
          <w:b w:val="0"/>
          <w:bCs w:val="0"/>
          <w:sz w:val="20"/>
          <w:szCs w:val="20"/>
        </w:rPr>
        <w:t xml:space="preserve">Jeżeli rozstrzygnięcie reklamacji przez ACPRO zgodnie z pkt. </w:t>
      </w:r>
      <w:r w:rsidRPr="00EB2E7B">
        <w:rPr>
          <w:rFonts w:asciiTheme="minorHAnsi" w:hAnsiTheme="minorHAnsi" w:cstheme="minorHAnsi"/>
          <w:b w:val="0"/>
          <w:bCs w:val="0"/>
          <w:sz w:val="20"/>
          <w:szCs w:val="20"/>
        </w:rPr>
        <w:fldChar w:fldCharType="begin"/>
      </w:r>
      <w:r w:rsidRPr="00EB2E7B">
        <w:rPr>
          <w:rFonts w:asciiTheme="minorHAnsi" w:hAnsiTheme="minorHAnsi" w:cstheme="minorHAnsi"/>
          <w:b w:val="0"/>
          <w:bCs w:val="0"/>
          <w:sz w:val="20"/>
          <w:szCs w:val="20"/>
        </w:rPr>
        <w:instrText xml:space="preserve"> REF _Ref75768477 \r \h </w:instrText>
      </w:r>
      <w:r w:rsidR="00CC6CD6" w:rsidRPr="00EB2E7B">
        <w:rPr>
          <w:rFonts w:asciiTheme="minorHAnsi" w:hAnsiTheme="minorHAnsi" w:cstheme="minorHAnsi"/>
          <w:b w:val="0"/>
          <w:bCs w:val="0"/>
          <w:sz w:val="20"/>
          <w:szCs w:val="20"/>
        </w:rPr>
        <w:instrText xml:space="preserve"> \* MERGEFORMAT </w:instrText>
      </w:r>
      <w:r w:rsidRPr="00EB2E7B">
        <w:rPr>
          <w:rFonts w:asciiTheme="minorHAnsi" w:hAnsiTheme="minorHAnsi" w:cstheme="minorHAnsi"/>
          <w:b w:val="0"/>
          <w:bCs w:val="0"/>
          <w:sz w:val="20"/>
          <w:szCs w:val="20"/>
        </w:rPr>
      </w:r>
      <w:r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H.9</w:t>
      </w:r>
      <w:r w:rsidRPr="00EB2E7B">
        <w:rPr>
          <w:rFonts w:asciiTheme="minorHAnsi" w:hAnsiTheme="minorHAnsi" w:cstheme="minorHAnsi"/>
          <w:b w:val="0"/>
          <w:bCs w:val="0"/>
          <w:sz w:val="20"/>
          <w:szCs w:val="20"/>
        </w:rPr>
        <w:fldChar w:fldCharType="end"/>
      </w:r>
      <w:r w:rsidRPr="00EB2E7B">
        <w:rPr>
          <w:rFonts w:asciiTheme="minorHAnsi" w:hAnsiTheme="minorHAnsi" w:cstheme="minorHAnsi"/>
          <w:b w:val="0"/>
          <w:bCs w:val="0"/>
          <w:sz w:val="20"/>
          <w:szCs w:val="20"/>
        </w:rPr>
        <w:t>, w całości lub w</w:t>
      </w:r>
      <w:r w:rsidR="00243711" w:rsidRPr="00EB2E7B">
        <w:rPr>
          <w:rFonts w:asciiTheme="minorHAnsi" w:hAnsiTheme="minorHAnsi" w:cstheme="minorHAnsi"/>
          <w:b w:val="0"/>
          <w:bCs w:val="0"/>
          <w:sz w:val="20"/>
          <w:szCs w:val="20"/>
        </w:rPr>
        <w:t> </w:t>
      </w:r>
      <w:r w:rsidRPr="00EB2E7B">
        <w:rPr>
          <w:rFonts w:asciiTheme="minorHAnsi" w:hAnsiTheme="minorHAnsi" w:cstheme="minorHAnsi"/>
          <w:b w:val="0"/>
          <w:bCs w:val="0"/>
          <w:sz w:val="20"/>
          <w:szCs w:val="20"/>
        </w:rPr>
        <w:t>części nie jest satysfakcjonujące dla podmiotu zgłaszającego, to podmiot ten ma prawo w terminie 14 dni kalendarzowych od dnia otrzymania rozstrzygnięcia, wystąpić pisemnie do ACPRO z wnioskiem o ponowne rozstrzygnięcie reklamacji, zawierającym:</w:t>
      </w:r>
      <w:bookmarkEnd w:id="732"/>
      <w:bookmarkEnd w:id="733"/>
    </w:p>
    <w:p w14:paraId="35909A60" w14:textId="77777777" w:rsidR="002218EF" w:rsidRPr="00EB2E7B" w:rsidRDefault="002218EF" w:rsidP="00AD6251">
      <w:pPr>
        <w:pStyle w:val="Tekstblokowy"/>
        <w:numPr>
          <w:ilvl w:val="0"/>
          <w:numId w:val="134"/>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t>zakres nieuwzględnionego przez ACPRO żądania;</w:t>
      </w:r>
    </w:p>
    <w:p w14:paraId="077F24E7" w14:textId="77777777" w:rsidR="002218EF" w:rsidRPr="00EB2E7B" w:rsidRDefault="002218EF" w:rsidP="00AD6251">
      <w:pPr>
        <w:pStyle w:val="Tekstblokowy"/>
        <w:numPr>
          <w:ilvl w:val="0"/>
          <w:numId w:val="134"/>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t>uzasadnienie faktyczne zgłoszonego żądania;</w:t>
      </w:r>
    </w:p>
    <w:p w14:paraId="33B76518" w14:textId="77777777" w:rsidR="002218EF" w:rsidRPr="00EB2E7B" w:rsidRDefault="002218EF" w:rsidP="00AD6251">
      <w:pPr>
        <w:pStyle w:val="Tekstblokowy"/>
        <w:numPr>
          <w:ilvl w:val="0"/>
          <w:numId w:val="134"/>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t>dane przedstawicieli podmiotu upoważnionych do prowadzenia negocjacji.</w:t>
      </w:r>
    </w:p>
    <w:p w14:paraId="1DAE25E2" w14:textId="2B9481F3" w:rsidR="002218EF" w:rsidRPr="00EB2E7B" w:rsidRDefault="002218EF" w:rsidP="00700978">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Wniosek o ponowne rozstrzygnięcie reklamacji powinien być przesłany na adresy, o których mowa w pkt. </w:t>
      </w:r>
      <w:r w:rsidRPr="00EB2E7B">
        <w:rPr>
          <w:rFonts w:asciiTheme="minorHAnsi" w:hAnsiTheme="minorHAnsi" w:cstheme="minorHAnsi"/>
          <w:sz w:val="20"/>
          <w:szCs w:val="20"/>
        </w:rPr>
        <w:fldChar w:fldCharType="begin"/>
      </w:r>
      <w:r w:rsidRPr="00EB2E7B">
        <w:rPr>
          <w:rFonts w:asciiTheme="minorHAnsi" w:hAnsiTheme="minorHAnsi" w:cstheme="minorHAnsi"/>
          <w:sz w:val="20"/>
          <w:szCs w:val="20"/>
        </w:rPr>
        <w:instrText xml:space="preserve"> REF _Ref75768504 \r \h </w:instrText>
      </w:r>
      <w:r w:rsidR="005A7D7D" w:rsidRPr="00EB2E7B">
        <w:rPr>
          <w:rFonts w:asciiTheme="minorHAnsi" w:hAnsiTheme="minorHAnsi" w:cstheme="minorHAnsi"/>
          <w:sz w:val="20"/>
          <w:szCs w:val="20"/>
        </w:rPr>
        <w:instrText xml:space="preserve"> \* MERGEFORMAT </w:instrText>
      </w:r>
      <w:r w:rsidRPr="00EB2E7B">
        <w:rPr>
          <w:rFonts w:asciiTheme="minorHAnsi" w:hAnsiTheme="minorHAnsi" w:cstheme="minorHAnsi"/>
          <w:sz w:val="20"/>
          <w:szCs w:val="20"/>
        </w:rPr>
      </w:r>
      <w:r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H.6</w:t>
      </w:r>
      <w:r w:rsidRPr="00EB2E7B">
        <w:rPr>
          <w:rFonts w:asciiTheme="minorHAnsi" w:hAnsiTheme="minorHAnsi" w:cstheme="minorHAnsi"/>
          <w:sz w:val="20"/>
          <w:szCs w:val="20"/>
        </w:rPr>
        <w:fldChar w:fldCharType="end"/>
      </w:r>
      <w:r w:rsidRPr="00EB2E7B">
        <w:rPr>
          <w:rFonts w:asciiTheme="minorHAnsi" w:hAnsiTheme="minorHAnsi" w:cstheme="minorHAnsi"/>
          <w:sz w:val="20"/>
          <w:szCs w:val="20"/>
        </w:rPr>
        <w:t>, odpowiednio listem lub w formie elektronicznej w postaci skanu dokumentu.</w:t>
      </w:r>
    </w:p>
    <w:p w14:paraId="3CF0129D" w14:textId="1D02A71E" w:rsidR="002218EF" w:rsidRPr="00EB2E7B" w:rsidRDefault="002218EF" w:rsidP="004D1C36">
      <w:pPr>
        <w:pStyle w:val="ANagwek2"/>
        <w:rPr>
          <w:rFonts w:asciiTheme="minorHAnsi" w:hAnsiTheme="minorHAnsi" w:cstheme="minorHAnsi"/>
          <w:b w:val="0"/>
          <w:bCs w:val="0"/>
          <w:sz w:val="20"/>
          <w:szCs w:val="20"/>
        </w:rPr>
      </w:pPr>
      <w:bookmarkStart w:id="734" w:name="_Toc189833835"/>
      <w:bookmarkStart w:id="735" w:name="_Toc239333438"/>
      <w:r w:rsidRPr="00EB2E7B">
        <w:rPr>
          <w:rFonts w:asciiTheme="minorHAnsi" w:hAnsiTheme="minorHAnsi" w:cstheme="minorHAnsi"/>
          <w:b w:val="0"/>
          <w:bCs w:val="0"/>
          <w:sz w:val="20"/>
          <w:szCs w:val="20"/>
        </w:rPr>
        <w:t>ACPRO rozstrzyga wniosek o ponowne rozpatrzenie reklamacji w terminie:</w:t>
      </w:r>
      <w:bookmarkEnd w:id="734"/>
      <w:bookmarkEnd w:id="735"/>
    </w:p>
    <w:p w14:paraId="6106DDC3" w14:textId="77777777" w:rsidR="002218EF" w:rsidRPr="00EB2E7B" w:rsidRDefault="002218EF" w:rsidP="00AD6251">
      <w:pPr>
        <w:pStyle w:val="Tekstblokowy"/>
        <w:numPr>
          <w:ilvl w:val="0"/>
          <w:numId w:val="180"/>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t>nieprzekraczającym 14 dni kalendarzowych od daty jego otrzymania od URD będących konsumentami, o ile przepisy prawa nie stanowią inaczej, albo</w:t>
      </w:r>
    </w:p>
    <w:p w14:paraId="5F765BAD" w14:textId="77777777" w:rsidR="002218EF" w:rsidRPr="00EB2E7B" w:rsidRDefault="002218EF" w:rsidP="00AD6251">
      <w:pPr>
        <w:pStyle w:val="Tekstblokowy"/>
        <w:numPr>
          <w:ilvl w:val="0"/>
          <w:numId w:val="180"/>
        </w:numPr>
        <w:spacing w:before="120" w:after="120" w:line="266" w:lineRule="auto"/>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nieprzekraczającym 30 dni kalendarzowych od daty jego otrzymania od URD niebędących konsumentami.</w:t>
      </w:r>
    </w:p>
    <w:p w14:paraId="009C58C6" w14:textId="662D2A56" w:rsidR="00F2053D" w:rsidRPr="00EB2E7B" w:rsidRDefault="002218EF" w:rsidP="004D1C36">
      <w:pPr>
        <w:pStyle w:val="ANagwek2"/>
        <w:rPr>
          <w:rFonts w:asciiTheme="minorHAnsi" w:hAnsiTheme="minorHAnsi" w:cstheme="minorHAnsi"/>
          <w:sz w:val="20"/>
          <w:szCs w:val="20"/>
        </w:rPr>
      </w:pPr>
      <w:bookmarkStart w:id="736" w:name="_Toc239333439"/>
      <w:r w:rsidRPr="00EB2E7B">
        <w:rPr>
          <w:rFonts w:asciiTheme="minorHAnsi" w:hAnsiTheme="minorHAnsi" w:cstheme="minorHAnsi"/>
          <w:sz w:val="20"/>
          <w:szCs w:val="20"/>
        </w:rPr>
        <w:t>ACPRO rozpatruje przedmiotowy wniosek po przeprowadzeniu negocjacji z upoważnionymi przedstawicielami podmiotu zgłaszającego reklamację i może ją uwzględnić w całości lub w części lub podtrzymać swoje wcześniejsze stanowisko. ACPRO przesyła rozstrzygnięcie wniosku w formie pisemnej.</w:t>
      </w:r>
      <w:r w:rsidR="00461C91" w:rsidRPr="00EB2E7B">
        <w:rPr>
          <w:rFonts w:asciiTheme="minorHAnsi" w:hAnsiTheme="minorHAnsi" w:cstheme="minorHAnsi"/>
          <w:sz w:val="20"/>
          <w:szCs w:val="20"/>
        </w:rPr>
        <w:t xml:space="preserve"> </w:t>
      </w:r>
      <w:bookmarkStart w:id="737" w:name="_Toc189833836"/>
      <w:r w:rsidRPr="00EB2E7B">
        <w:rPr>
          <w:rFonts w:asciiTheme="minorHAnsi" w:hAnsiTheme="minorHAnsi" w:cstheme="minorHAnsi"/>
          <w:b w:val="0"/>
          <w:sz w:val="20"/>
          <w:szCs w:val="20"/>
        </w:rPr>
        <w:t xml:space="preserve">Zasady korekty danych pomiarowych dla MDD oraz MB sprzedawców i podmiotów odpowiedzialnych za bilansowanie, określone są w pkt. </w:t>
      </w:r>
      <w:r w:rsidR="0073119E" w:rsidRPr="00EB2E7B">
        <w:rPr>
          <w:rFonts w:asciiTheme="minorHAnsi" w:hAnsiTheme="minorHAnsi" w:cstheme="minorHAnsi"/>
          <w:b w:val="0"/>
          <w:bCs w:val="0"/>
          <w:sz w:val="20"/>
          <w:szCs w:val="20"/>
        </w:rPr>
        <w:fldChar w:fldCharType="begin"/>
      </w:r>
      <w:r w:rsidR="0073119E" w:rsidRPr="00EB2E7B">
        <w:rPr>
          <w:rFonts w:asciiTheme="minorHAnsi" w:hAnsiTheme="minorHAnsi" w:cstheme="minorHAnsi"/>
          <w:b w:val="0"/>
          <w:bCs w:val="0"/>
          <w:sz w:val="20"/>
          <w:szCs w:val="20"/>
        </w:rPr>
        <w:instrText xml:space="preserve"> REF _Ref189085097 \w \h  \* MERGEFORMAT </w:instrText>
      </w:r>
      <w:r w:rsidR="0073119E" w:rsidRPr="00EB2E7B">
        <w:rPr>
          <w:rFonts w:asciiTheme="minorHAnsi" w:hAnsiTheme="minorHAnsi" w:cstheme="minorHAnsi"/>
          <w:b w:val="0"/>
          <w:bCs w:val="0"/>
          <w:sz w:val="20"/>
          <w:szCs w:val="20"/>
        </w:rPr>
      </w:r>
      <w:r w:rsidR="0073119E"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C.1</w:t>
      </w:r>
      <w:r w:rsidR="0073119E" w:rsidRPr="00EB2E7B">
        <w:rPr>
          <w:rFonts w:asciiTheme="minorHAnsi" w:hAnsiTheme="minorHAnsi" w:cstheme="minorHAnsi"/>
          <w:b w:val="0"/>
          <w:bCs w:val="0"/>
          <w:sz w:val="20"/>
          <w:szCs w:val="20"/>
        </w:rPr>
        <w:fldChar w:fldCharType="end"/>
      </w:r>
      <w:r w:rsidRPr="00EB2E7B">
        <w:rPr>
          <w:rFonts w:asciiTheme="minorHAnsi" w:hAnsiTheme="minorHAnsi" w:cstheme="minorHAnsi"/>
          <w:b w:val="0"/>
          <w:bCs w:val="0"/>
          <w:sz w:val="20"/>
          <w:szCs w:val="20"/>
        </w:rPr>
        <w:t>.</w:t>
      </w:r>
      <w:bookmarkEnd w:id="736"/>
      <w:bookmarkEnd w:id="737"/>
      <w:r w:rsidR="00F2053D" w:rsidRPr="00EB2E7B">
        <w:rPr>
          <w:rFonts w:asciiTheme="minorHAnsi" w:hAnsiTheme="minorHAnsi" w:cstheme="minorHAnsi"/>
          <w:sz w:val="20"/>
          <w:szCs w:val="20"/>
        </w:rPr>
        <w:br w:type="page"/>
      </w:r>
    </w:p>
    <w:p w14:paraId="70381FB6" w14:textId="0685D2F3" w:rsidR="000F4DAA" w:rsidRPr="00EB2E7B" w:rsidRDefault="0077111A" w:rsidP="00AD6251">
      <w:pPr>
        <w:pStyle w:val="ANagwek1"/>
        <w:numPr>
          <w:ilvl w:val="0"/>
          <w:numId w:val="85"/>
        </w:numPr>
        <w:rPr>
          <w:rFonts w:asciiTheme="minorHAnsi" w:hAnsiTheme="minorHAnsi" w:cstheme="minorHAnsi"/>
          <w:b/>
          <w:bCs w:val="0"/>
          <w:sz w:val="20"/>
          <w:szCs w:val="20"/>
        </w:rPr>
      </w:pPr>
      <w:bookmarkStart w:id="738" w:name="_Toc180153784"/>
      <w:bookmarkStart w:id="739" w:name="_Toc239333440"/>
      <w:r w:rsidRPr="00EB2E7B">
        <w:rPr>
          <w:rFonts w:asciiTheme="minorHAnsi" w:hAnsiTheme="minorHAnsi" w:cstheme="minorHAnsi"/>
          <w:b/>
          <w:bCs w:val="0"/>
          <w:sz w:val="20"/>
          <w:szCs w:val="20"/>
        </w:rPr>
        <w:lastRenderedPageBreak/>
        <w:t>ZARZĄDZANIE OGRANICZENIAMI SYSTEMOWYM</w:t>
      </w:r>
      <w:bookmarkEnd w:id="738"/>
      <w:r w:rsidR="00174043" w:rsidRPr="00EB2E7B">
        <w:rPr>
          <w:rFonts w:asciiTheme="minorHAnsi" w:hAnsiTheme="minorHAnsi" w:cstheme="minorHAnsi"/>
          <w:b/>
          <w:sz w:val="20"/>
          <w:szCs w:val="20"/>
        </w:rPr>
        <w:t>I</w:t>
      </w:r>
      <w:bookmarkEnd w:id="739"/>
    </w:p>
    <w:p w14:paraId="52CCA6E0" w14:textId="1A52DDA4" w:rsidR="00D80205" w:rsidRPr="00EB2E7B" w:rsidRDefault="00D80205" w:rsidP="004D1C36">
      <w:pPr>
        <w:pStyle w:val="ANagwek2"/>
        <w:rPr>
          <w:rFonts w:asciiTheme="minorHAnsi" w:hAnsiTheme="minorHAnsi" w:cstheme="minorHAnsi"/>
          <w:b w:val="0"/>
          <w:bCs w:val="0"/>
          <w:sz w:val="20"/>
          <w:szCs w:val="20"/>
        </w:rPr>
      </w:pPr>
      <w:bookmarkStart w:id="740" w:name="_Toc189833838"/>
      <w:bookmarkStart w:id="741" w:name="_Toc239333441"/>
      <w:bookmarkStart w:id="742" w:name="_Hlk182313323"/>
      <w:r w:rsidRPr="00EB2E7B">
        <w:rPr>
          <w:rFonts w:asciiTheme="minorHAnsi" w:hAnsiTheme="minorHAnsi" w:cstheme="minorHAnsi"/>
          <w:b w:val="0"/>
          <w:bCs w:val="0"/>
          <w:sz w:val="20"/>
          <w:szCs w:val="20"/>
        </w:rPr>
        <w:t>ACPRO identyfikuje ograniczenia systemowe ze względu na spełnienie wymagań niezawodności dostaw energii elektrycznej.</w:t>
      </w:r>
      <w:bookmarkEnd w:id="740"/>
      <w:bookmarkEnd w:id="741"/>
    </w:p>
    <w:p w14:paraId="102AC2A9" w14:textId="6BD07C5C" w:rsidR="00D80205" w:rsidRPr="00EB2E7B" w:rsidRDefault="00D80205" w:rsidP="004D1C36">
      <w:pPr>
        <w:pStyle w:val="ANagwek2"/>
        <w:rPr>
          <w:rFonts w:asciiTheme="minorHAnsi" w:hAnsiTheme="minorHAnsi" w:cstheme="minorHAnsi"/>
          <w:b w:val="0"/>
          <w:bCs w:val="0"/>
          <w:sz w:val="20"/>
          <w:szCs w:val="20"/>
        </w:rPr>
      </w:pPr>
      <w:bookmarkStart w:id="743" w:name="_Toc189833839"/>
      <w:bookmarkStart w:id="744" w:name="_Toc239333442"/>
      <w:r w:rsidRPr="00EB2E7B">
        <w:rPr>
          <w:rFonts w:asciiTheme="minorHAnsi" w:hAnsiTheme="minorHAnsi" w:cstheme="minorHAnsi"/>
          <w:b w:val="0"/>
          <w:bCs w:val="0"/>
          <w:sz w:val="20"/>
          <w:szCs w:val="20"/>
        </w:rPr>
        <w:t>Ograniczenia systemowe dzielimy na:</w:t>
      </w:r>
      <w:bookmarkEnd w:id="743"/>
      <w:bookmarkEnd w:id="744"/>
    </w:p>
    <w:p w14:paraId="537A745B" w14:textId="77777777" w:rsidR="00D80205" w:rsidRPr="00EB2E7B" w:rsidRDefault="00D80205" w:rsidP="00BA40B3">
      <w:pPr>
        <w:pStyle w:val="aprzed"/>
        <w:numPr>
          <w:ilvl w:val="0"/>
          <w:numId w:val="379"/>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ograniczenia </w:t>
      </w:r>
      <w:proofErr w:type="spellStart"/>
      <w:r w:rsidRPr="00EB2E7B">
        <w:rPr>
          <w:rFonts w:asciiTheme="minorHAnsi" w:hAnsiTheme="minorHAnsi" w:cstheme="minorHAnsi"/>
          <w:sz w:val="20"/>
          <w:szCs w:val="20"/>
        </w:rPr>
        <w:t>elektrowniane</w:t>
      </w:r>
      <w:proofErr w:type="spellEnd"/>
      <w:r w:rsidRPr="00EB2E7B">
        <w:rPr>
          <w:rFonts w:asciiTheme="minorHAnsi" w:hAnsiTheme="minorHAnsi" w:cstheme="minorHAnsi"/>
          <w:sz w:val="20"/>
          <w:szCs w:val="20"/>
        </w:rPr>
        <w:t>,</w:t>
      </w:r>
    </w:p>
    <w:p w14:paraId="030D04B5" w14:textId="03909DB4" w:rsidR="00D4371B" w:rsidRPr="00EB2E7B" w:rsidRDefault="00D80205" w:rsidP="00255DB2">
      <w:pPr>
        <w:pStyle w:val="aprzed"/>
        <w:numPr>
          <w:ilvl w:val="0"/>
          <w:numId w:val="379"/>
        </w:numPr>
        <w:ind w:left="1701" w:hanging="566"/>
        <w:rPr>
          <w:rFonts w:asciiTheme="minorHAnsi" w:hAnsiTheme="minorHAnsi" w:cstheme="minorHAnsi"/>
          <w:sz w:val="20"/>
          <w:szCs w:val="20"/>
        </w:rPr>
      </w:pPr>
      <w:r w:rsidRPr="00EB2E7B">
        <w:rPr>
          <w:rFonts w:asciiTheme="minorHAnsi" w:hAnsiTheme="minorHAnsi" w:cstheme="minorHAnsi"/>
          <w:sz w:val="20"/>
          <w:szCs w:val="20"/>
        </w:rPr>
        <w:t>ograniczenia sieciowe.</w:t>
      </w:r>
    </w:p>
    <w:p w14:paraId="639A4B39" w14:textId="23B233A9" w:rsidR="00D80205" w:rsidRPr="00EB2E7B" w:rsidRDefault="00D80205" w:rsidP="004D1C36">
      <w:pPr>
        <w:pStyle w:val="ANagwek2"/>
        <w:rPr>
          <w:rFonts w:asciiTheme="minorHAnsi" w:hAnsiTheme="minorHAnsi" w:cstheme="minorHAnsi"/>
          <w:b w:val="0"/>
          <w:bCs w:val="0"/>
          <w:sz w:val="20"/>
          <w:szCs w:val="20"/>
        </w:rPr>
      </w:pPr>
      <w:bookmarkStart w:id="745" w:name="_Toc189833840"/>
      <w:bookmarkStart w:id="746" w:name="_Toc239333443"/>
      <w:r w:rsidRPr="00EB2E7B">
        <w:rPr>
          <w:rFonts w:asciiTheme="minorHAnsi" w:hAnsiTheme="minorHAnsi" w:cstheme="minorHAnsi"/>
          <w:b w:val="0"/>
          <w:bCs w:val="0"/>
          <w:sz w:val="20"/>
          <w:szCs w:val="20"/>
        </w:rPr>
        <w:t xml:space="preserve">Ograniczenia </w:t>
      </w:r>
      <w:proofErr w:type="spellStart"/>
      <w:r w:rsidRPr="00EB2E7B">
        <w:rPr>
          <w:rFonts w:asciiTheme="minorHAnsi" w:hAnsiTheme="minorHAnsi" w:cstheme="minorHAnsi"/>
          <w:b w:val="0"/>
          <w:bCs w:val="0"/>
          <w:sz w:val="20"/>
          <w:szCs w:val="20"/>
        </w:rPr>
        <w:t>elektrowniane</w:t>
      </w:r>
      <w:proofErr w:type="spellEnd"/>
      <w:r w:rsidRPr="00EB2E7B">
        <w:rPr>
          <w:rFonts w:asciiTheme="minorHAnsi" w:hAnsiTheme="minorHAnsi" w:cstheme="minorHAnsi"/>
          <w:b w:val="0"/>
          <w:bCs w:val="0"/>
          <w:sz w:val="20"/>
          <w:szCs w:val="20"/>
        </w:rPr>
        <w:t xml:space="preserve"> obejmują restrykcje w pracy elektrowni spowodowane przez:</w:t>
      </w:r>
      <w:bookmarkEnd w:id="745"/>
      <w:bookmarkEnd w:id="746"/>
    </w:p>
    <w:p w14:paraId="3144A618" w14:textId="77777777" w:rsidR="00D80205" w:rsidRPr="00EB2E7B" w:rsidRDefault="00D80205" w:rsidP="00BA40B3">
      <w:pPr>
        <w:pStyle w:val="aprzed"/>
        <w:numPr>
          <w:ilvl w:val="0"/>
          <w:numId w:val="387"/>
        </w:numPr>
        <w:ind w:left="1701" w:hanging="566"/>
        <w:rPr>
          <w:rFonts w:asciiTheme="minorHAnsi" w:hAnsiTheme="minorHAnsi" w:cstheme="minorHAnsi"/>
          <w:sz w:val="20"/>
          <w:szCs w:val="20"/>
        </w:rPr>
      </w:pPr>
      <w:r w:rsidRPr="00EB2E7B">
        <w:rPr>
          <w:rFonts w:asciiTheme="minorHAnsi" w:hAnsiTheme="minorHAnsi" w:cstheme="minorHAnsi"/>
          <w:sz w:val="20"/>
          <w:szCs w:val="20"/>
        </w:rPr>
        <w:t>parametry techniczne poszczególnych jednostek wytwórczych,</w:t>
      </w:r>
    </w:p>
    <w:p w14:paraId="31A4BF23" w14:textId="77777777" w:rsidR="00D80205" w:rsidRPr="00EB2E7B" w:rsidRDefault="00D80205" w:rsidP="00BA40B3">
      <w:pPr>
        <w:pStyle w:val="aprzed"/>
        <w:numPr>
          <w:ilvl w:val="0"/>
          <w:numId w:val="387"/>
        </w:numPr>
        <w:ind w:left="1701" w:hanging="566"/>
        <w:rPr>
          <w:rFonts w:asciiTheme="minorHAnsi" w:hAnsiTheme="minorHAnsi" w:cstheme="minorHAnsi"/>
          <w:sz w:val="20"/>
          <w:szCs w:val="20"/>
        </w:rPr>
      </w:pPr>
      <w:r w:rsidRPr="00EB2E7B">
        <w:rPr>
          <w:rFonts w:asciiTheme="minorHAnsi" w:hAnsiTheme="minorHAnsi" w:cstheme="minorHAnsi"/>
          <w:sz w:val="20"/>
          <w:szCs w:val="20"/>
        </w:rPr>
        <w:t>przyczyny technologiczne w elektrowni,</w:t>
      </w:r>
    </w:p>
    <w:p w14:paraId="18456215" w14:textId="77777777" w:rsidR="00D80205" w:rsidRPr="00EB2E7B" w:rsidRDefault="00D80205" w:rsidP="00BA40B3">
      <w:pPr>
        <w:pStyle w:val="aprzed"/>
        <w:numPr>
          <w:ilvl w:val="0"/>
          <w:numId w:val="387"/>
        </w:numPr>
        <w:ind w:left="1701" w:hanging="566"/>
        <w:rPr>
          <w:rFonts w:asciiTheme="minorHAnsi" w:hAnsiTheme="minorHAnsi" w:cstheme="minorHAnsi"/>
          <w:sz w:val="20"/>
          <w:szCs w:val="20"/>
        </w:rPr>
      </w:pPr>
      <w:r w:rsidRPr="00EB2E7B">
        <w:rPr>
          <w:rFonts w:asciiTheme="minorHAnsi" w:hAnsiTheme="minorHAnsi" w:cstheme="minorHAnsi"/>
          <w:sz w:val="20"/>
          <w:szCs w:val="20"/>
        </w:rPr>
        <w:t>działanie siły wyższej,</w:t>
      </w:r>
    </w:p>
    <w:p w14:paraId="0EF8500B" w14:textId="0ED51301" w:rsidR="00F42F5C" w:rsidRPr="00EB2E7B" w:rsidRDefault="00D80205" w:rsidP="00255DB2">
      <w:pPr>
        <w:pStyle w:val="aprzed"/>
        <w:numPr>
          <w:ilvl w:val="0"/>
          <w:numId w:val="387"/>
        </w:numPr>
        <w:ind w:left="1701" w:hanging="566"/>
        <w:rPr>
          <w:rFonts w:asciiTheme="minorHAnsi" w:hAnsiTheme="minorHAnsi" w:cstheme="minorHAnsi"/>
          <w:sz w:val="20"/>
          <w:szCs w:val="20"/>
        </w:rPr>
      </w:pPr>
      <w:r w:rsidRPr="00EB2E7B">
        <w:rPr>
          <w:rFonts w:asciiTheme="minorHAnsi" w:hAnsiTheme="minorHAnsi" w:cstheme="minorHAnsi"/>
          <w:sz w:val="20"/>
          <w:szCs w:val="20"/>
        </w:rPr>
        <w:t>realizację polityki energetycznej państwa.</w:t>
      </w:r>
    </w:p>
    <w:p w14:paraId="3007C28B" w14:textId="1CEF4308" w:rsidR="00D80205" w:rsidRPr="00EB2E7B" w:rsidRDefault="00D80205" w:rsidP="004D1C36">
      <w:pPr>
        <w:pStyle w:val="ANagwek2"/>
        <w:rPr>
          <w:rFonts w:asciiTheme="minorHAnsi" w:hAnsiTheme="minorHAnsi" w:cstheme="minorHAnsi"/>
          <w:b w:val="0"/>
          <w:bCs w:val="0"/>
          <w:sz w:val="20"/>
          <w:szCs w:val="20"/>
        </w:rPr>
      </w:pPr>
      <w:bookmarkStart w:id="747" w:name="_Toc189833841"/>
      <w:bookmarkStart w:id="748" w:name="_Toc239333444"/>
      <w:r w:rsidRPr="00EB2E7B">
        <w:rPr>
          <w:rFonts w:asciiTheme="minorHAnsi" w:hAnsiTheme="minorHAnsi" w:cstheme="minorHAnsi"/>
          <w:b w:val="0"/>
          <w:bCs w:val="0"/>
          <w:sz w:val="20"/>
          <w:szCs w:val="20"/>
        </w:rPr>
        <w:t>ACPRO identyfikuje ograniczenia sieciowe jako:</w:t>
      </w:r>
      <w:bookmarkEnd w:id="747"/>
      <w:bookmarkEnd w:id="748"/>
    </w:p>
    <w:p w14:paraId="34BF106F" w14:textId="77777777" w:rsidR="00D80205" w:rsidRPr="00EB2E7B" w:rsidRDefault="00D80205" w:rsidP="00BA40B3">
      <w:pPr>
        <w:pStyle w:val="aprzed"/>
        <w:numPr>
          <w:ilvl w:val="0"/>
          <w:numId w:val="386"/>
        </w:numPr>
        <w:ind w:left="1701" w:hanging="566"/>
        <w:rPr>
          <w:rFonts w:asciiTheme="minorHAnsi" w:hAnsiTheme="minorHAnsi" w:cstheme="minorHAnsi"/>
          <w:sz w:val="20"/>
          <w:szCs w:val="20"/>
        </w:rPr>
      </w:pPr>
      <w:r w:rsidRPr="00EB2E7B">
        <w:rPr>
          <w:rFonts w:asciiTheme="minorHAnsi" w:hAnsiTheme="minorHAnsi" w:cstheme="minorHAnsi"/>
          <w:sz w:val="20"/>
          <w:szCs w:val="20"/>
        </w:rPr>
        <w:t>maksymalne dopuszczalne moce wytwarzane i/lub maksymalną liczbę jednostek wytwórczych pracujących w danym węźle lub grupie węzłów,</w:t>
      </w:r>
    </w:p>
    <w:p w14:paraId="20E6462C" w14:textId="77777777" w:rsidR="00D80205" w:rsidRPr="00EB2E7B" w:rsidRDefault="00D80205" w:rsidP="00BA40B3">
      <w:pPr>
        <w:pStyle w:val="aprzed"/>
        <w:numPr>
          <w:ilvl w:val="0"/>
          <w:numId w:val="386"/>
        </w:numPr>
        <w:ind w:left="1701" w:hanging="566"/>
        <w:rPr>
          <w:rFonts w:asciiTheme="minorHAnsi" w:hAnsiTheme="minorHAnsi" w:cstheme="minorHAnsi"/>
          <w:sz w:val="20"/>
          <w:szCs w:val="20"/>
        </w:rPr>
      </w:pPr>
      <w:r w:rsidRPr="00EB2E7B">
        <w:rPr>
          <w:rFonts w:asciiTheme="minorHAnsi" w:hAnsiTheme="minorHAnsi" w:cstheme="minorHAnsi"/>
          <w:sz w:val="20"/>
          <w:szCs w:val="20"/>
        </w:rPr>
        <w:t>minimalne niezbędne moce wytwarzane i/lub minimalną liczbę jednostek wytwórczych pracujących w danym węźle lub grupie węzłów,</w:t>
      </w:r>
    </w:p>
    <w:p w14:paraId="3D1EC347" w14:textId="77777777" w:rsidR="00D80205" w:rsidRPr="00EB2E7B" w:rsidRDefault="00D80205" w:rsidP="00BA40B3">
      <w:pPr>
        <w:pStyle w:val="aprzed"/>
        <w:numPr>
          <w:ilvl w:val="0"/>
          <w:numId w:val="386"/>
        </w:numPr>
        <w:ind w:left="1701" w:hanging="566"/>
        <w:rPr>
          <w:rFonts w:asciiTheme="minorHAnsi" w:hAnsiTheme="minorHAnsi" w:cstheme="minorHAnsi"/>
          <w:sz w:val="20"/>
          <w:szCs w:val="20"/>
        </w:rPr>
      </w:pPr>
      <w:r w:rsidRPr="00EB2E7B">
        <w:rPr>
          <w:rFonts w:asciiTheme="minorHAnsi" w:hAnsiTheme="minorHAnsi" w:cstheme="minorHAnsi"/>
          <w:sz w:val="20"/>
          <w:szCs w:val="20"/>
        </w:rPr>
        <w:t>planowane ograniczenia dystrybucyjne na wskazanych przekrojach sieciowych,</w:t>
      </w:r>
    </w:p>
    <w:p w14:paraId="22B457CF" w14:textId="70DBFA82" w:rsidR="00F42F5C" w:rsidRPr="00EB2E7B" w:rsidRDefault="00D80205" w:rsidP="00255DB2">
      <w:pPr>
        <w:pStyle w:val="aprzed"/>
        <w:numPr>
          <w:ilvl w:val="0"/>
          <w:numId w:val="386"/>
        </w:numPr>
        <w:ind w:left="1701" w:hanging="566"/>
        <w:rPr>
          <w:rFonts w:asciiTheme="minorHAnsi" w:hAnsiTheme="minorHAnsi" w:cstheme="minorHAnsi"/>
          <w:sz w:val="20"/>
          <w:szCs w:val="20"/>
        </w:rPr>
      </w:pPr>
      <w:r w:rsidRPr="00EB2E7B">
        <w:rPr>
          <w:rFonts w:asciiTheme="minorHAnsi" w:hAnsiTheme="minorHAnsi" w:cstheme="minorHAnsi"/>
          <w:sz w:val="20"/>
          <w:szCs w:val="20"/>
        </w:rPr>
        <w:t>maksymalne możliwe do świadczenia wielkości mocy bilansujących w poszczególnych węzłach sieci lub grupach tych węzłów.</w:t>
      </w:r>
    </w:p>
    <w:p w14:paraId="1CF27834" w14:textId="0580F20C" w:rsidR="00D80205" w:rsidRPr="00EB2E7B" w:rsidRDefault="00D80205" w:rsidP="004D1C36">
      <w:pPr>
        <w:pStyle w:val="ANagwek2"/>
        <w:rPr>
          <w:rFonts w:asciiTheme="minorHAnsi" w:hAnsiTheme="minorHAnsi" w:cstheme="minorHAnsi"/>
          <w:b w:val="0"/>
          <w:bCs w:val="0"/>
          <w:sz w:val="20"/>
          <w:szCs w:val="20"/>
        </w:rPr>
      </w:pPr>
      <w:bookmarkStart w:id="749" w:name="_Toc189833842"/>
      <w:bookmarkStart w:id="750" w:name="_Toc239333445"/>
      <w:r w:rsidRPr="00EB2E7B">
        <w:rPr>
          <w:rFonts w:asciiTheme="minorHAnsi" w:hAnsiTheme="minorHAnsi" w:cstheme="minorHAnsi"/>
          <w:b w:val="0"/>
          <w:bCs w:val="0"/>
          <w:sz w:val="20"/>
          <w:szCs w:val="20"/>
        </w:rPr>
        <w:t>Identyfikacja ograniczeń systemowych jest wykonywana przez ACPRO na podstawie analiz sieciowych uwzględniających:</w:t>
      </w:r>
      <w:bookmarkEnd w:id="749"/>
      <w:bookmarkEnd w:id="750"/>
    </w:p>
    <w:p w14:paraId="1CFA1578" w14:textId="77777777" w:rsidR="00D80205" w:rsidRPr="00EB2E7B" w:rsidRDefault="00D80205" w:rsidP="00BA40B3">
      <w:pPr>
        <w:pStyle w:val="aprzed"/>
        <w:numPr>
          <w:ilvl w:val="0"/>
          <w:numId w:val="385"/>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plan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elementów sieci dystrybucyjnej,</w:t>
      </w:r>
    </w:p>
    <w:p w14:paraId="4116675F" w14:textId="77777777" w:rsidR="00D80205" w:rsidRPr="00EB2E7B" w:rsidRDefault="00D80205" w:rsidP="00BA40B3">
      <w:pPr>
        <w:pStyle w:val="aprzed"/>
        <w:numPr>
          <w:ilvl w:val="0"/>
          <w:numId w:val="385"/>
        </w:numPr>
        <w:ind w:left="1701" w:hanging="566"/>
        <w:rPr>
          <w:rFonts w:asciiTheme="minorHAnsi" w:hAnsiTheme="minorHAnsi" w:cstheme="minorHAnsi"/>
          <w:sz w:val="20"/>
          <w:szCs w:val="20"/>
        </w:rPr>
      </w:pPr>
      <w:r w:rsidRPr="00EB2E7B">
        <w:rPr>
          <w:rFonts w:asciiTheme="minorHAnsi" w:hAnsiTheme="minorHAnsi" w:cstheme="minorHAnsi"/>
          <w:sz w:val="20"/>
          <w:szCs w:val="20"/>
        </w:rPr>
        <w:t>plan remontów jednostek wytwórczych przyłączonych do sieci dystrybucyjnej,</w:t>
      </w:r>
    </w:p>
    <w:p w14:paraId="13888BFE" w14:textId="77777777" w:rsidR="00D80205" w:rsidRPr="00EB2E7B" w:rsidRDefault="00D80205" w:rsidP="00BA40B3">
      <w:pPr>
        <w:pStyle w:val="aprzed"/>
        <w:numPr>
          <w:ilvl w:val="0"/>
          <w:numId w:val="385"/>
        </w:numPr>
        <w:ind w:left="1701" w:hanging="566"/>
        <w:rPr>
          <w:rFonts w:asciiTheme="minorHAnsi" w:hAnsiTheme="minorHAnsi" w:cstheme="minorHAnsi"/>
          <w:sz w:val="20"/>
          <w:szCs w:val="20"/>
        </w:rPr>
      </w:pPr>
      <w:r w:rsidRPr="00EB2E7B">
        <w:rPr>
          <w:rFonts w:asciiTheme="minorHAnsi" w:hAnsiTheme="minorHAnsi" w:cstheme="minorHAnsi"/>
          <w:sz w:val="20"/>
          <w:szCs w:val="20"/>
        </w:rPr>
        <w:t>wymagania dotyczące jakości i niezawodności pracy sieci dystrybucyjnej.</w:t>
      </w:r>
    </w:p>
    <w:p w14:paraId="786F5900" w14:textId="56FA5D90" w:rsidR="00D80205" w:rsidRPr="00EB2E7B" w:rsidRDefault="00D80205" w:rsidP="004D1C36">
      <w:pPr>
        <w:pStyle w:val="ANagwek2"/>
        <w:rPr>
          <w:rFonts w:asciiTheme="minorHAnsi" w:hAnsiTheme="minorHAnsi" w:cstheme="minorHAnsi"/>
          <w:b w:val="0"/>
          <w:bCs w:val="0"/>
          <w:sz w:val="20"/>
          <w:szCs w:val="20"/>
        </w:rPr>
      </w:pPr>
      <w:bookmarkStart w:id="751" w:name="_Toc189833843"/>
      <w:bookmarkStart w:id="752" w:name="_Toc239333446"/>
      <w:r w:rsidRPr="00EB2E7B">
        <w:rPr>
          <w:rFonts w:asciiTheme="minorHAnsi" w:hAnsiTheme="minorHAnsi" w:cstheme="minorHAnsi"/>
          <w:b w:val="0"/>
          <w:bCs w:val="0"/>
          <w:sz w:val="20"/>
          <w:szCs w:val="20"/>
        </w:rPr>
        <w:t>Analizy sieciowe dla potrzeb identyfikacji ograniczeń systemowych w planach koordynacyjnych są realizowane przez ACPRO z wykorzystaniem dostępnych programów analitycznych i na bazie najbardziej aktualnych modeli matematycznych KSE.</w:t>
      </w:r>
      <w:bookmarkEnd w:id="751"/>
      <w:bookmarkEnd w:id="752"/>
    </w:p>
    <w:p w14:paraId="62B64B03" w14:textId="79A86ECA" w:rsidR="00D80205" w:rsidRPr="00EB2E7B" w:rsidRDefault="00D80205" w:rsidP="004D1C36">
      <w:pPr>
        <w:pStyle w:val="ANagwek2"/>
        <w:rPr>
          <w:rFonts w:asciiTheme="minorHAnsi" w:hAnsiTheme="minorHAnsi" w:cstheme="minorHAnsi"/>
          <w:b w:val="0"/>
          <w:bCs w:val="0"/>
          <w:sz w:val="20"/>
          <w:szCs w:val="20"/>
        </w:rPr>
      </w:pPr>
      <w:bookmarkStart w:id="753" w:name="_Toc189833844"/>
      <w:bookmarkStart w:id="754" w:name="_Toc239333447"/>
      <w:r w:rsidRPr="00EB2E7B">
        <w:rPr>
          <w:rFonts w:asciiTheme="minorHAnsi" w:hAnsiTheme="minorHAnsi" w:cstheme="minorHAnsi"/>
          <w:b w:val="0"/>
          <w:bCs w:val="0"/>
          <w:sz w:val="20"/>
          <w:szCs w:val="20"/>
        </w:rPr>
        <w:t>Ograniczenia systemowe są identyfikowane w cyklach pokrywających się z planami koordynacyjnymi oraz udostępniane w ramach planów koordynacyjnych.</w:t>
      </w:r>
      <w:bookmarkEnd w:id="753"/>
      <w:bookmarkEnd w:id="754"/>
    </w:p>
    <w:p w14:paraId="06688F3B" w14:textId="3F125BEB" w:rsidR="00D80205" w:rsidRPr="00EB2E7B" w:rsidRDefault="00D80205" w:rsidP="004D1C36">
      <w:pPr>
        <w:pStyle w:val="ANagwek2"/>
        <w:rPr>
          <w:rFonts w:asciiTheme="minorHAnsi" w:hAnsiTheme="minorHAnsi" w:cstheme="minorHAnsi"/>
          <w:b w:val="0"/>
          <w:bCs w:val="0"/>
          <w:sz w:val="20"/>
          <w:szCs w:val="20"/>
        </w:rPr>
      </w:pPr>
      <w:bookmarkStart w:id="755" w:name="_Toc189833845"/>
      <w:bookmarkStart w:id="756" w:name="_Toc239333448"/>
      <w:r w:rsidRPr="00EB2E7B">
        <w:rPr>
          <w:rFonts w:asciiTheme="minorHAnsi" w:hAnsiTheme="minorHAnsi" w:cstheme="minorHAnsi"/>
          <w:b w:val="0"/>
          <w:bCs w:val="0"/>
          <w:sz w:val="20"/>
          <w:szCs w:val="20"/>
        </w:rPr>
        <w:t>ACPRO przy planowaniu pracy sieci uwzględnia ograniczenia występujące w pracy sieci przesyłowej, dystrybucyjnej sąsiednich OSD oraz zgłoszone przez wytwórców ograniczenia dotyczące jednostek wytwórczych przyłączonych do jego sieci, mając na celu minimalizację skutków tych ograniczeń.</w:t>
      </w:r>
      <w:bookmarkEnd w:id="755"/>
      <w:bookmarkEnd w:id="756"/>
    </w:p>
    <w:p w14:paraId="744B7571" w14:textId="62EB7359" w:rsidR="00D80205" w:rsidRPr="00EB2E7B" w:rsidRDefault="00D80205" w:rsidP="004D1C36">
      <w:pPr>
        <w:pStyle w:val="ANagwek2"/>
        <w:rPr>
          <w:rFonts w:asciiTheme="minorHAnsi" w:hAnsiTheme="minorHAnsi" w:cstheme="minorHAnsi"/>
          <w:b w:val="0"/>
          <w:bCs w:val="0"/>
          <w:sz w:val="20"/>
          <w:szCs w:val="20"/>
        </w:rPr>
      </w:pPr>
      <w:bookmarkStart w:id="757" w:name="_Toc189833846"/>
      <w:bookmarkStart w:id="758" w:name="_Toc239333449"/>
      <w:r w:rsidRPr="00EB2E7B">
        <w:rPr>
          <w:rFonts w:asciiTheme="minorHAnsi" w:hAnsiTheme="minorHAnsi" w:cstheme="minorHAnsi"/>
          <w:b w:val="0"/>
          <w:bCs w:val="0"/>
          <w:sz w:val="20"/>
          <w:szCs w:val="20"/>
        </w:rPr>
        <w:t>W przypadku wystąpienia ograniczeń systemowych ACPRO prowadzi ruch sieci dystrybucyjnej mając na uwadze zapewnienie bezpieczeństwa pracy KSE, dotrzymanie wymaganych parametrów technicznych energii elektrycznej oraz minimalizację skutków ograniczeń w dostawie energii elektrycznej w szczególności przez:</w:t>
      </w:r>
      <w:bookmarkEnd w:id="757"/>
      <w:bookmarkEnd w:id="758"/>
    </w:p>
    <w:p w14:paraId="0DE553EF" w14:textId="77777777" w:rsidR="00D80205" w:rsidRPr="00EB2E7B" w:rsidRDefault="00D80205" w:rsidP="00B55525">
      <w:pPr>
        <w:pStyle w:val="aprzed"/>
        <w:numPr>
          <w:ilvl w:val="0"/>
          <w:numId w:val="384"/>
        </w:numPr>
        <w:ind w:left="1701" w:hanging="566"/>
        <w:rPr>
          <w:rFonts w:asciiTheme="minorHAnsi" w:hAnsiTheme="minorHAnsi" w:cstheme="minorHAnsi"/>
          <w:sz w:val="20"/>
          <w:szCs w:val="20"/>
        </w:rPr>
      </w:pPr>
      <w:r w:rsidRPr="00EB2E7B">
        <w:rPr>
          <w:rFonts w:asciiTheme="minorHAnsi" w:hAnsiTheme="minorHAnsi" w:cstheme="minorHAnsi"/>
          <w:sz w:val="20"/>
          <w:szCs w:val="20"/>
        </w:rPr>
        <w:lastRenderedPageBreak/>
        <w:t>zmianę układu pracy sieci dystrybucyjnej;</w:t>
      </w:r>
    </w:p>
    <w:p w14:paraId="31D1B03F" w14:textId="41AF1EA1" w:rsidR="00D80205" w:rsidRPr="00EB2E7B" w:rsidRDefault="00D80205" w:rsidP="00B55525">
      <w:pPr>
        <w:pStyle w:val="aprzed"/>
        <w:numPr>
          <w:ilvl w:val="0"/>
          <w:numId w:val="38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wprowadzanie zmian do zatwierdzonego planu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elementów sieci dystrybucyjnej;</w:t>
      </w:r>
    </w:p>
    <w:p w14:paraId="5463321C" w14:textId="77777777" w:rsidR="00D80205" w:rsidRPr="00EB2E7B" w:rsidRDefault="00D80205" w:rsidP="00B55525">
      <w:pPr>
        <w:pStyle w:val="aprzed"/>
        <w:numPr>
          <w:ilvl w:val="0"/>
          <w:numId w:val="38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dysponowanie mocą </w:t>
      </w:r>
      <w:proofErr w:type="spellStart"/>
      <w:r w:rsidRPr="00EB2E7B">
        <w:rPr>
          <w:rFonts w:asciiTheme="minorHAnsi" w:hAnsiTheme="minorHAnsi" w:cstheme="minorHAnsi"/>
          <w:sz w:val="20"/>
          <w:szCs w:val="20"/>
        </w:rPr>
        <w:t>nJWCD</w:t>
      </w:r>
      <w:proofErr w:type="spellEnd"/>
      <w:r w:rsidRPr="00EB2E7B">
        <w:rPr>
          <w:rFonts w:asciiTheme="minorHAnsi" w:hAnsiTheme="minorHAnsi" w:cstheme="minorHAnsi"/>
          <w:sz w:val="20"/>
          <w:szCs w:val="20"/>
        </w:rPr>
        <w:t xml:space="preserve"> przyłączonych do sieci dystrybucyjnej;</w:t>
      </w:r>
    </w:p>
    <w:p w14:paraId="7C86321C" w14:textId="77777777" w:rsidR="00D80205" w:rsidRPr="00EB2E7B" w:rsidRDefault="00D80205" w:rsidP="00B55525">
      <w:pPr>
        <w:pStyle w:val="aprzed"/>
        <w:numPr>
          <w:ilvl w:val="0"/>
          <w:numId w:val="38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wnioskowanie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zmianę poziomu generacji mocy JWCD i JWCK;</w:t>
      </w:r>
    </w:p>
    <w:p w14:paraId="73865444" w14:textId="6AAF129B" w:rsidR="00357A9A" w:rsidRPr="00EB2E7B" w:rsidRDefault="00D80205" w:rsidP="00B55525">
      <w:pPr>
        <w:pStyle w:val="aprzed"/>
        <w:numPr>
          <w:ilvl w:val="0"/>
          <w:numId w:val="384"/>
        </w:numPr>
        <w:ind w:left="1701" w:hanging="566"/>
        <w:rPr>
          <w:rFonts w:asciiTheme="minorHAnsi" w:hAnsiTheme="minorHAnsi" w:cstheme="minorHAnsi"/>
          <w:sz w:val="20"/>
          <w:szCs w:val="20"/>
        </w:rPr>
      </w:pPr>
      <w:r w:rsidRPr="00EB2E7B">
        <w:rPr>
          <w:rFonts w:asciiTheme="minorHAnsi" w:hAnsiTheme="minorHAnsi" w:cstheme="minorHAnsi"/>
          <w:sz w:val="20"/>
          <w:szCs w:val="20"/>
        </w:rPr>
        <w:t xml:space="preserve">wnioskowanie do OSP za pośrednictwem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 zmianę układu pracy sieci przesyłowej.</w:t>
      </w:r>
    </w:p>
    <w:p w14:paraId="2604AA11" w14:textId="7B8B47FA" w:rsidR="00D80205" w:rsidRPr="00EB2E7B" w:rsidRDefault="00D80205" w:rsidP="004D1C36">
      <w:pPr>
        <w:pStyle w:val="ANagwek2"/>
        <w:rPr>
          <w:rFonts w:asciiTheme="minorHAnsi" w:hAnsiTheme="minorHAnsi" w:cstheme="minorHAnsi"/>
          <w:b w:val="0"/>
          <w:bCs w:val="0"/>
          <w:sz w:val="20"/>
          <w:szCs w:val="20"/>
        </w:rPr>
      </w:pPr>
      <w:bookmarkStart w:id="759" w:name="_Toc189833847"/>
      <w:bookmarkStart w:id="760" w:name="_Toc239333450"/>
      <w:r w:rsidRPr="00EB2E7B">
        <w:rPr>
          <w:rFonts w:asciiTheme="minorHAnsi" w:hAnsiTheme="minorHAnsi" w:cstheme="minorHAnsi"/>
          <w:b w:val="0"/>
          <w:bCs w:val="0"/>
          <w:sz w:val="20"/>
          <w:szCs w:val="20"/>
        </w:rPr>
        <w:t xml:space="preserve">W przypadku wystąpienia ograniczeń systemowych ACPRO podejmuje działania mające na celu ich likwidację lub zmniejszenie skutków ograniczeń występujących w sieci dystrybucyjnej samodzielnie oraz we współpracy z OSP oraz innymi ACPRO, w tym </w:t>
      </w:r>
      <w:proofErr w:type="spellStart"/>
      <w:r w:rsidRPr="00EB2E7B">
        <w:rPr>
          <w:rFonts w:asciiTheme="minorHAnsi" w:hAnsiTheme="minorHAnsi" w:cstheme="minorHAnsi"/>
          <w:b w:val="0"/>
          <w:bCs w:val="0"/>
          <w:sz w:val="20"/>
          <w:szCs w:val="20"/>
        </w:rPr>
        <w:t>OSDp</w:t>
      </w:r>
      <w:proofErr w:type="spellEnd"/>
      <w:r w:rsidRPr="00EB2E7B">
        <w:rPr>
          <w:rFonts w:asciiTheme="minorHAnsi" w:hAnsiTheme="minorHAnsi" w:cstheme="minorHAnsi"/>
          <w:b w:val="0"/>
          <w:bCs w:val="0"/>
          <w:sz w:val="20"/>
          <w:szCs w:val="20"/>
        </w:rPr>
        <w:t>.</w:t>
      </w:r>
      <w:bookmarkEnd w:id="759"/>
      <w:bookmarkEnd w:id="760"/>
    </w:p>
    <w:p w14:paraId="79BF1228" w14:textId="2EB00621" w:rsidR="004729F5" w:rsidRPr="00EB2E7B" w:rsidRDefault="00D80205" w:rsidP="004D1C36">
      <w:pPr>
        <w:pStyle w:val="ANagwek2"/>
        <w:rPr>
          <w:rFonts w:asciiTheme="minorHAnsi" w:hAnsiTheme="minorHAnsi" w:cstheme="minorHAnsi"/>
          <w:b w:val="0"/>
          <w:bCs w:val="0"/>
          <w:sz w:val="20"/>
          <w:szCs w:val="20"/>
        </w:rPr>
      </w:pPr>
      <w:bookmarkStart w:id="761" w:name="_Toc189833848"/>
      <w:bookmarkStart w:id="762" w:name="_Toc239333451"/>
      <w:r w:rsidRPr="00EB2E7B">
        <w:rPr>
          <w:rFonts w:asciiTheme="minorHAnsi" w:hAnsiTheme="minorHAnsi" w:cstheme="minorHAnsi"/>
          <w:b w:val="0"/>
          <w:bCs w:val="0"/>
          <w:sz w:val="20"/>
          <w:szCs w:val="20"/>
        </w:rPr>
        <w:t xml:space="preserve">W przypadku przekroczenia zidentyfikowanych ograniczeń systemowych spowodowanych awariami w KSE, ACPRO podejmuje działania szczegółowo uregulowane w części ogólnej </w:t>
      </w:r>
      <w:proofErr w:type="spellStart"/>
      <w:r w:rsidRPr="00EB2E7B">
        <w:rPr>
          <w:rFonts w:asciiTheme="minorHAnsi" w:hAnsiTheme="minorHAnsi" w:cstheme="minorHAnsi"/>
          <w:b w:val="0"/>
          <w:bCs w:val="0"/>
          <w:sz w:val="20"/>
          <w:szCs w:val="20"/>
        </w:rPr>
        <w:t>IRiESD</w:t>
      </w:r>
      <w:proofErr w:type="spellEnd"/>
      <w:r w:rsidRPr="00EB2E7B">
        <w:rPr>
          <w:rFonts w:asciiTheme="minorHAnsi" w:hAnsiTheme="minorHAnsi" w:cstheme="minorHAnsi"/>
          <w:b w:val="0"/>
          <w:bCs w:val="0"/>
          <w:sz w:val="20"/>
          <w:szCs w:val="20"/>
        </w:rPr>
        <w:t xml:space="preserve"> rozdział </w:t>
      </w:r>
      <w:r w:rsidRPr="00EB2E7B">
        <w:rPr>
          <w:rFonts w:asciiTheme="minorHAnsi" w:hAnsiTheme="minorHAnsi" w:cstheme="minorHAnsi"/>
          <w:b w:val="0"/>
          <w:bCs w:val="0"/>
          <w:sz w:val="20"/>
          <w:szCs w:val="20"/>
        </w:rPr>
        <w:fldChar w:fldCharType="begin"/>
      </w:r>
      <w:r w:rsidRPr="00EB2E7B">
        <w:rPr>
          <w:rFonts w:asciiTheme="minorHAnsi" w:hAnsiTheme="minorHAnsi" w:cstheme="minorHAnsi"/>
          <w:b w:val="0"/>
          <w:bCs w:val="0"/>
          <w:sz w:val="20"/>
          <w:szCs w:val="20"/>
        </w:rPr>
        <w:instrText xml:space="preserve"> REF _Ref75516626 \r \h </w:instrText>
      </w:r>
      <w:r w:rsidR="008A7D7E" w:rsidRPr="00EB2E7B">
        <w:rPr>
          <w:rFonts w:asciiTheme="minorHAnsi" w:hAnsiTheme="minorHAnsi" w:cstheme="minorHAnsi"/>
          <w:b w:val="0"/>
          <w:bCs w:val="0"/>
          <w:sz w:val="20"/>
          <w:szCs w:val="20"/>
        </w:rPr>
        <w:instrText xml:space="preserve"> \* MERGEFORMAT </w:instrText>
      </w:r>
      <w:r w:rsidRPr="00EB2E7B">
        <w:rPr>
          <w:rFonts w:asciiTheme="minorHAnsi" w:hAnsiTheme="minorHAnsi" w:cstheme="minorHAnsi"/>
          <w:b w:val="0"/>
          <w:bCs w:val="0"/>
          <w:sz w:val="20"/>
          <w:szCs w:val="20"/>
        </w:rPr>
      </w:r>
      <w:r w:rsidRPr="00EB2E7B">
        <w:rPr>
          <w:rFonts w:asciiTheme="minorHAnsi" w:hAnsiTheme="minorHAnsi" w:cstheme="minorHAnsi"/>
          <w:b w:val="0"/>
          <w:bCs w:val="0"/>
          <w:sz w:val="20"/>
          <w:szCs w:val="20"/>
        </w:rPr>
        <w:fldChar w:fldCharType="separate"/>
      </w:r>
      <w:r w:rsidR="006A408D">
        <w:rPr>
          <w:rFonts w:asciiTheme="minorHAnsi" w:hAnsiTheme="minorHAnsi" w:cstheme="minorHAnsi"/>
          <w:b w:val="0"/>
          <w:bCs w:val="0"/>
          <w:sz w:val="20"/>
          <w:szCs w:val="20"/>
        </w:rPr>
        <w:t>IV</w:t>
      </w:r>
      <w:r w:rsidRPr="00EB2E7B">
        <w:rPr>
          <w:rFonts w:asciiTheme="minorHAnsi" w:hAnsiTheme="minorHAnsi" w:cstheme="minorHAnsi"/>
          <w:b w:val="0"/>
          <w:bCs w:val="0"/>
          <w:sz w:val="20"/>
          <w:szCs w:val="20"/>
        </w:rPr>
        <w:fldChar w:fldCharType="end"/>
      </w:r>
      <w:r w:rsidRPr="00EB2E7B">
        <w:rPr>
          <w:rFonts w:asciiTheme="minorHAnsi" w:hAnsiTheme="minorHAnsi" w:cstheme="minorHAnsi"/>
          <w:b w:val="0"/>
          <w:bCs w:val="0"/>
          <w:sz w:val="20"/>
          <w:szCs w:val="20"/>
        </w:rPr>
        <w:t xml:space="preserve"> Bezpieczeństwo funkcjonowania systemu elektroenergetycznego.</w:t>
      </w:r>
      <w:bookmarkEnd w:id="742"/>
      <w:bookmarkEnd w:id="761"/>
      <w:bookmarkEnd w:id="762"/>
    </w:p>
    <w:p w14:paraId="1F2F5FEA" w14:textId="77777777" w:rsidR="00561DF3" w:rsidRPr="00EB2E7B" w:rsidRDefault="00561DF3" w:rsidP="00561DF3">
      <w:pPr>
        <w:pStyle w:val="NormalnyIRiESD"/>
        <w:numPr>
          <w:ilvl w:val="0"/>
          <w:numId w:val="0"/>
        </w:numPr>
        <w:ind w:left="1134"/>
        <w:rPr>
          <w:rFonts w:asciiTheme="minorHAnsi" w:hAnsiTheme="minorHAnsi" w:cstheme="minorHAnsi"/>
          <w:sz w:val="20"/>
          <w:szCs w:val="20"/>
        </w:rPr>
      </w:pPr>
      <w:bookmarkStart w:id="763" w:name="_Ref182314743"/>
    </w:p>
    <w:p w14:paraId="011E4D69" w14:textId="50BAEA1B" w:rsidR="00561DF3" w:rsidRPr="00EB2E7B" w:rsidRDefault="00561DF3" w:rsidP="00F37A66">
      <w:pPr>
        <w:pStyle w:val="ANagwek1"/>
        <w:ind w:left="1134" w:firstLine="0"/>
        <w:rPr>
          <w:rFonts w:asciiTheme="minorHAnsi" w:hAnsiTheme="minorHAnsi" w:cstheme="minorHAnsi"/>
          <w:b/>
          <w:bCs w:val="0"/>
          <w:sz w:val="20"/>
          <w:szCs w:val="20"/>
        </w:rPr>
      </w:pPr>
    </w:p>
    <w:p w14:paraId="36CC90D2" w14:textId="77777777" w:rsidR="00694013" w:rsidRPr="00EB2E7B" w:rsidRDefault="00694013" w:rsidP="00561DF3">
      <w:pPr>
        <w:pStyle w:val="NormalnyIRiESD"/>
        <w:numPr>
          <w:ilvl w:val="0"/>
          <w:numId w:val="0"/>
        </w:numPr>
        <w:ind w:left="1134"/>
        <w:rPr>
          <w:rFonts w:asciiTheme="minorHAnsi" w:hAnsiTheme="minorHAnsi" w:cstheme="minorHAnsi"/>
          <w:sz w:val="20"/>
          <w:szCs w:val="20"/>
        </w:rPr>
      </w:pPr>
    </w:p>
    <w:p w14:paraId="41D817B1" w14:textId="77777777" w:rsidR="00694013" w:rsidRPr="00EB2E7B" w:rsidRDefault="00694013" w:rsidP="00694013">
      <w:pPr>
        <w:ind w:left="70" w:firstLine="0"/>
        <w:rPr>
          <w:rFonts w:asciiTheme="minorHAnsi" w:hAnsiTheme="minorHAnsi" w:cstheme="minorHAnsi"/>
          <w:sz w:val="20"/>
          <w:szCs w:val="20"/>
        </w:rPr>
      </w:pPr>
    </w:p>
    <w:bookmarkEnd w:id="763"/>
    <w:p w14:paraId="2BEF3E14" w14:textId="4512B699" w:rsidR="00F2053D" w:rsidRPr="00EB2E7B" w:rsidRDefault="00F2053D" w:rsidP="00472992">
      <w:pPr>
        <w:ind w:left="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142D4149" w14:textId="77777777" w:rsidR="00B92EE0" w:rsidRPr="00EB2E7B" w:rsidRDefault="00B92EE0" w:rsidP="005D19E7">
      <w:pPr>
        <w:ind w:left="70" w:firstLine="0"/>
        <w:rPr>
          <w:rFonts w:asciiTheme="minorHAnsi" w:hAnsiTheme="minorHAnsi" w:cstheme="minorHAnsi"/>
          <w:sz w:val="20"/>
          <w:szCs w:val="20"/>
        </w:rPr>
      </w:pPr>
    </w:p>
    <w:p w14:paraId="272E53F4" w14:textId="77777777" w:rsidR="00B92EE0" w:rsidRPr="00EB2E7B" w:rsidRDefault="00B92EE0" w:rsidP="005D19E7">
      <w:pPr>
        <w:ind w:left="70" w:firstLine="0"/>
        <w:rPr>
          <w:rFonts w:asciiTheme="minorHAnsi" w:hAnsiTheme="minorHAnsi" w:cstheme="minorHAnsi"/>
          <w:sz w:val="20"/>
          <w:szCs w:val="20"/>
        </w:rPr>
      </w:pPr>
    </w:p>
    <w:p w14:paraId="37578797" w14:textId="77777777" w:rsidR="00B92EE0" w:rsidRPr="00EB2E7B" w:rsidRDefault="00B92EE0" w:rsidP="005D19E7">
      <w:pPr>
        <w:ind w:left="70" w:firstLine="0"/>
        <w:rPr>
          <w:rFonts w:asciiTheme="minorHAnsi" w:hAnsiTheme="minorHAnsi" w:cstheme="minorHAnsi"/>
          <w:sz w:val="20"/>
          <w:szCs w:val="20"/>
        </w:rPr>
      </w:pPr>
    </w:p>
    <w:p w14:paraId="33F97E6D" w14:textId="77777777" w:rsidR="00473957" w:rsidRPr="00EB2E7B" w:rsidRDefault="00473957" w:rsidP="005D19E7">
      <w:pPr>
        <w:ind w:left="70" w:firstLine="0"/>
        <w:rPr>
          <w:rFonts w:asciiTheme="minorHAnsi" w:hAnsiTheme="minorHAnsi" w:cstheme="minorHAnsi"/>
          <w:sz w:val="20"/>
          <w:szCs w:val="20"/>
        </w:rPr>
      </w:pPr>
    </w:p>
    <w:p w14:paraId="0573FBE2" w14:textId="77777777" w:rsidR="00473957" w:rsidRPr="00EB2E7B" w:rsidRDefault="00473957" w:rsidP="005D19E7">
      <w:pPr>
        <w:ind w:left="70" w:firstLine="0"/>
        <w:rPr>
          <w:rFonts w:asciiTheme="minorHAnsi" w:hAnsiTheme="minorHAnsi" w:cstheme="minorHAnsi"/>
          <w:sz w:val="20"/>
          <w:szCs w:val="20"/>
        </w:rPr>
      </w:pPr>
    </w:p>
    <w:p w14:paraId="4D92D03D" w14:textId="77777777" w:rsidR="00473957" w:rsidRPr="00EB2E7B" w:rsidRDefault="00473957" w:rsidP="005D19E7">
      <w:pPr>
        <w:ind w:left="70" w:firstLine="0"/>
        <w:rPr>
          <w:rFonts w:asciiTheme="minorHAnsi" w:hAnsiTheme="minorHAnsi" w:cstheme="minorHAnsi"/>
          <w:sz w:val="20"/>
          <w:szCs w:val="20"/>
        </w:rPr>
      </w:pPr>
    </w:p>
    <w:p w14:paraId="144B8469" w14:textId="77777777" w:rsidR="00473957" w:rsidRPr="00EB2E7B" w:rsidRDefault="00473957" w:rsidP="005D19E7">
      <w:pPr>
        <w:ind w:left="70" w:firstLine="0"/>
        <w:rPr>
          <w:rFonts w:asciiTheme="minorHAnsi" w:hAnsiTheme="minorHAnsi" w:cstheme="minorHAnsi"/>
          <w:sz w:val="20"/>
          <w:szCs w:val="20"/>
        </w:rPr>
      </w:pPr>
    </w:p>
    <w:p w14:paraId="3023783A" w14:textId="77777777" w:rsidR="00473957" w:rsidRPr="00EB2E7B" w:rsidRDefault="00473957" w:rsidP="005D19E7">
      <w:pPr>
        <w:ind w:left="70" w:firstLine="0"/>
        <w:rPr>
          <w:rFonts w:asciiTheme="minorHAnsi" w:hAnsiTheme="minorHAnsi" w:cstheme="minorHAnsi"/>
          <w:sz w:val="20"/>
          <w:szCs w:val="20"/>
        </w:rPr>
      </w:pPr>
    </w:p>
    <w:p w14:paraId="5BC818DE" w14:textId="77777777" w:rsidR="00473957" w:rsidRPr="00EB2E7B" w:rsidRDefault="00473957" w:rsidP="005D19E7">
      <w:pPr>
        <w:ind w:left="70" w:firstLine="0"/>
        <w:rPr>
          <w:rFonts w:asciiTheme="minorHAnsi" w:hAnsiTheme="minorHAnsi" w:cstheme="minorHAnsi"/>
          <w:sz w:val="20"/>
          <w:szCs w:val="20"/>
        </w:rPr>
      </w:pPr>
    </w:p>
    <w:p w14:paraId="266EE7A6" w14:textId="77777777" w:rsidR="00473957" w:rsidRPr="00EB2E7B" w:rsidRDefault="00473957" w:rsidP="005D19E7">
      <w:pPr>
        <w:ind w:left="70" w:firstLine="0"/>
        <w:rPr>
          <w:rFonts w:asciiTheme="minorHAnsi" w:hAnsiTheme="minorHAnsi" w:cstheme="minorHAnsi"/>
          <w:sz w:val="20"/>
          <w:szCs w:val="20"/>
        </w:rPr>
      </w:pPr>
    </w:p>
    <w:p w14:paraId="07B98D78" w14:textId="77777777" w:rsidR="00473957" w:rsidRPr="00EB2E7B" w:rsidRDefault="00473957" w:rsidP="005D19E7">
      <w:pPr>
        <w:ind w:left="70" w:firstLine="0"/>
        <w:rPr>
          <w:rFonts w:asciiTheme="minorHAnsi" w:hAnsiTheme="minorHAnsi" w:cstheme="minorHAnsi"/>
          <w:sz w:val="20"/>
          <w:szCs w:val="20"/>
        </w:rPr>
      </w:pPr>
    </w:p>
    <w:p w14:paraId="7474F6FA" w14:textId="77777777" w:rsidR="00473957" w:rsidRPr="00EB2E7B" w:rsidRDefault="0077111A" w:rsidP="006D310F">
      <w:pPr>
        <w:pStyle w:val="Tekstpodstawowywcity3"/>
        <w:rPr>
          <w:rFonts w:asciiTheme="minorHAnsi" w:hAnsiTheme="minorHAnsi" w:cstheme="minorHAnsi"/>
          <w:b/>
          <w:bCs/>
          <w:sz w:val="20"/>
          <w:szCs w:val="20"/>
        </w:rPr>
      </w:pPr>
      <w:r w:rsidRPr="00EB2E7B">
        <w:rPr>
          <w:rFonts w:asciiTheme="minorHAnsi" w:hAnsiTheme="minorHAnsi" w:cstheme="minorHAnsi"/>
          <w:b/>
          <w:bCs/>
          <w:sz w:val="20"/>
          <w:szCs w:val="20"/>
        </w:rPr>
        <w:t>INSTRUKCJA RUCHU I EKSPLOATACJI SIECI DYSTRYBUCYJNEJ</w:t>
      </w:r>
    </w:p>
    <w:p w14:paraId="4633D27A" w14:textId="77777777" w:rsidR="00473957" w:rsidRPr="00EB2E7B" w:rsidRDefault="00473957" w:rsidP="005D19E7">
      <w:pPr>
        <w:ind w:left="70" w:firstLine="0"/>
        <w:rPr>
          <w:rFonts w:asciiTheme="minorHAnsi" w:hAnsiTheme="minorHAnsi" w:cstheme="minorHAnsi"/>
          <w:sz w:val="20"/>
          <w:szCs w:val="20"/>
        </w:rPr>
      </w:pPr>
    </w:p>
    <w:p w14:paraId="4D1E5D53" w14:textId="77777777" w:rsidR="00473957" w:rsidRPr="00EB2E7B" w:rsidRDefault="00473957" w:rsidP="005D19E7">
      <w:pPr>
        <w:ind w:left="70" w:firstLine="0"/>
        <w:rPr>
          <w:rFonts w:asciiTheme="minorHAnsi" w:hAnsiTheme="minorHAnsi" w:cstheme="minorHAnsi"/>
          <w:sz w:val="20"/>
          <w:szCs w:val="20"/>
        </w:rPr>
      </w:pPr>
    </w:p>
    <w:p w14:paraId="20EF0C2D" w14:textId="77777777" w:rsidR="00473957" w:rsidRPr="00EB2E7B" w:rsidRDefault="00473957" w:rsidP="005D19E7">
      <w:pPr>
        <w:ind w:left="70" w:firstLine="0"/>
        <w:rPr>
          <w:rFonts w:asciiTheme="minorHAnsi" w:hAnsiTheme="minorHAnsi" w:cstheme="minorHAnsi"/>
          <w:sz w:val="20"/>
          <w:szCs w:val="20"/>
        </w:rPr>
      </w:pPr>
    </w:p>
    <w:p w14:paraId="0DB2D7B8" w14:textId="77777777" w:rsidR="00473957" w:rsidRPr="00EB2E7B" w:rsidRDefault="00473957" w:rsidP="005D19E7">
      <w:pPr>
        <w:ind w:left="70" w:firstLine="0"/>
        <w:rPr>
          <w:rFonts w:asciiTheme="minorHAnsi" w:hAnsiTheme="minorHAnsi" w:cstheme="minorHAnsi"/>
          <w:sz w:val="20"/>
          <w:szCs w:val="20"/>
        </w:rPr>
      </w:pPr>
    </w:p>
    <w:p w14:paraId="210A5841" w14:textId="77777777" w:rsidR="006D310F" w:rsidRPr="00EB2E7B" w:rsidRDefault="0077111A" w:rsidP="00B55525">
      <w:pPr>
        <w:pStyle w:val="Nagwek1"/>
        <w:numPr>
          <w:ilvl w:val="0"/>
          <w:numId w:val="0"/>
        </w:numPr>
        <w:jc w:val="center"/>
        <w:rPr>
          <w:rFonts w:asciiTheme="minorHAnsi" w:hAnsiTheme="minorHAnsi" w:cstheme="minorHAnsi"/>
          <w:sz w:val="20"/>
          <w:szCs w:val="20"/>
        </w:rPr>
      </w:pPr>
      <w:bookmarkStart w:id="764" w:name="_Toc180153785"/>
      <w:bookmarkStart w:id="765" w:name="_Toc239333452"/>
      <w:r w:rsidRPr="00EB2E7B">
        <w:rPr>
          <w:rFonts w:asciiTheme="minorHAnsi" w:hAnsiTheme="minorHAnsi" w:cstheme="minorHAnsi"/>
          <w:sz w:val="20"/>
          <w:szCs w:val="20"/>
        </w:rPr>
        <w:t>SŁOWNIK SKRÓTÓW I DEFINICJI</w:t>
      </w:r>
      <w:bookmarkEnd w:id="764"/>
      <w:bookmarkEnd w:id="765"/>
      <w:r w:rsidR="006D310F" w:rsidRPr="00EB2E7B">
        <w:rPr>
          <w:rFonts w:asciiTheme="minorHAnsi" w:hAnsiTheme="minorHAnsi" w:cstheme="minorHAnsi"/>
          <w:sz w:val="20"/>
          <w:szCs w:val="20"/>
        </w:rPr>
        <w:br w:type="page"/>
      </w:r>
    </w:p>
    <w:p w14:paraId="24E8881C" w14:textId="77777777" w:rsidR="00473957" w:rsidRPr="00EB2E7B" w:rsidRDefault="0077111A"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Na potrzeby niniejszej Instrukcji Ruchu i Eksploatacji Sieci Dystrybucyjnych przyjęto następujące oznaczenia skrótów i definicje stosowanych pojęć. </w:t>
      </w:r>
    </w:p>
    <w:p w14:paraId="07BA737D" w14:textId="66D3A362" w:rsidR="00473957" w:rsidRPr="00EB2E7B" w:rsidRDefault="0077111A" w:rsidP="00B55525">
      <w:pPr>
        <w:pStyle w:val="Nagwek1"/>
        <w:numPr>
          <w:ilvl w:val="0"/>
          <w:numId w:val="396"/>
        </w:numPr>
        <w:rPr>
          <w:rFonts w:asciiTheme="minorHAnsi" w:hAnsiTheme="minorHAnsi" w:cstheme="minorHAnsi"/>
          <w:sz w:val="20"/>
          <w:szCs w:val="20"/>
        </w:rPr>
      </w:pPr>
      <w:bookmarkStart w:id="766" w:name="_Toc180153786"/>
      <w:bookmarkStart w:id="767" w:name="_Toc239333453"/>
      <w:r w:rsidRPr="00EB2E7B">
        <w:rPr>
          <w:rFonts w:asciiTheme="minorHAnsi" w:hAnsiTheme="minorHAnsi" w:cstheme="minorHAnsi"/>
          <w:sz w:val="20"/>
          <w:szCs w:val="20"/>
        </w:rPr>
        <w:t>OZNACZENIA SKRÓTÓW</w:t>
      </w:r>
      <w:bookmarkEnd w:id="766"/>
      <w:bookmarkEnd w:id="767"/>
    </w:p>
    <w:tbl>
      <w:tblPr>
        <w:tblStyle w:val="Tabela-Siatka1"/>
        <w:tblW w:w="927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tblCellMar>
        <w:tblLook w:val="04A0" w:firstRow="1" w:lastRow="0" w:firstColumn="1" w:lastColumn="0" w:noHBand="0" w:noVBand="1"/>
      </w:tblPr>
      <w:tblGrid>
        <w:gridCol w:w="1630"/>
        <w:gridCol w:w="7499"/>
        <w:gridCol w:w="13"/>
        <w:gridCol w:w="137"/>
      </w:tblGrid>
      <w:tr w:rsidR="00CD7B36" w:rsidRPr="00EB2E7B" w14:paraId="158B5FE6" w14:textId="77777777" w:rsidTr="00B55525">
        <w:trPr>
          <w:trHeight w:val="333"/>
        </w:trPr>
        <w:tc>
          <w:tcPr>
            <w:tcW w:w="1630" w:type="dxa"/>
          </w:tcPr>
          <w:p w14:paraId="193AF91C"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APKO </w:t>
            </w:r>
          </w:p>
        </w:tc>
        <w:tc>
          <w:tcPr>
            <w:tcW w:w="7649" w:type="dxa"/>
            <w:gridSpan w:val="3"/>
          </w:tcPr>
          <w:p w14:paraId="06736F8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Automatyka </w:t>
            </w:r>
            <w:proofErr w:type="spellStart"/>
            <w:r w:rsidRPr="00EB2E7B">
              <w:rPr>
                <w:rFonts w:asciiTheme="minorHAnsi" w:hAnsiTheme="minorHAnsi" w:cstheme="minorHAnsi"/>
                <w:sz w:val="20"/>
                <w:szCs w:val="20"/>
              </w:rPr>
              <w:t>przeciwkołysaniowa</w:t>
            </w:r>
            <w:proofErr w:type="spellEnd"/>
            <w:r w:rsidRPr="00EB2E7B">
              <w:rPr>
                <w:rFonts w:asciiTheme="minorHAnsi" w:hAnsiTheme="minorHAnsi" w:cstheme="minorHAnsi"/>
                <w:sz w:val="20"/>
                <w:szCs w:val="20"/>
              </w:rPr>
              <w:t xml:space="preserve"> </w:t>
            </w:r>
          </w:p>
        </w:tc>
      </w:tr>
      <w:tr w:rsidR="00CD7B36" w:rsidRPr="00EB2E7B" w14:paraId="3F04D22C" w14:textId="77777777" w:rsidTr="00B55525">
        <w:trPr>
          <w:trHeight w:val="396"/>
        </w:trPr>
        <w:tc>
          <w:tcPr>
            <w:tcW w:w="1630" w:type="dxa"/>
          </w:tcPr>
          <w:p w14:paraId="1EEAAEB5"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ARNE </w:t>
            </w:r>
          </w:p>
        </w:tc>
        <w:tc>
          <w:tcPr>
            <w:tcW w:w="7649" w:type="dxa"/>
            <w:gridSpan w:val="3"/>
          </w:tcPr>
          <w:p w14:paraId="2C3D196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Automatyczna regulacja napięcia elektrowni </w:t>
            </w:r>
          </w:p>
        </w:tc>
      </w:tr>
      <w:tr w:rsidR="00CD7B36" w:rsidRPr="00EB2E7B" w14:paraId="31754C92" w14:textId="77777777" w:rsidTr="00B55525">
        <w:trPr>
          <w:trHeight w:val="670"/>
        </w:trPr>
        <w:tc>
          <w:tcPr>
            <w:tcW w:w="1630" w:type="dxa"/>
          </w:tcPr>
          <w:p w14:paraId="36FFB395"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AWSCz</w:t>
            </w:r>
            <w:proofErr w:type="spellEnd"/>
            <w:r w:rsidRPr="00EB2E7B">
              <w:rPr>
                <w:rFonts w:asciiTheme="minorHAnsi" w:hAnsiTheme="minorHAnsi" w:cstheme="minorHAnsi"/>
                <w:b/>
                <w:bCs/>
                <w:sz w:val="20"/>
                <w:szCs w:val="20"/>
              </w:rPr>
              <w:t xml:space="preserve"> </w:t>
            </w:r>
          </w:p>
        </w:tc>
        <w:tc>
          <w:tcPr>
            <w:tcW w:w="7649" w:type="dxa"/>
            <w:gridSpan w:val="3"/>
          </w:tcPr>
          <w:p w14:paraId="0A992D8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Automatyka wymuszania składowej czynnej, stosowana dla potrzeb zabezpieczeń ziemnozwarciowych w sieciach skompensowanych </w:t>
            </w:r>
          </w:p>
        </w:tc>
      </w:tr>
      <w:tr w:rsidR="00CD7B36" w:rsidRPr="00EB2E7B" w14:paraId="36850BB6" w14:textId="77777777" w:rsidTr="00B55525">
        <w:trPr>
          <w:trHeight w:val="399"/>
        </w:trPr>
        <w:tc>
          <w:tcPr>
            <w:tcW w:w="1630" w:type="dxa"/>
          </w:tcPr>
          <w:p w14:paraId="7C07486A"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BPKD </w:t>
            </w:r>
          </w:p>
        </w:tc>
        <w:tc>
          <w:tcPr>
            <w:tcW w:w="7649" w:type="dxa"/>
            <w:gridSpan w:val="3"/>
          </w:tcPr>
          <w:p w14:paraId="3E72005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Bieżący plan koordynacyjny dobowy</w:t>
            </w:r>
          </w:p>
        </w:tc>
      </w:tr>
      <w:tr w:rsidR="00CD7B36" w:rsidRPr="00EB2E7B" w14:paraId="30167E91" w14:textId="77777777" w:rsidTr="00B55525">
        <w:trPr>
          <w:trHeight w:val="396"/>
        </w:trPr>
        <w:tc>
          <w:tcPr>
            <w:tcW w:w="1630" w:type="dxa"/>
          </w:tcPr>
          <w:p w14:paraId="291F1EBC"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BTHM </w:t>
            </w:r>
          </w:p>
        </w:tc>
        <w:tc>
          <w:tcPr>
            <w:tcW w:w="7649" w:type="dxa"/>
            <w:gridSpan w:val="3"/>
          </w:tcPr>
          <w:p w14:paraId="29EACF1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Bilans techniczno-handlowy miesięczny </w:t>
            </w:r>
          </w:p>
        </w:tc>
      </w:tr>
      <w:tr w:rsidR="00CD7B36" w:rsidRPr="00EB2E7B" w14:paraId="303AC11A" w14:textId="77777777" w:rsidTr="00B55525">
        <w:trPr>
          <w:trHeight w:val="396"/>
        </w:trPr>
        <w:tc>
          <w:tcPr>
            <w:tcW w:w="1630" w:type="dxa"/>
          </w:tcPr>
          <w:p w14:paraId="6A024DC6"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BTHR </w:t>
            </w:r>
          </w:p>
        </w:tc>
        <w:tc>
          <w:tcPr>
            <w:tcW w:w="7649" w:type="dxa"/>
            <w:gridSpan w:val="3"/>
          </w:tcPr>
          <w:p w14:paraId="756EA19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Bilans techniczno-handlowy roczny </w:t>
            </w:r>
          </w:p>
        </w:tc>
      </w:tr>
      <w:tr w:rsidR="00CD7B36" w:rsidRPr="00EB2E7B" w14:paraId="2018AD01" w14:textId="77777777" w:rsidTr="00B55525">
        <w:trPr>
          <w:trHeight w:val="396"/>
        </w:trPr>
        <w:tc>
          <w:tcPr>
            <w:tcW w:w="1630" w:type="dxa"/>
          </w:tcPr>
          <w:p w14:paraId="590EDDC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CSIRE</w:t>
            </w:r>
          </w:p>
        </w:tc>
        <w:tc>
          <w:tcPr>
            <w:tcW w:w="7649" w:type="dxa"/>
            <w:gridSpan w:val="3"/>
          </w:tcPr>
          <w:p w14:paraId="2A5F2B9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Centralny system informacji rynku energii</w:t>
            </w:r>
          </w:p>
        </w:tc>
      </w:tr>
      <w:tr w:rsidR="00CD7B36" w:rsidRPr="00EB2E7B" w14:paraId="247EBACB" w14:textId="77777777" w:rsidTr="00B55525">
        <w:trPr>
          <w:trHeight w:val="396"/>
        </w:trPr>
        <w:tc>
          <w:tcPr>
            <w:tcW w:w="1630" w:type="dxa"/>
          </w:tcPr>
          <w:p w14:paraId="52B3E09D" w14:textId="77777777" w:rsidR="00CD7B36" w:rsidRPr="00EB2E7B" w:rsidRDefault="008551C0">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141</w:t>
            </w:r>
          </w:p>
          <w:p w14:paraId="6DB1D514" w14:textId="4756270C" w:rsidR="00CD7B36" w:rsidRPr="00EB2E7B" w:rsidRDefault="00CD7B36">
            <w:pPr>
              <w:spacing w:after="0"/>
              <w:ind w:left="70" w:firstLine="0"/>
              <w:rPr>
                <w:rFonts w:asciiTheme="minorHAnsi" w:hAnsiTheme="minorHAnsi" w:cstheme="minorHAnsi"/>
                <w:b/>
                <w:bCs/>
                <w:sz w:val="20"/>
                <w:szCs w:val="20"/>
              </w:rPr>
            </w:pPr>
          </w:p>
        </w:tc>
        <w:tc>
          <w:tcPr>
            <w:tcW w:w="7649" w:type="dxa"/>
            <w:gridSpan w:val="3"/>
          </w:tcPr>
          <w:p w14:paraId="5A4858A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Dostawca usług bilansujących</w:t>
            </w:r>
          </w:p>
        </w:tc>
      </w:tr>
      <w:tr w:rsidR="00CD7B36" w:rsidRPr="00EB2E7B" w14:paraId="51302A7E" w14:textId="77777777" w:rsidTr="00B55525">
        <w:trPr>
          <w:trHeight w:val="396"/>
        </w:trPr>
        <w:tc>
          <w:tcPr>
            <w:tcW w:w="1630" w:type="dxa"/>
          </w:tcPr>
          <w:p w14:paraId="2CD0BE56"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EAZ </w:t>
            </w:r>
          </w:p>
        </w:tc>
        <w:tc>
          <w:tcPr>
            <w:tcW w:w="7649" w:type="dxa"/>
            <w:gridSpan w:val="3"/>
          </w:tcPr>
          <w:p w14:paraId="5F22B2B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Elektroenergetyczna automatyka zabezpieczeniowa </w:t>
            </w:r>
          </w:p>
        </w:tc>
      </w:tr>
      <w:tr w:rsidR="00CD7B36" w:rsidRPr="00EB2E7B" w14:paraId="085B9F68" w14:textId="77777777" w:rsidTr="00B55525">
        <w:trPr>
          <w:trHeight w:val="396"/>
        </w:trPr>
        <w:tc>
          <w:tcPr>
            <w:tcW w:w="1630" w:type="dxa"/>
          </w:tcPr>
          <w:p w14:paraId="3FDB0D33"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EIC</w:t>
            </w:r>
          </w:p>
        </w:tc>
        <w:tc>
          <w:tcPr>
            <w:tcW w:w="7649" w:type="dxa"/>
            <w:gridSpan w:val="3"/>
          </w:tcPr>
          <w:p w14:paraId="519626C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Schemat kodowania identyfikacji na rynku energii (Energy </w:t>
            </w:r>
            <w:proofErr w:type="spellStart"/>
            <w:r w:rsidRPr="00EB2E7B">
              <w:rPr>
                <w:rFonts w:asciiTheme="minorHAnsi" w:hAnsiTheme="minorHAnsi" w:cstheme="minorHAnsi"/>
                <w:sz w:val="20"/>
                <w:szCs w:val="20"/>
              </w:rPr>
              <w:t>Identification</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Coding</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Scheme</w:t>
            </w:r>
            <w:proofErr w:type="spellEnd"/>
            <w:r w:rsidRPr="00EB2E7B">
              <w:rPr>
                <w:rFonts w:asciiTheme="minorHAnsi" w:hAnsiTheme="minorHAnsi" w:cstheme="minorHAnsi"/>
                <w:sz w:val="20"/>
                <w:szCs w:val="20"/>
              </w:rPr>
              <w:t>)</w:t>
            </w:r>
          </w:p>
        </w:tc>
      </w:tr>
      <w:tr w:rsidR="00CD7B36" w:rsidRPr="00EB2E7B" w14:paraId="5E2467E4" w14:textId="77777777" w:rsidTr="00B55525">
        <w:trPr>
          <w:trHeight w:val="396"/>
        </w:trPr>
        <w:tc>
          <w:tcPr>
            <w:tcW w:w="1630" w:type="dxa"/>
          </w:tcPr>
          <w:p w14:paraId="3DFF01D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FRP</w:t>
            </w:r>
          </w:p>
        </w:tc>
        <w:tc>
          <w:tcPr>
            <w:tcW w:w="7649" w:type="dxa"/>
            <w:gridSpan w:val="3"/>
          </w:tcPr>
          <w:p w14:paraId="7AF6839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Fizyczny rejestr pomiarowy</w:t>
            </w:r>
          </w:p>
        </w:tc>
      </w:tr>
      <w:tr w:rsidR="00CD7B36" w:rsidRPr="00EB2E7B" w14:paraId="335D45E5" w14:textId="77777777" w:rsidTr="00B55525">
        <w:trPr>
          <w:trHeight w:val="396"/>
        </w:trPr>
        <w:tc>
          <w:tcPr>
            <w:tcW w:w="1630" w:type="dxa"/>
          </w:tcPr>
          <w:p w14:paraId="35B27CDB"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GPO </w:t>
            </w:r>
          </w:p>
        </w:tc>
        <w:tc>
          <w:tcPr>
            <w:tcW w:w="7649" w:type="dxa"/>
            <w:gridSpan w:val="3"/>
          </w:tcPr>
          <w:p w14:paraId="1B6CAE0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Główny punkt odbioru energii </w:t>
            </w:r>
          </w:p>
        </w:tc>
      </w:tr>
      <w:tr w:rsidR="00CD7B36" w:rsidRPr="00EB2E7B" w14:paraId="3516E9D9" w14:textId="77777777" w:rsidTr="00B55525">
        <w:trPr>
          <w:trHeight w:val="396"/>
        </w:trPr>
        <w:tc>
          <w:tcPr>
            <w:tcW w:w="1630" w:type="dxa"/>
          </w:tcPr>
          <w:p w14:paraId="1C4F25A1"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GUD </w:t>
            </w:r>
          </w:p>
        </w:tc>
        <w:tc>
          <w:tcPr>
            <w:tcW w:w="7649" w:type="dxa"/>
            <w:gridSpan w:val="3"/>
          </w:tcPr>
          <w:p w14:paraId="2363574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Generalna umowa dystrybucji </w:t>
            </w:r>
          </w:p>
        </w:tc>
      </w:tr>
      <w:tr w:rsidR="00CD7B36" w:rsidRPr="00EB2E7B" w14:paraId="78CDDFE7" w14:textId="77777777" w:rsidTr="00B55525">
        <w:trPr>
          <w:trHeight w:val="396"/>
        </w:trPr>
        <w:tc>
          <w:tcPr>
            <w:tcW w:w="1630" w:type="dxa"/>
          </w:tcPr>
          <w:p w14:paraId="1F41F6D9"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IRiESD</w:t>
            </w:r>
            <w:proofErr w:type="spellEnd"/>
            <w:r w:rsidRPr="00EB2E7B">
              <w:rPr>
                <w:rFonts w:asciiTheme="minorHAnsi" w:hAnsiTheme="minorHAnsi" w:cstheme="minorHAnsi"/>
                <w:b/>
                <w:bCs/>
                <w:sz w:val="20"/>
                <w:szCs w:val="20"/>
              </w:rPr>
              <w:t xml:space="preserve"> </w:t>
            </w:r>
          </w:p>
        </w:tc>
        <w:tc>
          <w:tcPr>
            <w:tcW w:w="7649" w:type="dxa"/>
            <w:gridSpan w:val="3"/>
          </w:tcPr>
          <w:p w14:paraId="40A79A0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Instrukcja Ruchu i Eksploatacji Sieci Dystrybucyjnej (całość) </w:t>
            </w:r>
          </w:p>
        </w:tc>
      </w:tr>
      <w:tr w:rsidR="00CD7B36" w:rsidRPr="00EB2E7B" w14:paraId="15D59B5B" w14:textId="77777777" w:rsidTr="00B55525">
        <w:trPr>
          <w:trHeight w:val="672"/>
        </w:trPr>
        <w:tc>
          <w:tcPr>
            <w:tcW w:w="1630" w:type="dxa"/>
          </w:tcPr>
          <w:p w14:paraId="0D139270" w14:textId="77777777" w:rsidR="00CD7B36" w:rsidRPr="00EB2E7B" w:rsidRDefault="00CD7B36">
            <w:pPr>
              <w:spacing w:after="0" w:line="240" w:lineRule="auto"/>
              <w:ind w:left="68"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IRiESD</w:t>
            </w:r>
            <w:proofErr w:type="spellEnd"/>
            <w:r w:rsidRPr="00EB2E7B">
              <w:rPr>
                <w:rFonts w:asciiTheme="minorHAnsi" w:hAnsiTheme="minorHAnsi" w:cstheme="minorHAnsi"/>
                <w:b/>
                <w:bCs/>
                <w:sz w:val="20"/>
                <w:szCs w:val="20"/>
              </w:rPr>
              <w:t>-</w:t>
            </w:r>
          </w:p>
          <w:p w14:paraId="42E58D5B" w14:textId="77777777" w:rsidR="00CD7B36" w:rsidRPr="00EB2E7B" w:rsidRDefault="00CD7B36">
            <w:pPr>
              <w:spacing w:after="0" w:line="240" w:lineRule="auto"/>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Bilansowanie </w:t>
            </w:r>
          </w:p>
        </w:tc>
        <w:tc>
          <w:tcPr>
            <w:tcW w:w="7649" w:type="dxa"/>
            <w:gridSpan w:val="3"/>
          </w:tcPr>
          <w:p w14:paraId="7B6CBE8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Instrukcja Ruchu i Eksploatacji Sieci Dystrybucyjnej – część: bilansowanie systemu i zarządzania ograniczeniami systemowymi </w:t>
            </w:r>
          </w:p>
        </w:tc>
      </w:tr>
      <w:tr w:rsidR="00CD7B36" w:rsidRPr="00EB2E7B" w14:paraId="498B82CC" w14:textId="77777777" w:rsidTr="00B55525">
        <w:trPr>
          <w:trHeight w:val="396"/>
        </w:trPr>
        <w:tc>
          <w:tcPr>
            <w:tcW w:w="1630" w:type="dxa"/>
          </w:tcPr>
          <w:p w14:paraId="3EB5BDF6"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IRiESP</w:t>
            </w:r>
            <w:proofErr w:type="spellEnd"/>
            <w:r w:rsidRPr="00EB2E7B">
              <w:rPr>
                <w:rFonts w:asciiTheme="minorHAnsi" w:hAnsiTheme="minorHAnsi" w:cstheme="minorHAnsi"/>
                <w:b/>
                <w:bCs/>
                <w:sz w:val="20"/>
                <w:szCs w:val="20"/>
              </w:rPr>
              <w:t xml:space="preserve"> </w:t>
            </w:r>
          </w:p>
        </w:tc>
        <w:tc>
          <w:tcPr>
            <w:tcW w:w="7649" w:type="dxa"/>
            <w:gridSpan w:val="3"/>
          </w:tcPr>
          <w:p w14:paraId="5D45604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Instrukcja ruchu i eksploatacji sieci przesyłowej (całość) </w:t>
            </w:r>
          </w:p>
        </w:tc>
      </w:tr>
      <w:tr w:rsidR="00CD7B36" w:rsidRPr="00EB2E7B" w14:paraId="4F6E0456" w14:textId="77777777" w:rsidTr="00B55525">
        <w:trPr>
          <w:trHeight w:val="396"/>
        </w:trPr>
        <w:tc>
          <w:tcPr>
            <w:tcW w:w="1630" w:type="dxa"/>
          </w:tcPr>
          <w:p w14:paraId="0825A162"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IRiESP</w:t>
            </w:r>
            <w:proofErr w:type="spellEnd"/>
            <w:r w:rsidRPr="00EB2E7B">
              <w:rPr>
                <w:rFonts w:asciiTheme="minorHAnsi" w:hAnsiTheme="minorHAnsi" w:cstheme="minorHAnsi"/>
                <w:b/>
                <w:bCs/>
                <w:sz w:val="20"/>
                <w:szCs w:val="20"/>
              </w:rPr>
              <w:t>-OIRE</w:t>
            </w:r>
          </w:p>
        </w:tc>
        <w:tc>
          <w:tcPr>
            <w:tcW w:w="7649" w:type="dxa"/>
            <w:gridSpan w:val="3"/>
          </w:tcPr>
          <w:p w14:paraId="26ACD4D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Instrukcja Ruchu i Eksploatacji Sieci Przesyłowej część „Sposób funkcjonowania Centralnego systemu informacji rynku energii oraz współpracy Operatora systemu przesyłowego elektroenergetycznego, działającego jako Operator informacji rynku energii, z Użytkownikami systemu elektroenergetycznego i innymi podmiotami zobowiązanymi lub uprawionymi do korzystania z Centralnego systemu informacji rynku energii</w:t>
            </w:r>
          </w:p>
        </w:tc>
      </w:tr>
      <w:tr w:rsidR="00CD7B36" w:rsidRPr="00EB2E7B" w14:paraId="4BE119AD" w14:textId="77777777" w:rsidTr="00B55525">
        <w:trPr>
          <w:trHeight w:val="396"/>
        </w:trPr>
        <w:tc>
          <w:tcPr>
            <w:tcW w:w="1630" w:type="dxa"/>
          </w:tcPr>
          <w:p w14:paraId="4AA934FA"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JB</w:t>
            </w:r>
          </w:p>
        </w:tc>
        <w:tc>
          <w:tcPr>
            <w:tcW w:w="7649" w:type="dxa"/>
            <w:gridSpan w:val="3"/>
          </w:tcPr>
          <w:p w14:paraId="58623D9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Jednostka bilansowa</w:t>
            </w:r>
          </w:p>
        </w:tc>
      </w:tr>
      <w:tr w:rsidR="00CD7B36" w:rsidRPr="00EB2E7B" w14:paraId="22156895" w14:textId="77777777" w:rsidTr="00B55525">
        <w:trPr>
          <w:trHeight w:val="396"/>
        </w:trPr>
        <w:tc>
          <w:tcPr>
            <w:tcW w:w="1630" w:type="dxa"/>
          </w:tcPr>
          <w:p w14:paraId="15A2E38F"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JB</w:t>
            </w:r>
            <w:r w:rsidRPr="00EB2E7B">
              <w:rPr>
                <w:rFonts w:asciiTheme="minorHAnsi" w:hAnsiTheme="minorHAnsi" w:cstheme="minorHAnsi"/>
                <w:b/>
                <w:bCs/>
                <w:sz w:val="20"/>
                <w:szCs w:val="20"/>
                <w:vertAlign w:val="subscript"/>
              </w:rPr>
              <w:t>OS</w:t>
            </w:r>
          </w:p>
        </w:tc>
        <w:tc>
          <w:tcPr>
            <w:tcW w:w="7649" w:type="dxa"/>
            <w:gridSpan w:val="3"/>
          </w:tcPr>
          <w:p w14:paraId="2500930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Jednostka bilansowa operatora systemu</w:t>
            </w:r>
          </w:p>
        </w:tc>
      </w:tr>
      <w:tr w:rsidR="00CD7B36" w:rsidRPr="00EB2E7B" w14:paraId="3208081F" w14:textId="77777777" w:rsidTr="00B55525">
        <w:trPr>
          <w:trHeight w:val="396"/>
        </w:trPr>
        <w:tc>
          <w:tcPr>
            <w:tcW w:w="1630" w:type="dxa"/>
          </w:tcPr>
          <w:p w14:paraId="2A59EB54"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JG</w:t>
            </w:r>
          </w:p>
        </w:tc>
        <w:tc>
          <w:tcPr>
            <w:tcW w:w="7649" w:type="dxa"/>
            <w:gridSpan w:val="3"/>
          </w:tcPr>
          <w:p w14:paraId="56A5CF2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Jednostka grafikowa</w:t>
            </w:r>
          </w:p>
        </w:tc>
      </w:tr>
      <w:tr w:rsidR="00CD7B36" w:rsidRPr="00EB2E7B" w14:paraId="211DAEF6" w14:textId="77777777" w:rsidTr="00B55525">
        <w:trPr>
          <w:trHeight w:val="452"/>
        </w:trPr>
        <w:tc>
          <w:tcPr>
            <w:tcW w:w="1630" w:type="dxa"/>
          </w:tcPr>
          <w:p w14:paraId="792C4CA6" w14:textId="67CC34F4"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JWCD</w:t>
            </w:r>
          </w:p>
        </w:tc>
        <w:tc>
          <w:tcPr>
            <w:tcW w:w="7649" w:type="dxa"/>
            <w:gridSpan w:val="3"/>
          </w:tcPr>
          <w:p w14:paraId="33856FC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Jednostka wytwórcza centralnie dysponowana</w:t>
            </w:r>
          </w:p>
        </w:tc>
      </w:tr>
      <w:tr w:rsidR="00CD7B36" w:rsidRPr="00EB2E7B" w14:paraId="03248E4F" w14:textId="77777777" w:rsidTr="00B55525">
        <w:trPr>
          <w:trHeight w:val="672"/>
        </w:trPr>
        <w:tc>
          <w:tcPr>
            <w:tcW w:w="1630" w:type="dxa"/>
          </w:tcPr>
          <w:p w14:paraId="0ACDD76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JWCK </w:t>
            </w:r>
          </w:p>
        </w:tc>
        <w:tc>
          <w:tcPr>
            <w:tcW w:w="7649" w:type="dxa"/>
            <w:gridSpan w:val="3"/>
          </w:tcPr>
          <w:p w14:paraId="15CD619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Jednostka wytwórcza centralnie koordynowana – jednostka wytwórcza której praca podlega koordynacji przez OSP </w:t>
            </w:r>
          </w:p>
        </w:tc>
      </w:tr>
      <w:tr w:rsidR="00CD7B36" w:rsidRPr="00EB2E7B" w14:paraId="7AFB844C" w14:textId="77777777" w:rsidTr="00B55525">
        <w:trPr>
          <w:trHeight w:val="398"/>
        </w:trPr>
        <w:tc>
          <w:tcPr>
            <w:tcW w:w="1630" w:type="dxa"/>
          </w:tcPr>
          <w:p w14:paraId="2C741AA2"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KSE </w:t>
            </w:r>
          </w:p>
        </w:tc>
        <w:tc>
          <w:tcPr>
            <w:tcW w:w="7649" w:type="dxa"/>
            <w:gridSpan w:val="3"/>
          </w:tcPr>
          <w:p w14:paraId="7D2E799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Krajowy system elektroenergetyczny </w:t>
            </w:r>
          </w:p>
        </w:tc>
      </w:tr>
      <w:tr w:rsidR="00CD7B36" w:rsidRPr="00EB2E7B" w14:paraId="7B99557C" w14:textId="77777777" w:rsidTr="00B55525">
        <w:trPr>
          <w:trHeight w:val="670"/>
        </w:trPr>
        <w:tc>
          <w:tcPr>
            <w:tcW w:w="1630" w:type="dxa"/>
          </w:tcPr>
          <w:p w14:paraId="1E0F4DEC"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kWp</w:t>
            </w:r>
            <w:proofErr w:type="spellEnd"/>
            <w:r w:rsidRPr="00EB2E7B">
              <w:rPr>
                <w:rFonts w:asciiTheme="minorHAnsi" w:hAnsiTheme="minorHAnsi" w:cstheme="minorHAnsi"/>
                <w:b/>
                <w:bCs/>
                <w:sz w:val="20"/>
                <w:szCs w:val="20"/>
              </w:rPr>
              <w:t xml:space="preserve"> </w:t>
            </w:r>
          </w:p>
        </w:tc>
        <w:tc>
          <w:tcPr>
            <w:tcW w:w="7649" w:type="dxa"/>
            <w:gridSpan w:val="3"/>
          </w:tcPr>
          <w:p w14:paraId="4C2D296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Jednostka mocy szczytowej baterii słonecznej, która jest oddawana przy określonym promieniowaniu słonecznym </w:t>
            </w:r>
          </w:p>
        </w:tc>
      </w:tr>
      <w:tr w:rsidR="00CD7B36" w:rsidRPr="00EB2E7B" w14:paraId="27563829" w14:textId="77777777" w:rsidTr="00B55525">
        <w:trPr>
          <w:trHeight w:val="398"/>
        </w:trPr>
        <w:tc>
          <w:tcPr>
            <w:tcW w:w="1630" w:type="dxa"/>
          </w:tcPr>
          <w:p w14:paraId="447181CA"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LRW </w:t>
            </w:r>
          </w:p>
        </w:tc>
        <w:tc>
          <w:tcPr>
            <w:tcW w:w="7649" w:type="dxa"/>
            <w:gridSpan w:val="3"/>
          </w:tcPr>
          <w:p w14:paraId="518CF31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Lokalna rezerwa wyłącznikowa </w:t>
            </w:r>
          </w:p>
        </w:tc>
      </w:tr>
      <w:tr w:rsidR="00CD7B36" w:rsidRPr="00EB2E7B" w14:paraId="40E28537" w14:textId="77777777" w:rsidTr="00B55525">
        <w:trPr>
          <w:trHeight w:val="395"/>
        </w:trPr>
        <w:tc>
          <w:tcPr>
            <w:tcW w:w="1630" w:type="dxa"/>
          </w:tcPr>
          <w:p w14:paraId="31B533F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LSPR </w:t>
            </w:r>
          </w:p>
        </w:tc>
        <w:tc>
          <w:tcPr>
            <w:tcW w:w="7649" w:type="dxa"/>
            <w:gridSpan w:val="3"/>
          </w:tcPr>
          <w:p w14:paraId="0F9777FB"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Lokalny System Pomiarowo Rozliczeniowy (stosowany do dnia poprzedzającego przystąpienie ACPRO do CSIRE)</w:t>
            </w:r>
          </w:p>
        </w:tc>
      </w:tr>
      <w:tr w:rsidR="00CD7B36" w:rsidRPr="00EB2E7B" w14:paraId="045E0C78" w14:textId="77777777" w:rsidTr="00B55525">
        <w:trPr>
          <w:trHeight w:val="395"/>
        </w:trPr>
        <w:tc>
          <w:tcPr>
            <w:tcW w:w="1630" w:type="dxa"/>
          </w:tcPr>
          <w:p w14:paraId="4D1D6F30"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LZO</w:t>
            </w:r>
          </w:p>
        </w:tc>
        <w:tc>
          <w:tcPr>
            <w:tcW w:w="7649" w:type="dxa"/>
            <w:gridSpan w:val="3"/>
          </w:tcPr>
          <w:p w14:paraId="7D3F66F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Licznik zdalnego odczytu</w:t>
            </w:r>
          </w:p>
        </w:tc>
      </w:tr>
      <w:tr w:rsidR="00E4745C" w:rsidRPr="00EB2E7B" w14:paraId="663737AC" w14:textId="77777777" w:rsidTr="00B55525">
        <w:trPr>
          <w:trHeight w:val="395"/>
        </w:trPr>
        <w:tc>
          <w:tcPr>
            <w:tcW w:w="1630" w:type="dxa"/>
          </w:tcPr>
          <w:p w14:paraId="7EF9AF14" w14:textId="29326B1C" w:rsidR="00E4745C" w:rsidRPr="00EB2E7B" w:rsidRDefault="005352F0">
            <w:pPr>
              <w:spacing w:after="0"/>
              <w:ind w:left="70" w:firstLine="0"/>
              <w:rPr>
                <w:rFonts w:asciiTheme="minorHAnsi" w:hAnsiTheme="minorHAnsi" w:cstheme="minorHAnsi"/>
                <w:b/>
                <w:sz w:val="20"/>
                <w:szCs w:val="20"/>
              </w:rPr>
            </w:pPr>
            <w:r w:rsidRPr="00EB2E7B">
              <w:rPr>
                <w:rFonts w:asciiTheme="minorHAnsi" w:hAnsiTheme="minorHAnsi" w:cstheme="minorHAnsi"/>
                <w:b/>
                <w:sz w:val="20"/>
                <w:szCs w:val="20"/>
              </w:rPr>
              <w:t>MB</w:t>
            </w:r>
          </w:p>
        </w:tc>
        <w:tc>
          <w:tcPr>
            <w:tcW w:w="7649" w:type="dxa"/>
            <w:gridSpan w:val="3"/>
          </w:tcPr>
          <w:p w14:paraId="4BBE7FBC" w14:textId="17D922D7" w:rsidR="00E4745C" w:rsidRPr="00EB2E7B" w:rsidRDefault="005352F0">
            <w:pPr>
              <w:ind w:left="70" w:firstLine="0"/>
              <w:rPr>
                <w:rFonts w:asciiTheme="minorHAnsi" w:hAnsiTheme="minorHAnsi" w:cstheme="minorHAnsi"/>
                <w:sz w:val="20"/>
                <w:szCs w:val="20"/>
              </w:rPr>
            </w:pPr>
            <w:r w:rsidRPr="00EB2E7B">
              <w:rPr>
                <w:rFonts w:asciiTheme="minorHAnsi" w:hAnsiTheme="minorHAnsi" w:cstheme="minorHAnsi"/>
                <w:sz w:val="20"/>
                <w:szCs w:val="20"/>
              </w:rPr>
              <w:t>Miejsce Dostarczania Energii Elektrycznej Rynku Bilansującego</w:t>
            </w:r>
          </w:p>
        </w:tc>
      </w:tr>
      <w:tr w:rsidR="00CD7B36" w:rsidRPr="00EB2E7B" w14:paraId="51CD423F" w14:textId="77777777" w:rsidTr="00B55525">
        <w:trPr>
          <w:trHeight w:val="395"/>
        </w:trPr>
        <w:tc>
          <w:tcPr>
            <w:tcW w:w="1630" w:type="dxa"/>
          </w:tcPr>
          <w:p w14:paraId="2710F917"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vertAlign w:val="subscript"/>
              </w:rPr>
              <w:t>AFD</w:t>
            </w:r>
            <w:r w:rsidRPr="00EB2E7B">
              <w:rPr>
                <w:rFonts w:asciiTheme="minorHAnsi" w:hAnsiTheme="minorHAnsi" w:cstheme="minorHAnsi"/>
                <w:b/>
                <w:bCs/>
                <w:sz w:val="20"/>
                <w:szCs w:val="20"/>
              </w:rPr>
              <w:t>MB</w:t>
            </w:r>
          </w:p>
        </w:tc>
        <w:tc>
          <w:tcPr>
            <w:tcW w:w="7649" w:type="dxa"/>
            <w:gridSpan w:val="3"/>
          </w:tcPr>
          <w:p w14:paraId="5130A24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F</w:t>
            </w:r>
            <w:r w:rsidRPr="00EB2E7B">
              <w:rPr>
                <w:rFonts w:asciiTheme="minorHAnsi" w:hAnsiTheme="minorHAnsi" w:cstheme="minorHAnsi"/>
                <w:sz w:val="20"/>
                <w:szCs w:val="20"/>
              </w:rPr>
              <w:t>MB, w którym są reprezentowane dostawy energii elektrycznej realizowane przez zasoby przyłączone do sieci dystrybucyjnej, z wykorzystaniem których są świadczone usługi bilansujące, w obszarze RB niebędącym podstawowym lub rozszerzonym obszarem RB</w:t>
            </w:r>
          </w:p>
        </w:tc>
      </w:tr>
      <w:tr w:rsidR="001F6C72" w:rsidRPr="00EB2E7B" w14:paraId="16291B38" w14:textId="77777777" w:rsidTr="00B55525">
        <w:trPr>
          <w:trHeight w:val="395"/>
        </w:trPr>
        <w:tc>
          <w:tcPr>
            <w:tcW w:w="1630" w:type="dxa"/>
          </w:tcPr>
          <w:p w14:paraId="354C21B6" w14:textId="64C4D566" w:rsidR="001F6C72" w:rsidRPr="00EB2E7B" w:rsidRDefault="001F6C72" w:rsidP="001F6C72">
            <w:pPr>
              <w:spacing w:after="0"/>
              <w:ind w:left="70" w:firstLine="0"/>
              <w:rPr>
                <w:rFonts w:asciiTheme="minorHAnsi" w:hAnsiTheme="minorHAnsi" w:cstheme="minorHAnsi"/>
                <w:b/>
                <w:sz w:val="20"/>
                <w:szCs w:val="20"/>
                <w:vertAlign w:val="subscript"/>
              </w:rPr>
            </w:pPr>
            <w:r w:rsidRPr="00EB2E7B">
              <w:rPr>
                <w:rFonts w:asciiTheme="minorHAnsi" w:hAnsiTheme="minorHAnsi" w:cstheme="minorHAnsi"/>
                <w:b/>
                <w:sz w:val="20"/>
                <w:szCs w:val="20"/>
              </w:rPr>
              <w:t xml:space="preserve">FMB </w:t>
            </w:r>
          </w:p>
        </w:tc>
        <w:tc>
          <w:tcPr>
            <w:tcW w:w="7649" w:type="dxa"/>
            <w:gridSpan w:val="3"/>
          </w:tcPr>
          <w:p w14:paraId="44B606A1" w14:textId="6E3B90DB" w:rsidR="001F6C72" w:rsidRPr="00EB2E7B" w:rsidRDefault="001F6C72" w:rsidP="001F6C72">
            <w:pPr>
              <w:ind w:left="70" w:firstLine="0"/>
              <w:rPr>
                <w:rFonts w:asciiTheme="minorHAnsi" w:hAnsiTheme="minorHAnsi" w:cstheme="minorHAnsi"/>
                <w:sz w:val="20"/>
                <w:szCs w:val="20"/>
                <w:vertAlign w:val="subscript"/>
              </w:rPr>
            </w:pPr>
            <w:r w:rsidRPr="00EB2E7B">
              <w:rPr>
                <w:rFonts w:asciiTheme="minorHAnsi" w:hAnsiTheme="minorHAnsi" w:cstheme="minorHAnsi"/>
                <w:sz w:val="20"/>
                <w:szCs w:val="20"/>
              </w:rPr>
              <w:t xml:space="preserve">Fizyczne MB </w:t>
            </w:r>
          </w:p>
        </w:tc>
      </w:tr>
      <w:tr w:rsidR="00CD7B36" w:rsidRPr="00EB2E7B" w14:paraId="44A1B31F" w14:textId="77777777" w:rsidTr="00B55525">
        <w:trPr>
          <w:trHeight w:val="395"/>
        </w:trPr>
        <w:tc>
          <w:tcPr>
            <w:tcW w:w="1630" w:type="dxa"/>
          </w:tcPr>
          <w:p w14:paraId="4A73524A" w14:textId="77777777" w:rsidR="00CD7B36" w:rsidRPr="00EB2E7B" w:rsidRDefault="00CD7B36">
            <w:pPr>
              <w:spacing w:after="0"/>
              <w:ind w:left="70" w:firstLine="0"/>
              <w:rPr>
                <w:rFonts w:asciiTheme="minorHAnsi" w:hAnsiTheme="minorHAnsi" w:cstheme="minorHAnsi"/>
                <w:b/>
                <w:bCs/>
                <w:sz w:val="20"/>
                <w:szCs w:val="20"/>
                <w:vertAlign w:val="subscript"/>
              </w:rPr>
            </w:pPr>
            <w:r w:rsidRPr="00EB2E7B">
              <w:rPr>
                <w:rFonts w:asciiTheme="minorHAnsi" w:hAnsiTheme="minorHAnsi" w:cstheme="minorHAnsi"/>
                <w:b/>
                <w:bCs/>
                <w:sz w:val="20"/>
                <w:szCs w:val="20"/>
                <w:vertAlign w:val="subscript"/>
              </w:rPr>
              <w:t>FD</w:t>
            </w:r>
            <w:r w:rsidRPr="00EB2E7B">
              <w:rPr>
                <w:rFonts w:asciiTheme="minorHAnsi" w:hAnsiTheme="minorHAnsi" w:cstheme="minorHAnsi"/>
                <w:b/>
                <w:bCs/>
                <w:sz w:val="20"/>
                <w:szCs w:val="20"/>
              </w:rPr>
              <w:t>MB</w:t>
            </w:r>
          </w:p>
        </w:tc>
        <w:tc>
          <w:tcPr>
            <w:tcW w:w="7649" w:type="dxa"/>
            <w:gridSpan w:val="3"/>
          </w:tcPr>
          <w:p w14:paraId="4528ADD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F</w:t>
            </w:r>
            <w:r w:rsidRPr="00EB2E7B">
              <w:rPr>
                <w:rFonts w:asciiTheme="minorHAnsi" w:hAnsiTheme="minorHAnsi" w:cstheme="minorHAnsi"/>
                <w:sz w:val="20"/>
                <w:szCs w:val="20"/>
              </w:rPr>
              <w:t>MB, w którym są reprezentowane dostawy energii elektrycznej realizowane we fragmentach sieci dystrybucyjnej, nieobjętej podstawowym lub rozszerzonym obszarem RB</w:t>
            </w:r>
          </w:p>
        </w:tc>
      </w:tr>
      <w:tr w:rsidR="00CD7B36" w:rsidRPr="00EB2E7B" w14:paraId="11447B45" w14:textId="77777777" w:rsidTr="00B55525">
        <w:trPr>
          <w:trHeight w:val="395"/>
        </w:trPr>
        <w:tc>
          <w:tcPr>
            <w:tcW w:w="1630" w:type="dxa"/>
          </w:tcPr>
          <w:p w14:paraId="0A6197F0"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vertAlign w:val="subscript"/>
              </w:rPr>
              <w:t>FZ</w:t>
            </w:r>
            <w:r w:rsidRPr="00EB2E7B">
              <w:rPr>
                <w:rFonts w:asciiTheme="minorHAnsi" w:hAnsiTheme="minorHAnsi" w:cstheme="minorHAnsi"/>
                <w:b/>
                <w:bCs/>
                <w:sz w:val="20"/>
                <w:szCs w:val="20"/>
              </w:rPr>
              <w:t>MB</w:t>
            </w:r>
          </w:p>
        </w:tc>
        <w:tc>
          <w:tcPr>
            <w:tcW w:w="7649" w:type="dxa"/>
            <w:gridSpan w:val="3"/>
          </w:tcPr>
          <w:p w14:paraId="5D0E865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F</w:t>
            </w:r>
            <w:r w:rsidRPr="00EB2E7B">
              <w:rPr>
                <w:rFonts w:asciiTheme="minorHAnsi" w:hAnsiTheme="minorHAnsi" w:cstheme="minorHAnsi"/>
                <w:sz w:val="20"/>
                <w:szCs w:val="20"/>
              </w:rPr>
              <w:t>MB, w którym są realizowane dostawy energii elektrycznej bezpośrednio w tej lokalizacji sieci, jako w podstawowym albo rozszerzonym obszarze RB</w:t>
            </w:r>
          </w:p>
        </w:tc>
      </w:tr>
      <w:tr w:rsidR="00CD7B36" w:rsidRPr="00EB2E7B" w14:paraId="26DE66CF" w14:textId="77777777" w:rsidTr="00B55525">
        <w:trPr>
          <w:trHeight w:val="395"/>
        </w:trPr>
        <w:tc>
          <w:tcPr>
            <w:tcW w:w="1630" w:type="dxa"/>
          </w:tcPr>
          <w:p w14:paraId="0B39BA5F" w14:textId="623CEE22" w:rsidR="00CD7B36" w:rsidRPr="00EB2E7B" w:rsidRDefault="002D5AD2">
            <w:pPr>
              <w:spacing w:after="0"/>
              <w:ind w:left="70" w:firstLine="0"/>
              <w:rPr>
                <w:rFonts w:asciiTheme="minorHAnsi" w:hAnsiTheme="minorHAnsi" w:cstheme="minorHAnsi"/>
                <w:b/>
                <w:bCs/>
                <w:sz w:val="20"/>
                <w:szCs w:val="20"/>
              </w:rPr>
            </w:pPr>
            <w:r w:rsidRPr="00EB2E7B">
              <w:rPr>
                <w:rFonts w:asciiTheme="minorHAnsi" w:hAnsiTheme="minorHAnsi" w:cstheme="minorHAnsi"/>
                <w:b/>
                <w:sz w:val="20"/>
                <w:szCs w:val="20"/>
              </w:rPr>
              <w:t>WMB</w:t>
            </w:r>
          </w:p>
        </w:tc>
        <w:tc>
          <w:tcPr>
            <w:tcW w:w="7649" w:type="dxa"/>
            <w:gridSpan w:val="3"/>
          </w:tcPr>
          <w:p w14:paraId="40AF79BF" w14:textId="568873E1" w:rsidR="00CD7B36" w:rsidRPr="00EB2E7B" w:rsidRDefault="00DE2793">
            <w:pPr>
              <w:ind w:left="70" w:firstLine="0"/>
              <w:rPr>
                <w:rFonts w:asciiTheme="minorHAnsi" w:hAnsiTheme="minorHAnsi" w:cstheme="minorHAnsi"/>
                <w:sz w:val="20"/>
                <w:szCs w:val="20"/>
              </w:rPr>
            </w:pPr>
            <w:proofErr w:type="spellStart"/>
            <w:r w:rsidRPr="00EB2E7B">
              <w:rPr>
                <w:rFonts w:asciiTheme="minorHAnsi" w:hAnsiTheme="minorHAnsi" w:cstheme="minorHAnsi"/>
                <w:sz w:val="20"/>
                <w:szCs w:val="20"/>
              </w:rPr>
              <w:t>Ponadsieciowe</w:t>
            </w:r>
            <w:proofErr w:type="spellEnd"/>
            <w:r w:rsidRPr="00EB2E7B">
              <w:rPr>
                <w:rFonts w:asciiTheme="minorHAnsi" w:hAnsiTheme="minorHAnsi" w:cstheme="minorHAnsi"/>
                <w:sz w:val="20"/>
                <w:szCs w:val="20"/>
              </w:rPr>
              <w:t xml:space="preserve"> (wirtualne) MB</w:t>
            </w:r>
          </w:p>
        </w:tc>
      </w:tr>
      <w:tr w:rsidR="00CD7B36" w:rsidRPr="00EB2E7B" w14:paraId="29EDAEA9" w14:textId="77777777" w:rsidTr="00B55525">
        <w:trPr>
          <w:trHeight w:val="395"/>
        </w:trPr>
        <w:tc>
          <w:tcPr>
            <w:tcW w:w="1630" w:type="dxa"/>
          </w:tcPr>
          <w:p w14:paraId="3D1AE58C"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MB</w:t>
            </w:r>
            <w:r w:rsidRPr="00EB2E7B">
              <w:rPr>
                <w:rFonts w:asciiTheme="minorHAnsi" w:hAnsiTheme="minorHAnsi" w:cstheme="minorHAnsi"/>
                <w:b/>
                <w:bCs/>
                <w:sz w:val="20"/>
                <w:szCs w:val="20"/>
                <w:vertAlign w:val="subscript"/>
              </w:rPr>
              <w:t>AH</w:t>
            </w:r>
          </w:p>
        </w:tc>
        <w:tc>
          <w:tcPr>
            <w:tcW w:w="7649" w:type="dxa"/>
            <w:gridSpan w:val="3"/>
          </w:tcPr>
          <w:p w14:paraId="4BE4F73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AFD</w:t>
            </w:r>
            <w:r w:rsidRPr="00EB2E7B">
              <w:rPr>
                <w:rFonts w:asciiTheme="minorHAnsi" w:hAnsiTheme="minorHAnsi" w:cstheme="minorHAnsi"/>
                <w:sz w:val="20"/>
                <w:szCs w:val="20"/>
              </w:rPr>
              <w:t>MB, poprzez które jest reprezentowany zbiór PPE, należących do URD, reprezentujących moduły wytwarzania energii wodne, inne niż moduły wytwarzania energii elektrowni szczytowo-pompowej</w:t>
            </w:r>
          </w:p>
        </w:tc>
      </w:tr>
      <w:tr w:rsidR="00CD7B36" w:rsidRPr="00EB2E7B" w14:paraId="14369C9F" w14:textId="77777777" w:rsidTr="00B55525">
        <w:trPr>
          <w:trHeight w:val="395"/>
        </w:trPr>
        <w:tc>
          <w:tcPr>
            <w:tcW w:w="1630" w:type="dxa"/>
          </w:tcPr>
          <w:p w14:paraId="1E525885"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MB</w:t>
            </w:r>
            <w:r w:rsidRPr="00EB2E7B">
              <w:rPr>
                <w:rFonts w:asciiTheme="minorHAnsi" w:hAnsiTheme="minorHAnsi" w:cstheme="minorHAnsi"/>
                <w:b/>
                <w:bCs/>
                <w:sz w:val="20"/>
                <w:szCs w:val="20"/>
                <w:vertAlign w:val="subscript"/>
              </w:rPr>
              <w:t>AI</w:t>
            </w:r>
          </w:p>
        </w:tc>
        <w:tc>
          <w:tcPr>
            <w:tcW w:w="7649" w:type="dxa"/>
            <w:gridSpan w:val="3"/>
          </w:tcPr>
          <w:p w14:paraId="581AB8F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AFD</w:t>
            </w:r>
            <w:r w:rsidRPr="00EB2E7B">
              <w:rPr>
                <w:rFonts w:asciiTheme="minorHAnsi" w:hAnsiTheme="minorHAnsi" w:cstheme="minorHAnsi"/>
                <w:sz w:val="20"/>
                <w:szCs w:val="20"/>
              </w:rPr>
              <w:t>MB, poprzez które jest reprezentowany zbiór PPE, należących do URD, reprezentujących moduły wytwarzania energii, inne niż cieplne, wodne, farm wiatrowych, fotowoltaicznych lub będące pojedynczymi modułami parku energii składającymi się z farmy wiatrowej lub farmy fotowoltaicznej, które mogą być wspomagane magazynami energii elektrycznej</w:t>
            </w:r>
          </w:p>
        </w:tc>
      </w:tr>
      <w:tr w:rsidR="00CD7B36" w:rsidRPr="00EB2E7B" w14:paraId="2E2A83EF" w14:textId="77777777" w:rsidTr="00B55525">
        <w:trPr>
          <w:trHeight w:val="395"/>
        </w:trPr>
        <w:tc>
          <w:tcPr>
            <w:tcW w:w="1630" w:type="dxa"/>
          </w:tcPr>
          <w:p w14:paraId="0E233EC8" w14:textId="4BD25D4C"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MB</w:t>
            </w:r>
            <w:r w:rsidRPr="00EB2E7B">
              <w:rPr>
                <w:rFonts w:asciiTheme="minorHAnsi" w:hAnsiTheme="minorHAnsi" w:cstheme="minorHAnsi"/>
                <w:b/>
                <w:bCs/>
                <w:sz w:val="20"/>
                <w:szCs w:val="20"/>
                <w:vertAlign w:val="subscript"/>
              </w:rPr>
              <w:t>A</w:t>
            </w:r>
            <w:r w:rsidR="006B4C28" w:rsidRPr="00EB2E7B">
              <w:rPr>
                <w:rFonts w:asciiTheme="minorHAnsi" w:hAnsiTheme="minorHAnsi" w:cstheme="minorHAnsi"/>
                <w:b/>
                <w:sz w:val="20"/>
                <w:szCs w:val="20"/>
                <w:vertAlign w:val="subscript"/>
              </w:rPr>
              <w:t>M</w:t>
            </w:r>
          </w:p>
        </w:tc>
        <w:tc>
          <w:tcPr>
            <w:tcW w:w="7649" w:type="dxa"/>
            <w:gridSpan w:val="3"/>
          </w:tcPr>
          <w:p w14:paraId="792C28EA" w14:textId="60520F4A"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AFD</w:t>
            </w:r>
            <w:r w:rsidRPr="00EB2E7B">
              <w:rPr>
                <w:rFonts w:asciiTheme="minorHAnsi" w:hAnsiTheme="minorHAnsi" w:cstheme="minorHAnsi"/>
                <w:sz w:val="20"/>
                <w:szCs w:val="20"/>
              </w:rPr>
              <w:t xml:space="preserve">MB, poprzez które jest reprezentowany zbiór PPE, należących do URD, reprezentujących moduły wytwarzania energii </w:t>
            </w:r>
            <w:r w:rsidR="0082359C" w:rsidRPr="00EB2E7B">
              <w:rPr>
                <w:rFonts w:asciiTheme="minorHAnsi" w:hAnsiTheme="minorHAnsi" w:cstheme="minorHAnsi"/>
                <w:sz w:val="20"/>
                <w:szCs w:val="20"/>
              </w:rPr>
              <w:t>elektrowni szczytowo-pompowej albo magazyn energii elektrycznej</w:t>
            </w:r>
          </w:p>
        </w:tc>
      </w:tr>
      <w:tr w:rsidR="00CD7B36" w:rsidRPr="00EB2E7B" w14:paraId="19D3D9F6" w14:textId="77777777" w:rsidTr="00B55525">
        <w:trPr>
          <w:trHeight w:val="395"/>
        </w:trPr>
        <w:tc>
          <w:tcPr>
            <w:tcW w:w="1630" w:type="dxa"/>
          </w:tcPr>
          <w:p w14:paraId="3014231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MB</w:t>
            </w:r>
            <w:r w:rsidRPr="00EB2E7B">
              <w:rPr>
                <w:rFonts w:asciiTheme="minorHAnsi" w:hAnsiTheme="minorHAnsi" w:cstheme="minorHAnsi"/>
                <w:b/>
                <w:bCs/>
                <w:sz w:val="20"/>
                <w:szCs w:val="20"/>
                <w:vertAlign w:val="subscript"/>
              </w:rPr>
              <w:t>AO</w:t>
            </w:r>
          </w:p>
        </w:tc>
        <w:tc>
          <w:tcPr>
            <w:tcW w:w="7649" w:type="dxa"/>
            <w:gridSpan w:val="3"/>
          </w:tcPr>
          <w:p w14:paraId="0F931D3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AFD</w:t>
            </w:r>
            <w:r w:rsidRPr="00EB2E7B">
              <w:rPr>
                <w:rFonts w:asciiTheme="minorHAnsi" w:hAnsiTheme="minorHAnsi" w:cstheme="minorHAnsi"/>
                <w:sz w:val="20"/>
                <w:szCs w:val="20"/>
              </w:rPr>
              <w:t>MB, poprzez które jest reprezentowany zbiór PPE, należących do URD, reprezentujących sterowane odbiory</w:t>
            </w:r>
          </w:p>
        </w:tc>
      </w:tr>
      <w:tr w:rsidR="00CD7B36" w:rsidRPr="00EB2E7B" w14:paraId="28E6F5A3" w14:textId="77777777" w:rsidTr="00B55525">
        <w:trPr>
          <w:trHeight w:val="395"/>
        </w:trPr>
        <w:tc>
          <w:tcPr>
            <w:tcW w:w="1630" w:type="dxa"/>
          </w:tcPr>
          <w:p w14:paraId="6F5D8130" w14:textId="47216C30"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MB</w:t>
            </w:r>
            <w:r w:rsidRPr="00EB2E7B">
              <w:rPr>
                <w:rFonts w:asciiTheme="minorHAnsi" w:hAnsiTheme="minorHAnsi" w:cstheme="minorHAnsi"/>
                <w:b/>
                <w:bCs/>
                <w:sz w:val="20"/>
                <w:szCs w:val="20"/>
                <w:vertAlign w:val="subscript"/>
              </w:rPr>
              <w:t>A</w:t>
            </w:r>
            <w:r w:rsidR="006B4C28" w:rsidRPr="00EB2E7B">
              <w:rPr>
                <w:rFonts w:asciiTheme="minorHAnsi" w:hAnsiTheme="minorHAnsi" w:cstheme="minorHAnsi"/>
                <w:b/>
                <w:sz w:val="20"/>
                <w:szCs w:val="20"/>
                <w:vertAlign w:val="subscript"/>
              </w:rPr>
              <w:t>W</w:t>
            </w:r>
          </w:p>
        </w:tc>
        <w:tc>
          <w:tcPr>
            <w:tcW w:w="7649" w:type="dxa"/>
            <w:gridSpan w:val="3"/>
          </w:tcPr>
          <w:p w14:paraId="713211EF" w14:textId="68405343"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AFD</w:t>
            </w:r>
            <w:r w:rsidRPr="00EB2E7B">
              <w:rPr>
                <w:rFonts w:asciiTheme="minorHAnsi" w:hAnsiTheme="minorHAnsi" w:cstheme="minorHAnsi"/>
                <w:sz w:val="20"/>
                <w:szCs w:val="20"/>
              </w:rPr>
              <w:t xml:space="preserve">MB, poprzez które jest reprezentowany zbiór PPE, należących do URD, reprezentujących moduły wytwarzania energii </w:t>
            </w:r>
            <w:r w:rsidR="00C14C11" w:rsidRPr="00EB2E7B">
              <w:rPr>
                <w:rFonts w:asciiTheme="minorHAnsi" w:hAnsiTheme="minorHAnsi" w:cstheme="minorHAnsi"/>
                <w:sz w:val="20"/>
                <w:szCs w:val="20"/>
              </w:rPr>
              <w:t>cieplne</w:t>
            </w:r>
          </w:p>
        </w:tc>
      </w:tr>
      <w:tr w:rsidR="00CD7B36" w:rsidRPr="00EB2E7B" w14:paraId="49CDFCEB" w14:textId="77777777" w:rsidTr="00B55525">
        <w:trPr>
          <w:trHeight w:val="395"/>
        </w:trPr>
        <w:tc>
          <w:tcPr>
            <w:tcW w:w="1630" w:type="dxa"/>
          </w:tcPr>
          <w:p w14:paraId="3F6A32C6"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MB</w:t>
            </w:r>
            <w:r w:rsidRPr="00EB2E7B">
              <w:rPr>
                <w:rFonts w:asciiTheme="minorHAnsi" w:hAnsiTheme="minorHAnsi" w:cstheme="minorHAnsi"/>
                <w:b/>
                <w:bCs/>
                <w:sz w:val="20"/>
                <w:szCs w:val="20"/>
                <w:vertAlign w:val="subscript"/>
              </w:rPr>
              <w:t>AZ</w:t>
            </w:r>
          </w:p>
        </w:tc>
        <w:tc>
          <w:tcPr>
            <w:tcW w:w="7649" w:type="dxa"/>
            <w:gridSpan w:val="3"/>
          </w:tcPr>
          <w:p w14:paraId="682AB77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AFD</w:t>
            </w:r>
            <w:r w:rsidRPr="00EB2E7B">
              <w:rPr>
                <w:rFonts w:asciiTheme="minorHAnsi" w:hAnsiTheme="minorHAnsi" w:cstheme="minorHAnsi"/>
                <w:sz w:val="20"/>
                <w:szCs w:val="20"/>
              </w:rPr>
              <w:t>MB, poprzez które jest reprezentowany zbiór PPE, należących do URD, reprezentujących farmy wiatrowe lub farmy fotowoltaiczne lub moduły wytwarzania energii będące pojedynczymi modułami parku energii składającymi się z farmy wiatrowej lub farmy fotowoltaicznej, które mogą być wspomagane magazynami energii elektrycznej</w:t>
            </w:r>
          </w:p>
        </w:tc>
      </w:tr>
      <w:tr w:rsidR="00CD7B36" w:rsidRPr="00EB2E7B" w14:paraId="55BCB89C" w14:textId="77777777" w:rsidTr="00B55525">
        <w:tblPrEx>
          <w:tblCellMar>
            <w:top w:w="19" w:type="dxa"/>
          </w:tblCellMar>
        </w:tblPrEx>
        <w:trPr>
          <w:trHeight w:val="333"/>
        </w:trPr>
        <w:tc>
          <w:tcPr>
            <w:tcW w:w="1630" w:type="dxa"/>
          </w:tcPr>
          <w:p w14:paraId="7E6C9A49"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MB</w:t>
            </w:r>
            <w:r w:rsidRPr="00EB2E7B">
              <w:rPr>
                <w:rFonts w:asciiTheme="minorHAnsi" w:hAnsiTheme="minorHAnsi" w:cstheme="minorHAnsi"/>
                <w:b/>
                <w:bCs/>
                <w:sz w:val="20"/>
                <w:szCs w:val="20"/>
                <w:vertAlign w:val="subscript"/>
              </w:rPr>
              <w:t>O</w:t>
            </w:r>
          </w:p>
        </w:tc>
        <w:tc>
          <w:tcPr>
            <w:tcW w:w="7649" w:type="dxa"/>
            <w:gridSpan w:val="3"/>
          </w:tcPr>
          <w:p w14:paraId="2767D75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FD</w:t>
            </w:r>
            <w:r w:rsidRPr="00EB2E7B">
              <w:rPr>
                <w:rFonts w:asciiTheme="minorHAnsi" w:hAnsiTheme="minorHAnsi" w:cstheme="minorHAnsi"/>
                <w:sz w:val="20"/>
                <w:szCs w:val="20"/>
              </w:rPr>
              <w:t>MB, poprzez które jest reprezentowany zbiór PPE, należących do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reprezentujących odbiory energii elektrycznej</w:t>
            </w:r>
          </w:p>
        </w:tc>
      </w:tr>
      <w:tr w:rsidR="00CD7B36" w:rsidRPr="00EB2E7B" w14:paraId="37C946D9" w14:textId="77777777" w:rsidTr="00B55525">
        <w:tblPrEx>
          <w:tblCellMar>
            <w:top w:w="19" w:type="dxa"/>
          </w:tblCellMar>
        </w:tblPrEx>
        <w:trPr>
          <w:trHeight w:val="333"/>
        </w:trPr>
        <w:tc>
          <w:tcPr>
            <w:tcW w:w="1630" w:type="dxa"/>
          </w:tcPr>
          <w:p w14:paraId="4403259E"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lastRenderedPageBreak/>
              <w:t>MB</w:t>
            </w:r>
            <w:r w:rsidRPr="00EB2E7B">
              <w:rPr>
                <w:rFonts w:asciiTheme="minorHAnsi" w:hAnsiTheme="minorHAnsi" w:cstheme="minorHAnsi"/>
                <w:b/>
                <w:bCs/>
                <w:sz w:val="20"/>
                <w:szCs w:val="20"/>
                <w:vertAlign w:val="subscript"/>
              </w:rPr>
              <w:t>OSD</w:t>
            </w:r>
          </w:p>
        </w:tc>
        <w:tc>
          <w:tcPr>
            <w:tcW w:w="7649" w:type="dxa"/>
            <w:gridSpan w:val="3"/>
          </w:tcPr>
          <w:p w14:paraId="47C6FC4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FD</w:t>
            </w:r>
            <w:r w:rsidRPr="00EB2E7B">
              <w:rPr>
                <w:rFonts w:asciiTheme="minorHAnsi" w:hAnsiTheme="minorHAnsi" w:cstheme="minorHAnsi"/>
                <w:sz w:val="20"/>
                <w:szCs w:val="20"/>
              </w:rPr>
              <w:t>MB, poprzez które jest reprezentowany zbiór PPW, należących do POB</w:t>
            </w:r>
            <w:r w:rsidRPr="00EB2E7B">
              <w:rPr>
                <w:rFonts w:asciiTheme="minorHAnsi" w:hAnsiTheme="minorHAnsi" w:cstheme="minorHAnsi"/>
                <w:sz w:val="20"/>
                <w:szCs w:val="20"/>
                <w:vertAlign w:val="subscript"/>
              </w:rPr>
              <w:t>OSD</w:t>
            </w:r>
            <w:r w:rsidRPr="00EB2E7B">
              <w:rPr>
                <w:rFonts w:asciiTheme="minorHAnsi" w:hAnsiTheme="minorHAnsi" w:cstheme="minorHAnsi"/>
                <w:sz w:val="20"/>
                <w:szCs w:val="20"/>
              </w:rPr>
              <w:t xml:space="preserve">, reprezentujące wymianę energii elektrycznej pomiędzy poszczególnymi obszarami sieci dystrybucyjnej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oraz sąsiednich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na napięciu niższym niż 110 </w:t>
            </w:r>
            <w:proofErr w:type="spellStart"/>
            <w:r w:rsidRPr="00EB2E7B">
              <w:rPr>
                <w:rFonts w:asciiTheme="minorHAnsi" w:hAnsiTheme="minorHAnsi" w:cstheme="minorHAnsi"/>
                <w:sz w:val="20"/>
                <w:szCs w:val="20"/>
              </w:rPr>
              <w:t>kV</w:t>
            </w:r>
            <w:proofErr w:type="spellEnd"/>
          </w:p>
        </w:tc>
      </w:tr>
      <w:tr w:rsidR="00CD7B36" w:rsidRPr="00EB2E7B" w14:paraId="0BB2F16E" w14:textId="77777777" w:rsidTr="00B55525">
        <w:tblPrEx>
          <w:tblCellMar>
            <w:top w:w="19" w:type="dxa"/>
          </w:tblCellMar>
        </w:tblPrEx>
        <w:trPr>
          <w:trHeight w:val="333"/>
        </w:trPr>
        <w:tc>
          <w:tcPr>
            <w:tcW w:w="1630" w:type="dxa"/>
          </w:tcPr>
          <w:p w14:paraId="3FAFD3DD"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MB</w:t>
            </w:r>
            <w:r w:rsidRPr="00EB2E7B">
              <w:rPr>
                <w:rFonts w:asciiTheme="minorHAnsi" w:hAnsiTheme="minorHAnsi" w:cstheme="minorHAnsi"/>
                <w:b/>
                <w:bCs/>
                <w:sz w:val="20"/>
                <w:szCs w:val="20"/>
                <w:vertAlign w:val="subscript"/>
              </w:rPr>
              <w:t>W</w:t>
            </w:r>
          </w:p>
        </w:tc>
        <w:tc>
          <w:tcPr>
            <w:tcW w:w="7649" w:type="dxa"/>
            <w:gridSpan w:val="3"/>
          </w:tcPr>
          <w:p w14:paraId="575FA7B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vertAlign w:val="subscript"/>
              </w:rPr>
              <w:t>FD</w:t>
            </w:r>
            <w:r w:rsidRPr="00EB2E7B">
              <w:rPr>
                <w:rFonts w:asciiTheme="minorHAnsi" w:hAnsiTheme="minorHAnsi" w:cstheme="minorHAnsi"/>
                <w:sz w:val="20"/>
                <w:szCs w:val="20"/>
              </w:rPr>
              <w:t>MB, poprzez które jest reprezentowany zbiór PPE, należących do URD</w:t>
            </w:r>
            <w:r w:rsidRPr="00EB2E7B">
              <w:rPr>
                <w:rFonts w:asciiTheme="minorHAnsi" w:hAnsiTheme="minorHAnsi" w:cstheme="minorHAnsi"/>
                <w:sz w:val="20"/>
                <w:szCs w:val="20"/>
                <w:vertAlign w:val="subscript"/>
              </w:rPr>
              <w:t>W</w:t>
            </w:r>
            <w:r w:rsidRPr="00EB2E7B">
              <w:rPr>
                <w:rFonts w:asciiTheme="minorHAnsi" w:hAnsiTheme="minorHAnsi" w:cstheme="minorHAnsi"/>
                <w:sz w:val="20"/>
                <w:szCs w:val="20"/>
              </w:rPr>
              <w:t xml:space="preserve"> lub URD</w:t>
            </w:r>
            <w:r w:rsidRPr="00EB2E7B">
              <w:rPr>
                <w:rFonts w:asciiTheme="minorHAnsi" w:hAnsiTheme="minorHAnsi" w:cstheme="minorHAnsi"/>
                <w:sz w:val="20"/>
                <w:szCs w:val="20"/>
                <w:vertAlign w:val="subscript"/>
              </w:rPr>
              <w:t>ME</w:t>
            </w:r>
            <w:r w:rsidRPr="00EB2E7B">
              <w:rPr>
                <w:rFonts w:asciiTheme="minorHAnsi" w:hAnsiTheme="minorHAnsi" w:cstheme="minorHAnsi"/>
                <w:sz w:val="20"/>
                <w:szCs w:val="20"/>
              </w:rPr>
              <w:t>, reprezentujących odpowiednio moduł wytwarzania energii lub magazyn energii elektrycznej</w:t>
            </w:r>
          </w:p>
        </w:tc>
      </w:tr>
      <w:tr w:rsidR="00CD7B36" w:rsidRPr="00EB2E7B" w14:paraId="690F8AB1" w14:textId="77777777" w:rsidTr="00B55525">
        <w:tblPrEx>
          <w:tblCellMar>
            <w:top w:w="19" w:type="dxa"/>
          </w:tblCellMar>
        </w:tblPrEx>
        <w:trPr>
          <w:trHeight w:val="398"/>
        </w:trPr>
        <w:tc>
          <w:tcPr>
            <w:tcW w:w="1630" w:type="dxa"/>
          </w:tcPr>
          <w:p w14:paraId="39ECE9AB"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MD </w:t>
            </w:r>
          </w:p>
        </w:tc>
        <w:tc>
          <w:tcPr>
            <w:tcW w:w="7649" w:type="dxa"/>
            <w:gridSpan w:val="3"/>
          </w:tcPr>
          <w:p w14:paraId="50CD24F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Miejsce Dostarczania Energii Elektrycznej </w:t>
            </w:r>
          </w:p>
        </w:tc>
      </w:tr>
      <w:tr w:rsidR="00CD7B36" w:rsidRPr="00EB2E7B" w14:paraId="1B42DD0E" w14:textId="77777777" w:rsidTr="00B55525">
        <w:tblPrEx>
          <w:tblCellMar>
            <w:top w:w="19" w:type="dxa"/>
          </w:tblCellMar>
        </w:tblPrEx>
        <w:trPr>
          <w:trHeight w:val="396"/>
        </w:trPr>
        <w:tc>
          <w:tcPr>
            <w:tcW w:w="1630" w:type="dxa"/>
          </w:tcPr>
          <w:p w14:paraId="14489147"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MDD </w:t>
            </w:r>
          </w:p>
        </w:tc>
        <w:tc>
          <w:tcPr>
            <w:tcW w:w="7649" w:type="dxa"/>
            <w:gridSpan w:val="3"/>
          </w:tcPr>
          <w:p w14:paraId="3EFA16A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Miejsce Dostarczania Energii Rynku Detalicznego </w:t>
            </w:r>
          </w:p>
        </w:tc>
      </w:tr>
      <w:tr w:rsidR="00CD7B36" w:rsidRPr="00EB2E7B" w14:paraId="1D37AB83" w14:textId="77777777" w:rsidTr="00B55525">
        <w:tblPrEx>
          <w:tblCellMar>
            <w:top w:w="19" w:type="dxa"/>
          </w:tblCellMar>
        </w:tblPrEx>
        <w:trPr>
          <w:trHeight w:val="943"/>
        </w:trPr>
        <w:tc>
          <w:tcPr>
            <w:tcW w:w="1630" w:type="dxa"/>
          </w:tcPr>
          <w:p w14:paraId="6F272F42"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nJWCD</w:t>
            </w:r>
            <w:proofErr w:type="spellEnd"/>
            <w:r w:rsidRPr="00EB2E7B">
              <w:rPr>
                <w:rFonts w:asciiTheme="minorHAnsi" w:hAnsiTheme="minorHAnsi" w:cstheme="minorHAnsi"/>
                <w:b/>
                <w:bCs/>
                <w:sz w:val="20"/>
                <w:szCs w:val="20"/>
              </w:rPr>
              <w:t xml:space="preserve"> </w:t>
            </w:r>
          </w:p>
        </w:tc>
        <w:tc>
          <w:tcPr>
            <w:tcW w:w="7649" w:type="dxa"/>
            <w:gridSpan w:val="3"/>
          </w:tcPr>
          <w:p w14:paraId="4D4CFAA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Jednostka wytwórcza nie będąca jednostką wytwórczą centralnie dysponowaną – jednostka wytwórcza nie podlegająca centralnemu dysponowaniu przez OSP </w:t>
            </w:r>
          </w:p>
        </w:tc>
      </w:tr>
      <w:tr w:rsidR="00CD7B36" w:rsidRPr="00EB2E7B" w14:paraId="3490A081" w14:textId="77777777" w:rsidTr="00B55525">
        <w:tblPrEx>
          <w:tblCellMar>
            <w:top w:w="19" w:type="dxa"/>
          </w:tblCellMar>
        </w:tblPrEx>
        <w:trPr>
          <w:trHeight w:val="398"/>
        </w:trPr>
        <w:tc>
          <w:tcPr>
            <w:tcW w:w="1630" w:type="dxa"/>
          </w:tcPr>
          <w:p w14:paraId="7BBB7CD4" w14:textId="4022E64F"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N</w:t>
            </w:r>
            <w:r w:rsidR="00C358FD" w:rsidRPr="00EB2E7B">
              <w:rPr>
                <w:rFonts w:asciiTheme="minorHAnsi" w:hAnsiTheme="minorHAnsi" w:cstheme="minorHAnsi"/>
                <w:b/>
                <w:sz w:val="20"/>
                <w:szCs w:val="20"/>
              </w:rPr>
              <w:t>N</w:t>
            </w:r>
            <w:r w:rsidRPr="00EB2E7B">
              <w:rPr>
                <w:rFonts w:asciiTheme="minorHAnsi" w:hAnsiTheme="minorHAnsi" w:cstheme="minorHAnsi"/>
                <w:b/>
                <w:bCs/>
                <w:sz w:val="20"/>
                <w:szCs w:val="20"/>
              </w:rPr>
              <w:t xml:space="preserve"> </w:t>
            </w:r>
          </w:p>
        </w:tc>
        <w:tc>
          <w:tcPr>
            <w:tcW w:w="7649" w:type="dxa"/>
            <w:gridSpan w:val="3"/>
          </w:tcPr>
          <w:p w14:paraId="62B0D2B7" w14:textId="15EA3A58" w:rsidR="00CD7B36" w:rsidRPr="00EB2E7B" w:rsidRDefault="00C358FD">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Najwyższe </w:t>
            </w:r>
            <w:r w:rsidR="00CD7B36" w:rsidRPr="00EB2E7B">
              <w:rPr>
                <w:rFonts w:asciiTheme="minorHAnsi" w:hAnsiTheme="minorHAnsi" w:cstheme="minorHAnsi"/>
                <w:sz w:val="20"/>
                <w:szCs w:val="20"/>
              </w:rPr>
              <w:t xml:space="preserve">napięcie </w:t>
            </w:r>
          </w:p>
        </w:tc>
      </w:tr>
      <w:tr w:rsidR="00CD7B36" w:rsidRPr="00EB2E7B" w14:paraId="61B9C8FF" w14:textId="77777777" w:rsidTr="00B55525">
        <w:tblPrEx>
          <w:tblCellMar>
            <w:top w:w="19" w:type="dxa"/>
          </w:tblCellMar>
        </w:tblPrEx>
        <w:trPr>
          <w:trHeight w:val="398"/>
        </w:trPr>
        <w:tc>
          <w:tcPr>
            <w:tcW w:w="1630" w:type="dxa"/>
          </w:tcPr>
          <w:p w14:paraId="2B6A4F87" w14:textId="55CD0D0C" w:rsidR="00CD7B36" w:rsidRPr="00EB2E7B" w:rsidRDefault="00C358FD">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sz w:val="20"/>
                <w:szCs w:val="20"/>
              </w:rPr>
              <w:t>n</w:t>
            </w:r>
            <w:r w:rsidR="00CD7B36" w:rsidRPr="00EB2E7B">
              <w:rPr>
                <w:rFonts w:asciiTheme="minorHAnsi" w:hAnsiTheme="minorHAnsi" w:cstheme="minorHAnsi"/>
                <w:b/>
                <w:bCs/>
                <w:sz w:val="20"/>
                <w:szCs w:val="20"/>
              </w:rPr>
              <w:t>N</w:t>
            </w:r>
            <w:proofErr w:type="spellEnd"/>
          </w:p>
        </w:tc>
        <w:tc>
          <w:tcPr>
            <w:tcW w:w="7649" w:type="dxa"/>
            <w:gridSpan w:val="3"/>
          </w:tcPr>
          <w:p w14:paraId="2879BFA4" w14:textId="0FA8B8F2" w:rsidR="00CD7B36" w:rsidRPr="00EB2E7B" w:rsidRDefault="00C358FD">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Niskie </w:t>
            </w:r>
            <w:r w:rsidR="00CD7B36" w:rsidRPr="00EB2E7B">
              <w:rPr>
                <w:rFonts w:asciiTheme="minorHAnsi" w:hAnsiTheme="minorHAnsi" w:cstheme="minorHAnsi"/>
                <w:sz w:val="20"/>
                <w:szCs w:val="20"/>
              </w:rPr>
              <w:t>napięci</w:t>
            </w:r>
            <w:r w:rsidRPr="00EB2E7B">
              <w:rPr>
                <w:rFonts w:asciiTheme="minorHAnsi" w:hAnsiTheme="minorHAnsi" w:cstheme="minorHAnsi"/>
                <w:sz w:val="20"/>
                <w:szCs w:val="20"/>
              </w:rPr>
              <w:t>e</w:t>
            </w:r>
          </w:p>
        </w:tc>
      </w:tr>
      <w:tr w:rsidR="00CD7B36" w:rsidRPr="00EB2E7B" w14:paraId="6F4FE19D" w14:textId="77777777" w:rsidTr="00B55525">
        <w:tblPrEx>
          <w:tblCellMar>
            <w:top w:w="19" w:type="dxa"/>
          </w:tblCellMar>
        </w:tblPrEx>
        <w:trPr>
          <w:trHeight w:val="396"/>
        </w:trPr>
        <w:tc>
          <w:tcPr>
            <w:tcW w:w="1630" w:type="dxa"/>
          </w:tcPr>
          <w:p w14:paraId="2F60D759"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OH </w:t>
            </w:r>
          </w:p>
        </w:tc>
        <w:tc>
          <w:tcPr>
            <w:tcW w:w="7649" w:type="dxa"/>
            <w:gridSpan w:val="3"/>
          </w:tcPr>
          <w:p w14:paraId="31323CB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Operator handlowy </w:t>
            </w:r>
          </w:p>
        </w:tc>
      </w:tr>
      <w:tr w:rsidR="00CD7B36" w:rsidRPr="00EB2E7B" w14:paraId="22E00368" w14:textId="77777777" w:rsidTr="00B55525">
        <w:tblPrEx>
          <w:tblCellMar>
            <w:top w:w="19" w:type="dxa"/>
          </w:tblCellMar>
        </w:tblPrEx>
        <w:trPr>
          <w:trHeight w:val="396"/>
        </w:trPr>
        <w:tc>
          <w:tcPr>
            <w:tcW w:w="1630" w:type="dxa"/>
          </w:tcPr>
          <w:p w14:paraId="668F3985"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OHT </w:t>
            </w:r>
          </w:p>
        </w:tc>
        <w:tc>
          <w:tcPr>
            <w:tcW w:w="7649" w:type="dxa"/>
            <w:gridSpan w:val="3"/>
          </w:tcPr>
          <w:p w14:paraId="1F9E9C5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Operator handlowo-techniczny </w:t>
            </w:r>
          </w:p>
        </w:tc>
      </w:tr>
      <w:tr w:rsidR="00CD7B36" w:rsidRPr="00EB2E7B" w14:paraId="73718DDA" w14:textId="77777777" w:rsidTr="00B55525">
        <w:tblPrEx>
          <w:tblCellMar>
            <w:top w:w="19" w:type="dxa"/>
          </w:tblCellMar>
        </w:tblPrEx>
        <w:trPr>
          <w:trHeight w:val="396"/>
        </w:trPr>
        <w:tc>
          <w:tcPr>
            <w:tcW w:w="1630" w:type="dxa"/>
          </w:tcPr>
          <w:p w14:paraId="06EF6BCD"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OIRE</w:t>
            </w:r>
          </w:p>
        </w:tc>
        <w:tc>
          <w:tcPr>
            <w:tcW w:w="7649" w:type="dxa"/>
            <w:gridSpan w:val="3"/>
          </w:tcPr>
          <w:p w14:paraId="2A0741B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Operator informacji rynku energii</w:t>
            </w:r>
          </w:p>
        </w:tc>
      </w:tr>
      <w:tr w:rsidR="00CD7B36" w:rsidRPr="00EB2E7B" w14:paraId="500E8970" w14:textId="77777777" w:rsidTr="00B55525">
        <w:tblPrEx>
          <w:tblCellMar>
            <w:top w:w="19" w:type="dxa"/>
          </w:tblCellMar>
        </w:tblPrEx>
        <w:trPr>
          <w:trHeight w:val="396"/>
        </w:trPr>
        <w:tc>
          <w:tcPr>
            <w:tcW w:w="1630" w:type="dxa"/>
          </w:tcPr>
          <w:p w14:paraId="665BEC1D"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OOSŁ</w:t>
            </w:r>
          </w:p>
        </w:tc>
        <w:tc>
          <w:tcPr>
            <w:tcW w:w="7649" w:type="dxa"/>
            <w:gridSpan w:val="3"/>
          </w:tcPr>
          <w:p w14:paraId="6F7E018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Operator ogólnodostępnej stacji ładowania</w:t>
            </w:r>
          </w:p>
        </w:tc>
      </w:tr>
      <w:tr w:rsidR="00CD7B36" w:rsidRPr="00EB2E7B" w14:paraId="4A70BD51" w14:textId="77777777" w:rsidTr="00B55525">
        <w:tblPrEx>
          <w:tblCellMar>
            <w:top w:w="19" w:type="dxa"/>
          </w:tblCellMar>
        </w:tblPrEx>
        <w:trPr>
          <w:trHeight w:val="396"/>
        </w:trPr>
        <w:tc>
          <w:tcPr>
            <w:tcW w:w="1630" w:type="dxa"/>
          </w:tcPr>
          <w:p w14:paraId="58BB7A6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OP</w:t>
            </w:r>
          </w:p>
        </w:tc>
        <w:tc>
          <w:tcPr>
            <w:tcW w:w="7649" w:type="dxa"/>
            <w:gridSpan w:val="3"/>
          </w:tcPr>
          <w:p w14:paraId="2B53D72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Operator pomiarów</w:t>
            </w:r>
          </w:p>
        </w:tc>
      </w:tr>
      <w:tr w:rsidR="00CD7B36" w:rsidRPr="00EB2E7B" w14:paraId="0C4DCD69" w14:textId="77777777" w:rsidTr="00B55525">
        <w:tblPrEx>
          <w:tblCellMar>
            <w:top w:w="19" w:type="dxa"/>
          </w:tblCellMar>
        </w:tblPrEx>
        <w:trPr>
          <w:trHeight w:val="396"/>
        </w:trPr>
        <w:tc>
          <w:tcPr>
            <w:tcW w:w="1630" w:type="dxa"/>
          </w:tcPr>
          <w:p w14:paraId="621BAC55"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OREB</w:t>
            </w:r>
          </w:p>
        </w:tc>
        <w:tc>
          <w:tcPr>
            <w:tcW w:w="7649" w:type="dxa"/>
            <w:gridSpan w:val="3"/>
          </w:tcPr>
          <w:p w14:paraId="5AAF25E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Okres rozliczania energii bilansującej</w:t>
            </w:r>
          </w:p>
        </w:tc>
      </w:tr>
      <w:tr w:rsidR="00CD7B36" w:rsidRPr="00EB2E7B" w14:paraId="2DA1FD62" w14:textId="77777777" w:rsidTr="00B55525">
        <w:tblPrEx>
          <w:tblCellMar>
            <w:top w:w="19" w:type="dxa"/>
          </w:tblCellMar>
        </w:tblPrEx>
        <w:trPr>
          <w:trHeight w:val="396"/>
        </w:trPr>
        <w:tc>
          <w:tcPr>
            <w:tcW w:w="1630" w:type="dxa"/>
          </w:tcPr>
          <w:p w14:paraId="1FCDFB5B"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ORed</w:t>
            </w:r>
            <w:proofErr w:type="spellEnd"/>
            <w:r w:rsidRPr="00EB2E7B">
              <w:rPr>
                <w:rFonts w:asciiTheme="minorHAnsi" w:hAnsiTheme="minorHAnsi" w:cstheme="minorHAnsi"/>
                <w:b/>
                <w:bCs/>
                <w:sz w:val="20"/>
                <w:szCs w:val="20"/>
              </w:rPr>
              <w:t xml:space="preserve"> </w:t>
            </w:r>
          </w:p>
        </w:tc>
        <w:tc>
          <w:tcPr>
            <w:tcW w:w="7649" w:type="dxa"/>
            <w:gridSpan w:val="3"/>
          </w:tcPr>
          <w:p w14:paraId="3C308D1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Obiekt Redukcji  </w:t>
            </w:r>
          </w:p>
        </w:tc>
      </w:tr>
      <w:tr w:rsidR="00CD7B36" w:rsidRPr="00EB2E7B" w14:paraId="34C06AD1" w14:textId="77777777" w:rsidTr="00B55525">
        <w:tblPrEx>
          <w:tblCellMar>
            <w:top w:w="19" w:type="dxa"/>
          </w:tblCellMar>
        </w:tblPrEx>
        <w:trPr>
          <w:trHeight w:val="396"/>
        </w:trPr>
        <w:tc>
          <w:tcPr>
            <w:tcW w:w="1630" w:type="dxa"/>
          </w:tcPr>
          <w:p w14:paraId="3A825166"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ORN</w:t>
            </w:r>
          </w:p>
        </w:tc>
        <w:tc>
          <w:tcPr>
            <w:tcW w:w="7649" w:type="dxa"/>
            <w:gridSpan w:val="3"/>
          </w:tcPr>
          <w:p w14:paraId="347983C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Okres rozliczania niezbilansowania</w:t>
            </w:r>
          </w:p>
        </w:tc>
      </w:tr>
      <w:tr w:rsidR="00CD7B36" w:rsidRPr="00EB2E7B" w14:paraId="15CFA1E1" w14:textId="77777777" w:rsidTr="00B55525">
        <w:tblPrEx>
          <w:tblCellMar>
            <w:top w:w="19" w:type="dxa"/>
          </w:tblCellMar>
        </w:tblPrEx>
        <w:trPr>
          <w:trHeight w:val="396"/>
        </w:trPr>
        <w:tc>
          <w:tcPr>
            <w:tcW w:w="1630" w:type="dxa"/>
          </w:tcPr>
          <w:p w14:paraId="54CE9663"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OSD </w:t>
            </w:r>
          </w:p>
        </w:tc>
        <w:tc>
          <w:tcPr>
            <w:tcW w:w="7649" w:type="dxa"/>
            <w:gridSpan w:val="3"/>
          </w:tcPr>
          <w:p w14:paraId="146C323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Operator systemu dystrybucyjnego elektroenergetycznego </w:t>
            </w:r>
          </w:p>
        </w:tc>
      </w:tr>
      <w:tr w:rsidR="00CD7B36" w:rsidRPr="00EB2E7B" w14:paraId="4AE538A6" w14:textId="77777777" w:rsidTr="00B55525">
        <w:tblPrEx>
          <w:tblCellMar>
            <w:top w:w="19" w:type="dxa"/>
          </w:tblCellMar>
        </w:tblPrEx>
        <w:trPr>
          <w:trHeight w:val="670"/>
        </w:trPr>
        <w:tc>
          <w:tcPr>
            <w:tcW w:w="1630" w:type="dxa"/>
          </w:tcPr>
          <w:p w14:paraId="5982012A"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OSDp</w:t>
            </w:r>
            <w:proofErr w:type="spellEnd"/>
            <w:r w:rsidRPr="00EB2E7B">
              <w:rPr>
                <w:rFonts w:asciiTheme="minorHAnsi" w:hAnsiTheme="minorHAnsi" w:cstheme="minorHAnsi"/>
                <w:b/>
                <w:bCs/>
                <w:sz w:val="20"/>
                <w:szCs w:val="20"/>
              </w:rPr>
              <w:t xml:space="preserve"> </w:t>
            </w:r>
          </w:p>
        </w:tc>
        <w:tc>
          <w:tcPr>
            <w:tcW w:w="7649" w:type="dxa"/>
            <w:gridSpan w:val="3"/>
          </w:tcPr>
          <w:p w14:paraId="6B738C9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Operator systemu dystrybucyjnego elektroenergetycznego, którego sieć dystrybucyjna posiada bezpośrednie połączenie z siecią przesyłową </w:t>
            </w:r>
          </w:p>
        </w:tc>
      </w:tr>
      <w:tr w:rsidR="00CD7B36" w:rsidRPr="00EB2E7B" w14:paraId="771C2F8C" w14:textId="77777777" w:rsidTr="00B55525">
        <w:tblPrEx>
          <w:tblCellMar>
            <w:top w:w="19" w:type="dxa"/>
          </w:tblCellMar>
        </w:tblPrEx>
        <w:trPr>
          <w:trHeight w:val="672"/>
        </w:trPr>
        <w:tc>
          <w:tcPr>
            <w:tcW w:w="1630" w:type="dxa"/>
          </w:tcPr>
          <w:p w14:paraId="56BB105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OSDn </w:t>
            </w:r>
          </w:p>
        </w:tc>
        <w:tc>
          <w:tcPr>
            <w:tcW w:w="7649" w:type="dxa"/>
            <w:gridSpan w:val="3"/>
          </w:tcPr>
          <w:p w14:paraId="616EEA3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Operator systemu dystrybucyjnego elektroenergetycznego, którego sieć dystrybucyjna nie posiada bezpośredniego połączenia z siecią przesyłową </w:t>
            </w:r>
          </w:p>
        </w:tc>
      </w:tr>
      <w:tr w:rsidR="00CD7B36" w:rsidRPr="00EB2E7B" w14:paraId="7A6EA780" w14:textId="77777777" w:rsidTr="00B55525">
        <w:tblPrEx>
          <w:tblCellMar>
            <w:top w:w="19" w:type="dxa"/>
          </w:tblCellMar>
        </w:tblPrEx>
        <w:trPr>
          <w:trHeight w:val="398"/>
        </w:trPr>
        <w:tc>
          <w:tcPr>
            <w:tcW w:w="1630" w:type="dxa"/>
          </w:tcPr>
          <w:p w14:paraId="0F58F976"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OSP </w:t>
            </w:r>
          </w:p>
        </w:tc>
        <w:tc>
          <w:tcPr>
            <w:tcW w:w="7649" w:type="dxa"/>
            <w:gridSpan w:val="3"/>
          </w:tcPr>
          <w:p w14:paraId="6366D10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Operator systemu przesyłowego elektroenergetycznego </w:t>
            </w:r>
          </w:p>
        </w:tc>
      </w:tr>
      <w:tr w:rsidR="00CD7B36" w:rsidRPr="00EB2E7B" w14:paraId="7CE41237" w14:textId="77777777" w:rsidTr="00B55525">
        <w:tblPrEx>
          <w:tblCellMar>
            <w:top w:w="19" w:type="dxa"/>
          </w:tblCellMar>
        </w:tblPrEx>
        <w:trPr>
          <w:trHeight w:val="396"/>
        </w:trPr>
        <w:tc>
          <w:tcPr>
            <w:tcW w:w="1630" w:type="dxa"/>
          </w:tcPr>
          <w:p w14:paraId="76AD5903" w14:textId="77777777" w:rsidR="00CD7B36" w:rsidRPr="00EB2E7B" w:rsidRDefault="00CD7B36">
            <w:pPr>
              <w:spacing w:after="0"/>
              <w:ind w:left="70" w:firstLine="0"/>
              <w:rPr>
                <w:rFonts w:asciiTheme="minorHAnsi" w:hAnsiTheme="minorHAnsi" w:cstheme="minorHAnsi"/>
                <w:b/>
                <w:bCs/>
                <w:sz w:val="20"/>
                <w:szCs w:val="20"/>
              </w:rPr>
            </w:pPr>
            <w:r>
              <w:rPr>
                <w:rFonts w:asciiTheme="minorHAnsi" w:hAnsiTheme="minorHAnsi" w:cstheme="minorHAnsi"/>
                <w:b/>
                <w:bCs/>
                <w:sz w:val="20"/>
                <w:szCs w:val="20"/>
              </w:rPr>
              <w:t>OZPG</w:t>
            </w:r>
          </w:p>
        </w:tc>
        <w:tc>
          <w:tcPr>
            <w:tcW w:w="7649" w:type="dxa"/>
            <w:gridSpan w:val="3"/>
          </w:tcPr>
          <w:p w14:paraId="733CC1CF"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 xml:space="preserve">Oferta zintegrowanego procesu </w:t>
            </w:r>
            <w:proofErr w:type="spellStart"/>
            <w:r>
              <w:rPr>
                <w:rFonts w:asciiTheme="minorHAnsi" w:hAnsiTheme="minorHAnsi" w:cstheme="minorHAnsi"/>
                <w:sz w:val="20"/>
                <w:szCs w:val="20"/>
              </w:rPr>
              <w:t>grafikowania</w:t>
            </w:r>
            <w:proofErr w:type="spellEnd"/>
          </w:p>
        </w:tc>
      </w:tr>
      <w:tr w:rsidR="00CD7B36" w:rsidRPr="00EB2E7B" w14:paraId="522ABA6B" w14:textId="77777777" w:rsidTr="00B55525">
        <w:tblPrEx>
          <w:tblCellMar>
            <w:top w:w="19" w:type="dxa"/>
          </w:tblCellMar>
        </w:tblPrEx>
        <w:trPr>
          <w:trHeight w:val="396"/>
        </w:trPr>
        <w:tc>
          <w:tcPr>
            <w:tcW w:w="1630" w:type="dxa"/>
          </w:tcPr>
          <w:p w14:paraId="021CDA2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PCC </w:t>
            </w:r>
          </w:p>
        </w:tc>
        <w:tc>
          <w:tcPr>
            <w:tcW w:w="7649" w:type="dxa"/>
            <w:gridSpan w:val="3"/>
          </w:tcPr>
          <w:p w14:paraId="27E9DF5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Punkt przyłączenia źródła energii elektrycznej </w:t>
            </w:r>
          </w:p>
        </w:tc>
      </w:tr>
      <w:tr w:rsidR="00CD7B36" w:rsidRPr="00EB2E7B" w14:paraId="25C115E3" w14:textId="77777777" w:rsidTr="00B55525">
        <w:tblPrEx>
          <w:tblCellMar>
            <w:top w:w="19" w:type="dxa"/>
          </w:tblCellMar>
        </w:tblPrEx>
        <w:trPr>
          <w:trHeight w:val="396"/>
        </w:trPr>
        <w:tc>
          <w:tcPr>
            <w:tcW w:w="1630" w:type="dxa"/>
          </w:tcPr>
          <w:p w14:paraId="4C3E7E3A"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PDE </w:t>
            </w:r>
          </w:p>
        </w:tc>
        <w:tc>
          <w:tcPr>
            <w:tcW w:w="7649" w:type="dxa"/>
            <w:gridSpan w:val="3"/>
          </w:tcPr>
          <w:p w14:paraId="147D4B5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Punkt Dostarczania Energii </w:t>
            </w:r>
          </w:p>
        </w:tc>
      </w:tr>
      <w:tr w:rsidR="00CD7B36" w:rsidRPr="00EB2E7B" w14:paraId="4552DAC4" w14:textId="77777777" w:rsidTr="00B55525">
        <w:tblPrEx>
          <w:tblCellMar>
            <w:top w:w="19" w:type="dxa"/>
          </w:tblCellMar>
        </w:tblPrEx>
        <w:trPr>
          <w:trHeight w:val="396"/>
        </w:trPr>
        <w:tc>
          <w:tcPr>
            <w:tcW w:w="1630" w:type="dxa"/>
          </w:tcPr>
          <w:p w14:paraId="7B717CE7"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PKD </w:t>
            </w:r>
          </w:p>
        </w:tc>
        <w:tc>
          <w:tcPr>
            <w:tcW w:w="7649" w:type="dxa"/>
            <w:gridSpan w:val="3"/>
          </w:tcPr>
          <w:p w14:paraId="4BD1A92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Plan koordynacyjny dobowy </w:t>
            </w:r>
          </w:p>
        </w:tc>
      </w:tr>
      <w:tr w:rsidR="00CD7B36" w:rsidRPr="00EB2E7B" w14:paraId="4DC05B9D" w14:textId="77777777" w:rsidTr="00B55525">
        <w:tblPrEx>
          <w:tblCellMar>
            <w:top w:w="19" w:type="dxa"/>
          </w:tblCellMar>
        </w:tblPrEx>
        <w:trPr>
          <w:trHeight w:val="396"/>
        </w:trPr>
        <w:tc>
          <w:tcPr>
            <w:tcW w:w="1630" w:type="dxa"/>
          </w:tcPr>
          <w:p w14:paraId="169F6161"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POB </w:t>
            </w:r>
          </w:p>
        </w:tc>
        <w:tc>
          <w:tcPr>
            <w:tcW w:w="7649" w:type="dxa"/>
            <w:gridSpan w:val="3"/>
          </w:tcPr>
          <w:p w14:paraId="7B67875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Podmiot odpowiedzialny za bilansowanie</w:t>
            </w:r>
          </w:p>
        </w:tc>
      </w:tr>
      <w:tr w:rsidR="00CD7B36" w:rsidRPr="00EB2E7B" w14:paraId="72806B41" w14:textId="77777777" w:rsidTr="00B55525">
        <w:tblPrEx>
          <w:tblCellMar>
            <w:top w:w="19" w:type="dxa"/>
          </w:tblCellMar>
        </w:tblPrEx>
        <w:trPr>
          <w:trHeight w:val="396"/>
        </w:trPr>
        <w:tc>
          <w:tcPr>
            <w:tcW w:w="1630" w:type="dxa"/>
          </w:tcPr>
          <w:p w14:paraId="678780A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POB</w:t>
            </w:r>
            <w:r w:rsidRPr="00EB2E7B">
              <w:rPr>
                <w:rFonts w:asciiTheme="minorHAnsi" w:hAnsiTheme="minorHAnsi" w:cstheme="minorHAnsi"/>
                <w:b/>
                <w:bCs/>
                <w:sz w:val="20"/>
                <w:szCs w:val="20"/>
                <w:vertAlign w:val="subscript"/>
              </w:rPr>
              <w:t>OSD</w:t>
            </w:r>
          </w:p>
        </w:tc>
        <w:tc>
          <w:tcPr>
            <w:tcW w:w="7649" w:type="dxa"/>
            <w:gridSpan w:val="3"/>
          </w:tcPr>
          <w:p w14:paraId="545F991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POB będący </w:t>
            </w:r>
            <w:proofErr w:type="spellStart"/>
            <w:r w:rsidRPr="00EB2E7B">
              <w:rPr>
                <w:rFonts w:asciiTheme="minorHAnsi" w:hAnsiTheme="minorHAnsi" w:cstheme="minorHAnsi"/>
                <w:sz w:val="20"/>
                <w:szCs w:val="20"/>
              </w:rPr>
              <w:t>OSDp</w:t>
            </w:r>
            <w:proofErr w:type="spellEnd"/>
          </w:p>
        </w:tc>
      </w:tr>
      <w:tr w:rsidR="00CD7B36" w:rsidRPr="00EB2E7B" w14:paraId="6FA1926B" w14:textId="77777777" w:rsidTr="00B55525">
        <w:tblPrEx>
          <w:tblCellMar>
            <w:top w:w="19" w:type="dxa"/>
          </w:tblCellMar>
        </w:tblPrEx>
        <w:trPr>
          <w:trHeight w:val="396"/>
        </w:trPr>
        <w:tc>
          <w:tcPr>
            <w:tcW w:w="1630" w:type="dxa"/>
          </w:tcPr>
          <w:p w14:paraId="439F9865"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lastRenderedPageBreak/>
              <w:t>POB</w:t>
            </w:r>
            <w:r w:rsidRPr="00EB2E7B">
              <w:rPr>
                <w:rFonts w:asciiTheme="minorHAnsi" w:hAnsiTheme="minorHAnsi" w:cstheme="minorHAnsi"/>
                <w:b/>
                <w:bCs/>
                <w:sz w:val="20"/>
                <w:szCs w:val="20"/>
                <w:vertAlign w:val="subscript"/>
              </w:rPr>
              <w:t>Z</w:t>
            </w:r>
          </w:p>
        </w:tc>
        <w:tc>
          <w:tcPr>
            <w:tcW w:w="7649" w:type="dxa"/>
            <w:gridSpan w:val="3"/>
          </w:tcPr>
          <w:p w14:paraId="5CA6373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POB prowadzący bilansowanie handlowe zasobów</w:t>
            </w:r>
          </w:p>
        </w:tc>
      </w:tr>
      <w:tr w:rsidR="00CD7B36" w:rsidRPr="00EB2E7B" w14:paraId="26C912E3" w14:textId="77777777" w:rsidTr="00B55525">
        <w:tblPrEx>
          <w:tblCellMar>
            <w:top w:w="19" w:type="dxa"/>
          </w:tblCellMar>
        </w:tblPrEx>
        <w:trPr>
          <w:trHeight w:val="396"/>
        </w:trPr>
        <w:tc>
          <w:tcPr>
            <w:tcW w:w="1630" w:type="dxa"/>
          </w:tcPr>
          <w:p w14:paraId="247B17B9"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POB</w:t>
            </w:r>
            <w:r w:rsidRPr="00EB2E7B">
              <w:rPr>
                <w:rFonts w:asciiTheme="minorHAnsi" w:hAnsiTheme="minorHAnsi" w:cstheme="minorHAnsi"/>
                <w:b/>
                <w:bCs/>
                <w:sz w:val="20"/>
                <w:szCs w:val="20"/>
                <w:vertAlign w:val="subscript"/>
              </w:rPr>
              <w:t>ZSU</w:t>
            </w:r>
          </w:p>
        </w:tc>
        <w:tc>
          <w:tcPr>
            <w:tcW w:w="7649" w:type="dxa"/>
            <w:gridSpan w:val="3"/>
          </w:tcPr>
          <w:p w14:paraId="2149C9A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ustanowiony przez sprzedawcę z urzędu na terenie danego OSD</w:t>
            </w:r>
          </w:p>
        </w:tc>
      </w:tr>
      <w:tr w:rsidR="00CD7B36" w:rsidRPr="00EB2E7B" w14:paraId="5E9D9D29" w14:textId="77777777" w:rsidTr="00B55525">
        <w:tblPrEx>
          <w:tblCellMar>
            <w:top w:w="19" w:type="dxa"/>
          </w:tblCellMar>
        </w:tblPrEx>
        <w:trPr>
          <w:trHeight w:val="396"/>
        </w:trPr>
        <w:tc>
          <w:tcPr>
            <w:tcW w:w="1630" w:type="dxa"/>
          </w:tcPr>
          <w:p w14:paraId="0AE64970"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PP</w:t>
            </w:r>
          </w:p>
        </w:tc>
        <w:tc>
          <w:tcPr>
            <w:tcW w:w="7649" w:type="dxa"/>
            <w:gridSpan w:val="3"/>
          </w:tcPr>
          <w:p w14:paraId="3F9BFF4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Punkt pomiarowy</w:t>
            </w:r>
          </w:p>
        </w:tc>
      </w:tr>
      <w:tr w:rsidR="00CD7B36" w:rsidRPr="00EB2E7B" w14:paraId="57B41FC3" w14:textId="77777777" w:rsidTr="00B55525">
        <w:tblPrEx>
          <w:tblCellMar>
            <w:top w:w="19" w:type="dxa"/>
          </w:tblCellMar>
        </w:tblPrEx>
        <w:trPr>
          <w:trHeight w:val="396"/>
        </w:trPr>
        <w:tc>
          <w:tcPr>
            <w:tcW w:w="1630" w:type="dxa"/>
          </w:tcPr>
          <w:p w14:paraId="5FA32195"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PPB</w:t>
            </w:r>
          </w:p>
        </w:tc>
        <w:tc>
          <w:tcPr>
            <w:tcW w:w="7649" w:type="dxa"/>
            <w:gridSpan w:val="3"/>
          </w:tcPr>
          <w:p w14:paraId="104C3C5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Punkt pomiarowy - licznik bilansujący</w:t>
            </w:r>
          </w:p>
        </w:tc>
      </w:tr>
      <w:tr w:rsidR="00CD7B36" w:rsidRPr="00EB2E7B" w14:paraId="309058C6" w14:textId="77777777" w:rsidTr="00B55525">
        <w:tblPrEx>
          <w:tblCellMar>
            <w:top w:w="19" w:type="dxa"/>
          </w:tblCellMar>
        </w:tblPrEx>
        <w:trPr>
          <w:trHeight w:val="396"/>
        </w:trPr>
        <w:tc>
          <w:tcPr>
            <w:tcW w:w="1630" w:type="dxa"/>
          </w:tcPr>
          <w:p w14:paraId="3433583A"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PPE </w:t>
            </w:r>
          </w:p>
        </w:tc>
        <w:tc>
          <w:tcPr>
            <w:tcW w:w="7649" w:type="dxa"/>
            <w:gridSpan w:val="3"/>
          </w:tcPr>
          <w:p w14:paraId="30CC817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Punkt Poboru Energii </w:t>
            </w:r>
          </w:p>
        </w:tc>
      </w:tr>
      <w:tr w:rsidR="00CD7B36" w:rsidRPr="00EB2E7B" w14:paraId="6BA6F1E8" w14:textId="77777777" w:rsidTr="00B55525">
        <w:tblPrEx>
          <w:tblCellMar>
            <w:top w:w="19" w:type="dxa"/>
          </w:tblCellMar>
        </w:tblPrEx>
        <w:trPr>
          <w:trHeight w:val="396"/>
        </w:trPr>
        <w:tc>
          <w:tcPr>
            <w:tcW w:w="1630" w:type="dxa"/>
          </w:tcPr>
          <w:p w14:paraId="2CAA7EE5"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PPI</w:t>
            </w:r>
          </w:p>
        </w:tc>
        <w:tc>
          <w:tcPr>
            <w:tcW w:w="7649" w:type="dxa"/>
            <w:gridSpan w:val="3"/>
          </w:tcPr>
          <w:p w14:paraId="23D2DE4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Punkt pomiarowy - inny</w:t>
            </w:r>
          </w:p>
        </w:tc>
      </w:tr>
      <w:tr w:rsidR="00CD7B36" w:rsidRPr="00EB2E7B" w14:paraId="564CFD93" w14:textId="77777777" w:rsidTr="00B55525">
        <w:tblPrEx>
          <w:tblCellMar>
            <w:top w:w="19" w:type="dxa"/>
          </w:tblCellMar>
        </w:tblPrEx>
        <w:trPr>
          <w:trHeight w:val="396"/>
        </w:trPr>
        <w:tc>
          <w:tcPr>
            <w:tcW w:w="1630" w:type="dxa"/>
          </w:tcPr>
          <w:p w14:paraId="549BB719" w14:textId="77777777" w:rsidR="00CD7B36" w:rsidRPr="00EB2E7B" w:rsidRDefault="00CD7B36">
            <w:pPr>
              <w:spacing w:after="0"/>
              <w:ind w:left="70" w:firstLine="0"/>
              <w:rPr>
                <w:rFonts w:asciiTheme="minorHAnsi" w:hAnsiTheme="minorHAnsi" w:cstheme="minorHAnsi"/>
                <w:b/>
                <w:bCs/>
                <w:sz w:val="20"/>
                <w:szCs w:val="20"/>
              </w:rPr>
            </w:pPr>
            <w:r>
              <w:rPr>
                <w:rFonts w:asciiTheme="minorHAnsi" w:hAnsiTheme="minorHAnsi" w:cstheme="minorHAnsi"/>
                <w:b/>
                <w:bCs/>
                <w:sz w:val="20"/>
                <w:szCs w:val="20"/>
              </w:rPr>
              <w:t>PPOSP</w:t>
            </w:r>
          </w:p>
        </w:tc>
        <w:tc>
          <w:tcPr>
            <w:tcW w:w="7649" w:type="dxa"/>
            <w:gridSpan w:val="3"/>
          </w:tcPr>
          <w:p w14:paraId="74CC224E"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Program pracy</w:t>
            </w:r>
          </w:p>
        </w:tc>
      </w:tr>
      <w:tr w:rsidR="00CD7B36" w:rsidRPr="00EB2E7B" w14:paraId="2A75DBED" w14:textId="77777777" w:rsidTr="00B55525">
        <w:tblPrEx>
          <w:tblCellMar>
            <w:top w:w="19" w:type="dxa"/>
          </w:tblCellMar>
        </w:tblPrEx>
        <w:trPr>
          <w:trHeight w:val="396"/>
        </w:trPr>
        <w:tc>
          <w:tcPr>
            <w:tcW w:w="1630" w:type="dxa"/>
          </w:tcPr>
          <w:p w14:paraId="7E9B4B7C"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PPW</w:t>
            </w:r>
          </w:p>
        </w:tc>
        <w:tc>
          <w:tcPr>
            <w:tcW w:w="7649" w:type="dxa"/>
            <w:gridSpan w:val="3"/>
          </w:tcPr>
          <w:p w14:paraId="26ABDE2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Punkt pomiarowy - punkt wymiany</w:t>
            </w:r>
          </w:p>
        </w:tc>
      </w:tr>
      <w:tr w:rsidR="00CD7B36" w:rsidRPr="00EB2E7B" w14:paraId="3929CB46" w14:textId="77777777" w:rsidTr="00B55525">
        <w:tblPrEx>
          <w:tblCellMar>
            <w:top w:w="19" w:type="dxa"/>
          </w:tblCellMar>
        </w:tblPrEx>
        <w:trPr>
          <w:trHeight w:val="398"/>
        </w:trPr>
        <w:tc>
          <w:tcPr>
            <w:tcW w:w="1630" w:type="dxa"/>
          </w:tcPr>
          <w:p w14:paraId="0682EC91"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Prosument </w:t>
            </w:r>
          </w:p>
        </w:tc>
        <w:tc>
          <w:tcPr>
            <w:tcW w:w="7649" w:type="dxa"/>
            <w:gridSpan w:val="3"/>
          </w:tcPr>
          <w:p w14:paraId="67BA258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Prosument energii odnawialnej </w:t>
            </w:r>
          </w:p>
          <w:p w14:paraId="6B3DB3DB" w14:textId="77777777" w:rsidR="00CD7B36" w:rsidRPr="00EB2E7B" w:rsidRDefault="00CD7B36">
            <w:pPr>
              <w:rPr>
                <w:rFonts w:asciiTheme="minorHAnsi" w:hAnsiTheme="minorHAnsi" w:cstheme="minorHAnsi"/>
                <w:sz w:val="20"/>
                <w:szCs w:val="20"/>
              </w:rPr>
            </w:pPr>
          </w:p>
        </w:tc>
      </w:tr>
      <w:tr w:rsidR="00CD7B36" w:rsidRPr="00EB2E7B" w14:paraId="0EADD4CE" w14:textId="77777777" w:rsidTr="00B55525">
        <w:tblPrEx>
          <w:tblCellMar>
            <w:top w:w="19" w:type="dxa"/>
          </w:tblCellMar>
        </w:tblPrEx>
        <w:trPr>
          <w:trHeight w:val="398"/>
        </w:trPr>
        <w:tc>
          <w:tcPr>
            <w:tcW w:w="1630" w:type="dxa"/>
          </w:tcPr>
          <w:p w14:paraId="136819DE"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Prosument wirtualny</w:t>
            </w:r>
          </w:p>
        </w:tc>
        <w:tc>
          <w:tcPr>
            <w:tcW w:w="7649" w:type="dxa"/>
            <w:gridSpan w:val="3"/>
          </w:tcPr>
          <w:p w14:paraId="1BB5208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Prosument wirtualny energii odnawialnej</w:t>
            </w:r>
          </w:p>
        </w:tc>
      </w:tr>
      <w:tr w:rsidR="00CD7B36" w:rsidRPr="00EB2E7B" w14:paraId="0025CA66" w14:textId="77777777" w:rsidTr="00B55525">
        <w:tblPrEx>
          <w:tblCellMar>
            <w:top w:w="19" w:type="dxa"/>
          </w:tblCellMar>
        </w:tblPrEx>
        <w:trPr>
          <w:trHeight w:val="398"/>
        </w:trPr>
        <w:tc>
          <w:tcPr>
            <w:tcW w:w="1630" w:type="dxa"/>
          </w:tcPr>
          <w:p w14:paraId="3DC99CAE"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Prosument zbiorowy</w:t>
            </w:r>
          </w:p>
        </w:tc>
        <w:tc>
          <w:tcPr>
            <w:tcW w:w="7649" w:type="dxa"/>
            <w:gridSpan w:val="3"/>
          </w:tcPr>
          <w:p w14:paraId="7A8CA1B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Prosument zbiorowy energii odnawialnej</w:t>
            </w:r>
          </w:p>
        </w:tc>
      </w:tr>
      <w:tr w:rsidR="00CD7B36" w:rsidRPr="00EB2E7B" w14:paraId="4721B62D" w14:textId="77777777" w:rsidTr="00B55525">
        <w:tblPrEx>
          <w:tblCellMar>
            <w:top w:w="19" w:type="dxa"/>
          </w:tblCellMar>
        </w:tblPrEx>
        <w:trPr>
          <w:trHeight w:val="602"/>
        </w:trPr>
        <w:tc>
          <w:tcPr>
            <w:tcW w:w="1630" w:type="dxa"/>
          </w:tcPr>
          <w:p w14:paraId="44D24C8C"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Plt</w:t>
            </w:r>
            <w:proofErr w:type="spellEnd"/>
          </w:p>
        </w:tc>
        <w:tc>
          <w:tcPr>
            <w:tcW w:w="7649" w:type="dxa"/>
            <w:gridSpan w:val="3"/>
            <w:vAlign w:val="bottom"/>
          </w:tcPr>
          <w:p w14:paraId="52CF781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Wskaźnik długookresowego migotania światła, obliczany z sekwencji 12 kolejnych wartości Pst, występujących w okresie 2 godz., zgodnie ze wzorem:</w:t>
            </w:r>
          </w:p>
          <w:p w14:paraId="7C3FF64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noProof/>
                <w:sz w:val="20"/>
                <w:szCs w:val="20"/>
              </w:rPr>
              <w:drawing>
                <wp:inline distT="0" distB="0" distL="0" distR="0" wp14:anchorId="7C83580C" wp14:editId="55D5B008">
                  <wp:extent cx="1457325" cy="981075"/>
                  <wp:effectExtent l="0" t="0" r="9525"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7325" cy="981075"/>
                          </a:xfrm>
                          <a:prstGeom prst="rect">
                            <a:avLst/>
                          </a:prstGeom>
                          <a:noFill/>
                        </pic:spPr>
                      </pic:pic>
                    </a:graphicData>
                  </a:graphic>
                </wp:inline>
              </w:drawing>
            </w:r>
          </w:p>
          <w:p w14:paraId="3CD80AC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gdzie: i </w:t>
            </w:r>
            <w:r w:rsidRPr="00EB2E7B">
              <w:rPr>
                <w:rFonts w:asciiTheme="minorHAnsi" w:hAnsiTheme="minorHAnsi" w:cstheme="minorHAnsi"/>
                <w:i/>
                <w:iCs/>
                <w:sz w:val="20"/>
                <w:szCs w:val="20"/>
              </w:rPr>
              <w:t>– sekwencję wartości P</w:t>
            </w:r>
            <w:r w:rsidRPr="00EB2E7B">
              <w:rPr>
                <w:rFonts w:asciiTheme="minorHAnsi" w:hAnsiTheme="minorHAnsi" w:cstheme="minorHAnsi"/>
                <w:i/>
                <w:iCs/>
                <w:sz w:val="20"/>
                <w:szCs w:val="20"/>
                <w:vertAlign w:val="subscript"/>
              </w:rPr>
              <w:t>st</w:t>
            </w:r>
          </w:p>
        </w:tc>
      </w:tr>
      <w:tr w:rsidR="00CD7B36" w:rsidRPr="00EB2E7B" w14:paraId="645DF720" w14:textId="77777777" w:rsidTr="00B55525">
        <w:tblPrEx>
          <w:tblCellMar>
            <w:top w:w="34" w:type="dxa"/>
          </w:tblCellMar>
        </w:tblPrEx>
        <w:trPr>
          <w:trHeight w:val="607"/>
        </w:trPr>
        <w:tc>
          <w:tcPr>
            <w:tcW w:w="1630" w:type="dxa"/>
          </w:tcPr>
          <w:p w14:paraId="7356C64B"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Pst</w:t>
            </w:r>
          </w:p>
        </w:tc>
        <w:tc>
          <w:tcPr>
            <w:tcW w:w="7649" w:type="dxa"/>
            <w:gridSpan w:val="3"/>
          </w:tcPr>
          <w:p w14:paraId="6302254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Wskaźnik krótkookresowego migotania światła, mierzony przez 10  min. </w:t>
            </w:r>
          </w:p>
        </w:tc>
      </w:tr>
      <w:tr w:rsidR="00CD7B36" w:rsidRPr="00EB2E7B" w14:paraId="283C6088" w14:textId="77777777" w:rsidTr="00B55525">
        <w:tblPrEx>
          <w:tblCellMar>
            <w:top w:w="34" w:type="dxa"/>
          </w:tblCellMar>
        </w:tblPrEx>
        <w:trPr>
          <w:trHeight w:val="607"/>
        </w:trPr>
        <w:tc>
          <w:tcPr>
            <w:tcW w:w="1630" w:type="dxa"/>
          </w:tcPr>
          <w:p w14:paraId="03DE8602"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RB</w:t>
            </w:r>
          </w:p>
        </w:tc>
        <w:tc>
          <w:tcPr>
            <w:tcW w:w="7649" w:type="dxa"/>
            <w:gridSpan w:val="3"/>
          </w:tcPr>
          <w:p w14:paraId="0AC7A61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Rynek Bilansujący</w:t>
            </w:r>
          </w:p>
        </w:tc>
      </w:tr>
      <w:tr w:rsidR="00CD7B36" w:rsidRPr="00EB2E7B" w14:paraId="3915974D" w14:textId="77777777" w:rsidTr="00B55525">
        <w:tblPrEx>
          <w:tblCellMar>
            <w:top w:w="34" w:type="dxa"/>
          </w:tblCellMar>
        </w:tblPrEx>
        <w:trPr>
          <w:trHeight w:val="607"/>
        </w:trPr>
        <w:tc>
          <w:tcPr>
            <w:tcW w:w="1630" w:type="dxa"/>
          </w:tcPr>
          <w:p w14:paraId="2F500B83"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RRM</w:t>
            </w:r>
          </w:p>
        </w:tc>
        <w:tc>
          <w:tcPr>
            <w:tcW w:w="7649" w:type="dxa"/>
            <w:gridSpan w:val="3"/>
          </w:tcPr>
          <w:p w14:paraId="2CD66CB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Regulamin rynku mocy</w:t>
            </w:r>
          </w:p>
        </w:tc>
      </w:tr>
      <w:tr w:rsidR="00CD7B36" w:rsidRPr="00EB2E7B" w14:paraId="1E768FFB" w14:textId="77777777" w:rsidTr="00B55525">
        <w:tblPrEx>
          <w:tblCellMar>
            <w:top w:w="34" w:type="dxa"/>
          </w:tblCellMar>
        </w:tblPrEx>
        <w:trPr>
          <w:trHeight w:val="398"/>
        </w:trPr>
        <w:tc>
          <w:tcPr>
            <w:tcW w:w="1630" w:type="dxa"/>
          </w:tcPr>
          <w:p w14:paraId="0C5A3141"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SCO </w:t>
            </w:r>
          </w:p>
        </w:tc>
        <w:tc>
          <w:tcPr>
            <w:tcW w:w="7649" w:type="dxa"/>
            <w:gridSpan w:val="3"/>
          </w:tcPr>
          <w:p w14:paraId="7B203AA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Samoczynne częstotliwościowe odłączanie</w:t>
            </w:r>
          </w:p>
        </w:tc>
      </w:tr>
      <w:tr w:rsidR="00E3268B" w:rsidRPr="00EB2E7B" w14:paraId="2A2003A8" w14:textId="77777777" w:rsidTr="0020645E">
        <w:tblPrEx>
          <w:tblCellMar>
            <w:top w:w="34" w:type="dxa"/>
          </w:tblCellMar>
        </w:tblPrEx>
        <w:trPr>
          <w:trHeight w:val="398"/>
        </w:trPr>
        <w:tc>
          <w:tcPr>
            <w:tcW w:w="1630" w:type="dxa"/>
          </w:tcPr>
          <w:p w14:paraId="64B4A05A" w14:textId="47A99CF9" w:rsidR="00E3268B" w:rsidRPr="00EB2E7B" w:rsidRDefault="00E3268B" w:rsidP="00E3268B">
            <w:pPr>
              <w:spacing w:after="0"/>
              <w:ind w:left="70" w:firstLine="0"/>
              <w:rPr>
                <w:rFonts w:asciiTheme="minorHAnsi" w:hAnsiTheme="minorHAnsi" w:cstheme="minorHAnsi"/>
                <w:b/>
                <w:sz w:val="20"/>
                <w:szCs w:val="20"/>
              </w:rPr>
            </w:pPr>
            <w:r w:rsidRPr="00EB2E7B">
              <w:rPr>
                <w:rFonts w:asciiTheme="minorHAnsi" w:hAnsiTheme="minorHAnsi" w:cstheme="minorHAnsi"/>
                <w:b/>
                <w:sz w:val="20"/>
                <w:szCs w:val="20"/>
              </w:rPr>
              <w:t xml:space="preserve">SMMDD </w:t>
            </w:r>
          </w:p>
        </w:tc>
        <w:tc>
          <w:tcPr>
            <w:tcW w:w="7649" w:type="dxa"/>
            <w:gridSpan w:val="3"/>
          </w:tcPr>
          <w:p w14:paraId="00788201" w14:textId="50F7CB81" w:rsidR="00E3268B" w:rsidRPr="00EB2E7B" w:rsidRDefault="00E3268B" w:rsidP="00E3268B">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Miejsce Dostarczania Energii Rynku Detalicznego dla Sprzedawcy Macierzystego </w:t>
            </w:r>
          </w:p>
        </w:tc>
      </w:tr>
      <w:tr w:rsidR="00CD7B36" w:rsidRPr="00EB2E7B" w14:paraId="641B8D80" w14:textId="77777777" w:rsidTr="00B55525">
        <w:tblPrEx>
          <w:tblCellMar>
            <w:top w:w="34" w:type="dxa"/>
          </w:tblCellMar>
        </w:tblPrEx>
        <w:trPr>
          <w:trHeight w:val="396"/>
        </w:trPr>
        <w:tc>
          <w:tcPr>
            <w:tcW w:w="1630" w:type="dxa"/>
          </w:tcPr>
          <w:p w14:paraId="457E40F6"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SN </w:t>
            </w:r>
          </w:p>
        </w:tc>
        <w:tc>
          <w:tcPr>
            <w:tcW w:w="7649" w:type="dxa"/>
            <w:gridSpan w:val="3"/>
          </w:tcPr>
          <w:p w14:paraId="178F00B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Średnie napięcie </w:t>
            </w:r>
          </w:p>
        </w:tc>
      </w:tr>
      <w:tr w:rsidR="00CD7B36" w:rsidRPr="00EB2E7B" w14:paraId="246D4BD5" w14:textId="77777777" w:rsidTr="00B55525">
        <w:tblPrEx>
          <w:tblCellMar>
            <w:top w:w="34" w:type="dxa"/>
          </w:tblCellMar>
        </w:tblPrEx>
        <w:trPr>
          <w:trHeight w:val="396"/>
        </w:trPr>
        <w:tc>
          <w:tcPr>
            <w:tcW w:w="1630" w:type="dxa"/>
          </w:tcPr>
          <w:p w14:paraId="10104E9B" w14:textId="794CB396"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SOWE </w:t>
            </w:r>
          </w:p>
        </w:tc>
        <w:tc>
          <w:tcPr>
            <w:tcW w:w="7649" w:type="dxa"/>
            <w:gridSpan w:val="3"/>
          </w:tcPr>
          <w:p w14:paraId="5CA44163" w14:textId="5A57E72E"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System Operatywnej Współpracy z Elektrowniami </w:t>
            </w:r>
          </w:p>
        </w:tc>
      </w:tr>
      <w:tr w:rsidR="00CD7B36" w:rsidRPr="00EB2E7B" w14:paraId="3B3A98FD" w14:textId="77777777" w:rsidTr="00B55525">
        <w:tblPrEx>
          <w:tblCellMar>
            <w:top w:w="34" w:type="dxa"/>
          </w:tblCellMar>
        </w:tblPrEx>
        <w:trPr>
          <w:trHeight w:val="1222"/>
        </w:trPr>
        <w:tc>
          <w:tcPr>
            <w:tcW w:w="1630" w:type="dxa"/>
          </w:tcPr>
          <w:p w14:paraId="1002EE31"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SPZ </w:t>
            </w:r>
          </w:p>
        </w:tc>
        <w:tc>
          <w:tcPr>
            <w:tcW w:w="7649" w:type="dxa"/>
            <w:gridSpan w:val="3"/>
          </w:tcPr>
          <w:p w14:paraId="5B78900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Samoczynne ponowne załączanie - automatyka elektroenergetyczna, której działanie polega na samoczynnym podaniu impulsu załączającego wyłącznik liniowy bezzwłocznie lub po upływie odpowiednio dobranego czasu, po przejściu tego wyłącznika w stan otwarcia </w:t>
            </w:r>
          </w:p>
        </w:tc>
      </w:tr>
      <w:tr w:rsidR="00CD7B36" w:rsidRPr="00EB2E7B" w14:paraId="26CF444E" w14:textId="77777777" w:rsidTr="00B55525">
        <w:tblPrEx>
          <w:tblCellMar>
            <w:top w:w="34" w:type="dxa"/>
          </w:tblCellMar>
        </w:tblPrEx>
        <w:trPr>
          <w:trHeight w:val="1226"/>
        </w:trPr>
        <w:tc>
          <w:tcPr>
            <w:tcW w:w="1630" w:type="dxa"/>
          </w:tcPr>
          <w:p w14:paraId="520BF514"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SZR </w:t>
            </w:r>
          </w:p>
        </w:tc>
        <w:tc>
          <w:tcPr>
            <w:tcW w:w="7649" w:type="dxa"/>
            <w:gridSpan w:val="3"/>
          </w:tcPr>
          <w:p w14:paraId="2FC5F1E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Samoczynne załączanie rezerwy - automatyka elektroenergetyczna, której </w:t>
            </w:r>
          </w:p>
          <w:p w14:paraId="57DF265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działanie polega na samoczynnym przełączeniu odbiorców  z zasilania ze źródła podstawowego na zasilanie ze źródła rezerwowego, w przypadku nadmiernego obniżenia się napięcia lub zaniku napięcia </w:t>
            </w:r>
          </w:p>
        </w:tc>
      </w:tr>
      <w:tr w:rsidR="00CD7B36" w:rsidRPr="00EB2E7B" w14:paraId="5FB89E0E" w14:textId="77777777" w:rsidTr="00B55525">
        <w:tblPrEx>
          <w:tblCellMar>
            <w:top w:w="34" w:type="dxa"/>
          </w:tblCellMar>
        </w:tblPrEx>
        <w:trPr>
          <w:trHeight w:val="604"/>
        </w:trPr>
        <w:tc>
          <w:tcPr>
            <w:tcW w:w="1630" w:type="dxa"/>
          </w:tcPr>
          <w:p w14:paraId="787C369B"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THD </w:t>
            </w:r>
          </w:p>
        </w:tc>
        <w:tc>
          <w:tcPr>
            <w:tcW w:w="7649" w:type="dxa"/>
            <w:gridSpan w:val="3"/>
            <w:vAlign w:val="bottom"/>
          </w:tcPr>
          <w:p w14:paraId="5047C31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Współczynnik odkształcenia napięcia harmonicznymi, obliczany zgodnie ze wzorem:</w:t>
            </w:r>
          </w:p>
          <w:p w14:paraId="6C13D052" w14:textId="6CAE7EFB" w:rsidR="00CD7B36" w:rsidRPr="00EB2E7B" w:rsidRDefault="005E66A8">
            <w:pPr>
              <w:ind w:left="70" w:firstLine="0"/>
              <w:rPr>
                <w:rFonts w:asciiTheme="minorHAnsi" w:hAnsiTheme="minorHAnsi" w:cstheme="minorHAnsi"/>
                <w:sz w:val="20"/>
                <w:szCs w:val="20"/>
              </w:rPr>
            </w:pPr>
            <m:oMathPara>
              <m:oMath>
                <m:r>
                  <w:rPr>
                    <w:rFonts w:ascii="Cambria Math" w:hAnsi="Cambria Math" w:cstheme="minorHAnsi"/>
                    <w:sz w:val="20"/>
                    <w:szCs w:val="20"/>
                  </w:rPr>
                  <m:t>THD=</m:t>
                </m:r>
                <m:rad>
                  <m:radPr>
                    <m:degHide m:val="1"/>
                    <m:ctrlPr>
                      <w:rPr>
                        <w:rFonts w:ascii="Cambria Math" w:hAnsi="Cambria Math" w:cstheme="minorHAnsi"/>
                        <w:i/>
                        <w:sz w:val="20"/>
                        <w:szCs w:val="20"/>
                      </w:rPr>
                    </m:ctrlPr>
                  </m:radPr>
                  <m:deg/>
                  <m:e>
                    <m:nary>
                      <m:naryPr>
                        <m:chr m:val="∑"/>
                        <m:limLoc m:val="undOvr"/>
                        <m:ctrlPr>
                          <w:rPr>
                            <w:rFonts w:ascii="Cambria Math" w:hAnsi="Cambria Math" w:cstheme="minorHAnsi"/>
                            <w:i/>
                            <w:sz w:val="20"/>
                            <w:szCs w:val="20"/>
                          </w:rPr>
                        </m:ctrlPr>
                      </m:naryPr>
                      <m:sub>
                        <m:r>
                          <w:rPr>
                            <w:rFonts w:ascii="Cambria Math" w:hAnsi="Cambria Math" w:cstheme="minorHAnsi"/>
                            <w:sz w:val="20"/>
                            <w:szCs w:val="20"/>
                          </w:rPr>
                          <m:t>h=</m:t>
                        </m:r>
                        <m:r>
                          <w:rPr>
                            <w:rFonts w:ascii="Cambria Math" w:hAnsi="Cambria Math" w:cstheme="minorHAnsi"/>
                            <w:sz w:val="20"/>
                            <w:szCs w:val="20"/>
                          </w:rPr>
                          <m:t>2</m:t>
                        </m:r>
                      </m:sub>
                      <m:sup>
                        <m:r>
                          <w:rPr>
                            <w:rFonts w:ascii="Cambria Math" w:hAnsi="Cambria Math" w:cstheme="minorHAnsi"/>
                            <w:sz w:val="20"/>
                            <w:szCs w:val="20"/>
                          </w:rPr>
                          <m:t>50</m:t>
                        </m:r>
                      </m:sup>
                      <m:e>
                        <m:sSup>
                          <m:sSupPr>
                            <m:ctrlPr>
                              <w:rPr>
                                <w:rFonts w:ascii="Cambria Math" w:hAnsi="Cambria Math" w:cstheme="minorHAnsi"/>
                                <w:i/>
                                <w:sz w:val="20"/>
                                <w:szCs w:val="20"/>
                              </w:rPr>
                            </m:ctrlPr>
                          </m:sSupPr>
                          <m:e>
                            <m:d>
                              <m:dPr>
                                <m:ctrlPr>
                                  <w:rPr>
                                    <w:rFonts w:ascii="Cambria Math" w:hAnsi="Cambria Math" w:cstheme="minorHAnsi"/>
                                    <w:i/>
                                    <w:sz w:val="20"/>
                                    <w:szCs w:val="20"/>
                                  </w:rPr>
                                </m:ctrlPr>
                              </m:dPr>
                              <m:e>
                                <m:sSub>
                                  <m:sSubPr>
                                    <m:ctrlPr>
                                      <w:rPr>
                                        <w:rFonts w:ascii="Cambria Math" w:hAnsi="Cambria Math" w:cstheme="minorHAnsi"/>
                                        <w:i/>
                                        <w:sz w:val="20"/>
                                        <w:szCs w:val="20"/>
                                      </w:rPr>
                                    </m:ctrlPr>
                                  </m:sSubPr>
                                  <m:e>
                                    <m:r>
                                      <w:rPr>
                                        <w:rFonts w:ascii="Cambria Math" w:hAnsi="Cambria Math" w:cstheme="minorHAnsi"/>
                                        <w:sz w:val="20"/>
                                        <w:szCs w:val="20"/>
                                      </w:rPr>
                                      <m:t>U</m:t>
                                    </m:r>
                                  </m:e>
                                  <m:sub>
                                    <m:r>
                                      <w:rPr>
                                        <w:rFonts w:ascii="Cambria Math" w:hAnsi="Cambria Math" w:cstheme="minorHAnsi"/>
                                        <w:sz w:val="20"/>
                                        <w:szCs w:val="20"/>
                                      </w:rPr>
                                      <m:t>h</m:t>
                                    </m:r>
                                  </m:sub>
                                </m:sSub>
                              </m:e>
                            </m:d>
                          </m:e>
                          <m:sup>
                            <m:r>
                              <w:rPr>
                                <w:rFonts w:ascii="Cambria Math" w:hAnsi="Cambria Math" w:cstheme="minorHAnsi"/>
                                <w:sz w:val="20"/>
                                <w:szCs w:val="20"/>
                              </w:rPr>
                              <m:t>2</m:t>
                            </m:r>
                          </m:sup>
                        </m:sSup>
                      </m:e>
                    </m:nary>
                  </m:e>
                </m:rad>
              </m:oMath>
            </m:oMathPara>
          </w:p>
          <w:p w14:paraId="4F2BD5DF" w14:textId="77777777" w:rsidR="00CD7B36" w:rsidRPr="00EB2E7B" w:rsidRDefault="00CD7B36">
            <w:pPr>
              <w:ind w:left="70" w:firstLine="0"/>
              <w:rPr>
                <w:rFonts w:asciiTheme="minorHAnsi" w:hAnsiTheme="minorHAnsi" w:cstheme="minorHAnsi"/>
                <w:sz w:val="20"/>
                <w:szCs w:val="20"/>
              </w:rPr>
            </w:pPr>
          </w:p>
        </w:tc>
      </w:tr>
      <w:tr w:rsidR="00CD7B36" w:rsidRPr="00EB2E7B" w14:paraId="70E266D4" w14:textId="77777777" w:rsidTr="00B55525">
        <w:tblPrEx>
          <w:tblCellMar>
            <w:top w:w="32" w:type="dxa"/>
          </w:tblCellMar>
        </w:tblPrEx>
        <w:trPr>
          <w:gridAfter w:val="2"/>
          <w:wAfter w:w="150" w:type="dxa"/>
          <w:trHeight w:val="728"/>
        </w:trPr>
        <w:tc>
          <w:tcPr>
            <w:tcW w:w="1630" w:type="dxa"/>
          </w:tcPr>
          <w:p w14:paraId="48947B51" w14:textId="77777777" w:rsidR="00CD7B36" w:rsidRPr="00EB2E7B" w:rsidRDefault="00CD7B36">
            <w:pPr>
              <w:spacing w:after="0"/>
              <w:ind w:left="70" w:firstLine="0"/>
              <w:rPr>
                <w:rFonts w:asciiTheme="minorHAnsi" w:hAnsiTheme="minorHAnsi" w:cstheme="minorHAnsi"/>
                <w:b/>
                <w:bCs/>
                <w:sz w:val="20"/>
                <w:szCs w:val="20"/>
              </w:rPr>
            </w:pPr>
          </w:p>
        </w:tc>
        <w:tc>
          <w:tcPr>
            <w:tcW w:w="7499" w:type="dxa"/>
          </w:tcPr>
          <w:p w14:paraId="034BB26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Gdzie: </w:t>
            </w:r>
          </w:p>
          <w:p w14:paraId="0A0833C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THD – współczynnik odkształcenia harmonicznymi napięcia zasilającego,</w:t>
            </w:r>
          </w:p>
          <w:p w14:paraId="77B6ED4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w:t>
            </w:r>
            <w:r w:rsidRPr="00EB2E7B">
              <w:rPr>
                <w:rFonts w:asciiTheme="minorHAnsi" w:hAnsiTheme="minorHAnsi" w:cstheme="minorHAnsi"/>
                <w:sz w:val="20"/>
                <w:szCs w:val="20"/>
                <w:vertAlign w:val="subscript"/>
              </w:rPr>
              <w:t>h</w:t>
            </w:r>
            <w:r w:rsidRPr="00EB2E7B">
              <w:rPr>
                <w:rFonts w:asciiTheme="minorHAnsi" w:hAnsiTheme="minorHAnsi" w:cstheme="minorHAnsi"/>
                <w:sz w:val="20"/>
                <w:szCs w:val="20"/>
              </w:rPr>
              <w:t xml:space="preserve"> – wartość względną napięcia w procentach składowej podstawowej,</w:t>
            </w:r>
          </w:p>
          <w:p w14:paraId="3FBA808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h – rząd wyższej harmonicznej.</w:t>
            </w:r>
          </w:p>
        </w:tc>
      </w:tr>
      <w:tr w:rsidR="00CD7B36" w:rsidRPr="00EB2E7B" w14:paraId="2E718C2B" w14:textId="77777777" w:rsidTr="00B55525">
        <w:tblPrEx>
          <w:tblCellMar>
            <w:top w:w="32" w:type="dxa"/>
          </w:tblCellMar>
        </w:tblPrEx>
        <w:trPr>
          <w:gridAfter w:val="2"/>
          <w:wAfter w:w="150" w:type="dxa"/>
          <w:trHeight w:val="397"/>
        </w:trPr>
        <w:tc>
          <w:tcPr>
            <w:tcW w:w="1630" w:type="dxa"/>
          </w:tcPr>
          <w:p w14:paraId="388FC967"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THFF </w:t>
            </w:r>
          </w:p>
        </w:tc>
        <w:tc>
          <w:tcPr>
            <w:tcW w:w="7499" w:type="dxa"/>
          </w:tcPr>
          <w:p w14:paraId="7F2E4DF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Współczynnik zakłóceń harmonicznych telefonii </w:t>
            </w:r>
          </w:p>
        </w:tc>
      </w:tr>
      <w:tr w:rsidR="00CD7B36" w:rsidRPr="00EB2E7B" w14:paraId="1F6E8A6D" w14:textId="77777777" w:rsidTr="00B55525">
        <w:tblPrEx>
          <w:tblCellMar>
            <w:top w:w="32" w:type="dxa"/>
          </w:tblCellMar>
        </w:tblPrEx>
        <w:trPr>
          <w:gridAfter w:val="2"/>
          <w:wAfter w:w="150" w:type="dxa"/>
          <w:trHeight w:val="396"/>
        </w:trPr>
        <w:tc>
          <w:tcPr>
            <w:tcW w:w="1630" w:type="dxa"/>
          </w:tcPr>
          <w:p w14:paraId="39CA6DE5" w14:textId="77777777" w:rsidR="00CD7B36" w:rsidRPr="00EB2E7B" w:rsidRDefault="00CD7B36">
            <w:pPr>
              <w:spacing w:after="0"/>
              <w:ind w:left="70" w:firstLine="0"/>
              <w:rPr>
                <w:rFonts w:asciiTheme="minorHAnsi" w:hAnsiTheme="minorHAnsi" w:cstheme="minorHAnsi"/>
                <w:b/>
                <w:bCs/>
                <w:sz w:val="20"/>
                <w:szCs w:val="20"/>
              </w:rPr>
            </w:pPr>
            <w:r>
              <w:rPr>
                <w:rFonts w:asciiTheme="minorHAnsi" w:hAnsiTheme="minorHAnsi" w:cstheme="minorHAnsi"/>
                <w:b/>
                <w:bCs/>
                <w:sz w:val="20"/>
                <w:szCs w:val="20"/>
              </w:rPr>
              <w:t>TSKB</w:t>
            </w:r>
          </w:p>
        </w:tc>
        <w:tc>
          <w:tcPr>
            <w:tcW w:w="7499" w:type="dxa"/>
          </w:tcPr>
          <w:p w14:paraId="25E6B9B1"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Techniczne Standardy Komunikacji Biznesowej</w:t>
            </w:r>
          </w:p>
        </w:tc>
      </w:tr>
      <w:tr w:rsidR="00CD7B36" w:rsidRPr="00EB2E7B" w14:paraId="71E836E2" w14:textId="77777777" w:rsidTr="00B55525">
        <w:tblPrEx>
          <w:tblCellMar>
            <w:top w:w="32" w:type="dxa"/>
          </w:tblCellMar>
        </w:tblPrEx>
        <w:trPr>
          <w:gridAfter w:val="2"/>
          <w:wAfter w:w="150" w:type="dxa"/>
          <w:trHeight w:val="396"/>
        </w:trPr>
        <w:tc>
          <w:tcPr>
            <w:tcW w:w="1630" w:type="dxa"/>
          </w:tcPr>
          <w:p w14:paraId="551B114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UCTE </w:t>
            </w:r>
          </w:p>
        </w:tc>
        <w:tc>
          <w:tcPr>
            <w:tcW w:w="7499" w:type="dxa"/>
          </w:tcPr>
          <w:p w14:paraId="0A72D1D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Unia Koordynacji </w:t>
            </w:r>
            <w:proofErr w:type="spellStart"/>
            <w:r w:rsidRPr="00EB2E7B">
              <w:rPr>
                <w:rFonts w:asciiTheme="minorHAnsi" w:hAnsiTheme="minorHAnsi" w:cstheme="minorHAnsi"/>
                <w:sz w:val="20"/>
                <w:szCs w:val="20"/>
              </w:rPr>
              <w:t>Przesyłu</w:t>
            </w:r>
            <w:proofErr w:type="spellEnd"/>
            <w:r w:rsidRPr="00EB2E7B">
              <w:rPr>
                <w:rFonts w:asciiTheme="minorHAnsi" w:hAnsiTheme="minorHAnsi" w:cstheme="minorHAnsi"/>
                <w:sz w:val="20"/>
                <w:szCs w:val="20"/>
              </w:rPr>
              <w:t xml:space="preserve"> Energii Elektrycznej </w:t>
            </w:r>
          </w:p>
        </w:tc>
      </w:tr>
      <w:tr w:rsidR="00CD7B36" w:rsidRPr="00EB2E7B" w14:paraId="2A70C904" w14:textId="77777777" w:rsidTr="00B55525">
        <w:tblPrEx>
          <w:tblCellMar>
            <w:top w:w="32" w:type="dxa"/>
          </w:tblCellMar>
        </w:tblPrEx>
        <w:trPr>
          <w:gridAfter w:val="2"/>
          <w:wAfter w:w="150" w:type="dxa"/>
          <w:trHeight w:val="398"/>
        </w:trPr>
        <w:tc>
          <w:tcPr>
            <w:tcW w:w="1630" w:type="dxa"/>
          </w:tcPr>
          <w:p w14:paraId="748E74E2"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URB </w:t>
            </w:r>
          </w:p>
        </w:tc>
        <w:tc>
          <w:tcPr>
            <w:tcW w:w="7499" w:type="dxa"/>
          </w:tcPr>
          <w:p w14:paraId="1826FAD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Uczestnik Rynku Bilansującego </w:t>
            </w:r>
          </w:p>
        </w:tc>
      </w:tr>
      <w:tr w:rsidR="00CD7B36" w:rsidRPr="00EB2E7B" w14:paraId="3752C1AE" w14:textId="77777777" w:rsidTr="00B55525">
        <w:tblPrEx>
          <w:tblCellMar>
            <w:top w:w="32" w:type="dxa"/>
          </w:tblCellMar>
        </w:tblPrEx>
        <w:trPr>
          <w:gridAfter w:val="2"/>
          <w:wAfter w:w="150" w:type="dxa"/>
          <w:trHeight w:val="675"/>
        </w:trPr>
        <w:tc>
          <w:tcPr>
            <w:tcW w:w="1630" w:type="dxa"/>
          </w:tcPr>
          <w:p w14:paraId="43DC74EC"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URD </w:t>
            </w:r>
          </w:p>
        </w:tc>
        <w:tc>
          <w:tcPr>
            <w:tcW w:w="7499" w:type="dxa"/>
          </w:tcPr>
          <w:p w14:paraId="7B7E4CBC" w14:textId="1A14C14C"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Uczestnik Rynku Detalicznego którego sieci i urządzenia są przyłączone do sieci OSD </w:t>
            </w:r>
          </w:p>
        </w:tc>
      </w:tr>
      <w:tr w:rsidR="00CD7B36" w:rsidRPr="00EB2E7B" w14:paraId="2CCEA3CD" w14:textId="77777777" w:rsidTr="00B55525">
        <w:tblPrEx>
          <w:tblCellMar>
            <w:top w:w="32" w:type="dxa"/>
          </w:tblCellMar>
        </w:tblPrEx>
        <w:trPr>
          <w:gridAfter w:val="2"/>
          <w:wAfter w:w="150" w:type="dxa"/>
          <w:trHeight w:val="675"/>
        </w:trPr>
        <w:tc>
          <w:tcPr>
            <w:tcW w:w="1630" w:type="dxa"/>
          </w:tcPr>
          <w:p w14:paraId="7CDD13F0"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URD</w:t>
            </w:r>
            <w:r w:rsidRPr="00EB2E7B">
              <w:rPr>
                <w:rFonts w:asciiTheme="minorHAnsi" w:hAnsiTheme="minorHAnsi" w:cstheme="minorHAnsi"/>
                <w:b/>
                <w:bCs/>
                <w:sz w:val="20"/>
                <w:szCs w:val="20"/>
                <w:vertAlign w:val="subscript"/>
              </w:rPr>
              <w:t>ME</w:t>
            </w:r>
          </w:p>
        </w:tc>
        <w:tc>
          <w:tcPr>
            <w:tcW w:w="7499" w:type="dxa"/>
          </w:tcPr>
          <w:p w14:paraId="4852D55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Uczestnik rynku detalicznego typu posiadacz magazynu energii elektrycznej, o łącznej mocy zainstalowanej magazynu energii elektrycznej większej niż 50 kW</w:t>
            </w:r>
          </w:p>
        </w:tc>
      </w:tr>
      <w:tr w:rsidR="00CD7B36" w:rsidRPr="00EB2E7B" w14:paraId="4688EF18" w14:textId="77777777" w:rsidTr="00B55525">
        <w:tblPrEx>
          <w:tblCellMar>
            <w:top w:w="32" w:type="dxa"/>
          </w:tblCellMar>
        </w:tblPrEx>
        <w:trPr>
          <w:gridAfter w:val="2"/>
          <w:wAfter w:w="150" w:type="dxa"/>
          <w:trHeight w:val="604"/>
        </w:trPr>
        <w:tc>
          <w:tcPr>
            <w:tcW w:w="1630" w:type="dxa"/>
          </w:tcPr>
          <w:p w14:paraId="0E6EB05D" w14:textId="77777777" w:rsidR="00CD7B36" w:rsidRPr="00EB2E7B" w:rsidRDefault="00CD7B36">
            <w:pPr>
              <w:spacing w:after="0"/>
              <w:ind w:left="70" w:firstLine="0"/>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URDn</w:t>
            </w:r>
            <w:proofErr w:type="spellEnd"/>
            <w:r w:rsidRPr="00EB2E7B">
              <w:rPr>
                <w:rFonts w:asciiTheme="minorHAnsi" w:hAnsiTheme="minorHAnsi" w:cstheme="minorHAnsi"/>
                <w:b/>
                <w:bCs/>
                <w:sz w:val="20"/>
                <w:szCs w:val="20"/>
              </w:rPr>
              <w:t xml:space="preserve"> </w:t>
            </w:r>
          </w:p>
        </w:tc>
        <w:tc>
          <w:tcPr>
            <w:tcW w:w="7499" w:type="dxa"/>
            <w:vAlign w:val="bottom"/>
          </w:tcPr>
          <w:p w14:paraId="47709EC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Uczestnik Rynku Detalicznego którego sieci i urządzenia są przyłączone do sieci OSDn </w:t>
            </w:r>
          </w:p>
        </w:tc>
      </w:tr>
      <w:tr w:rsidR="00CD7B36" w:rsidRPr="00EB2E7B" w14:paraId="0D1E0C3A" w14:textId="77777777" w:rsidTr="00B55525">
        <w:tblPrEx>
          <w:tblCellMar>
            <w:top w:w="0" w:type="dxa"/>
          </w:tblCellMar>
        </w:tblPrEx>
        <w:trPr>
          <w:gridAfter w:val="1"/>
          <w:wAfter w:w="137" w:type="dxa"/>
          <w:trHeight w:val="333"/>
        </w:trPr>
        <w:tc>
          <w:tcPr>
            <w:tcW w:w="1630" w:type="dxa"/>
          </w:tcPr>
          <w:p w14:paraId="0E4956A5"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URD</w:t>
            </w:r>
            <w:r w:rsidRPr="00EB2E7B">
              <w:rPr>
                <w:rFonts w:asciiTheme="minorHAnsi" w:hAnsiTheme="minorHAnsi" w:cstheme="minorHAnsi"/>
                <w:b/>
                <w:bCs/>
                <w:sz w:val="20"/>
                <w:szCs w:val="20"/>
                <w:vertAlign w:val="subscript"/>
              </w:rPr>
              <w:t>O</w:t>
            </w:r>
          </w:p>
        </w:tc>
        <w:tc>
          <w:tcPr>
            <w:tcW w:w="7512" w:type="dxa"/>
            <w:gridSpan w:val="2"/>
          </w:tcPr>
          <w:p w14:paraId="2E8DB32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Uczestnik Rynku Detalicznego typu odbiorca </w:t>
            </w:r>
          </w:p>
        </w:tc>
      </w:tr>
      <w:tr w:rsidR="00CD7B36" w:rsidRPr="00EB2E7B" w14:paraId="778BF50F" w14:textId="77777777" w:rsidTr="00B55525">
        <w:tblPrEx>
          <w:tblCellMar>
            <w:top w:w="0" w:type="dxa"/>
          </w:tblCellMar>
        </w:tblPrEx>
        <w:trPr>
          <w:gridAfter w:val="1"/>
          <w:wAfter w:w="137" w:type="dxa"/>
          <w:trHeight w:val="396"/>
        </w:trPr>
        <w:tc>
          <w:tcPr>
            <w:tcW w:w="1630" w:type="dxa"/>
          </w:tcPr>
          <w:p w14:paraId="54C7BD9F"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URD</w:t>
            </w:r>
            <w:r w:rsidRPr="00EB2E7B">
              <w:rPr>
                <w:rFonts w:asciiTheme="minorHAnsi" w:hAnsiTheme="minorHAnsi" w:cstheme="minorHAnsi"/>
                <w:b/>
                <w:bCs/>
                <w:sz w:val="20"/>
                <w:szCs w:val="20"/>
                <w:vertAlign w:val="subscript"/>
              </w:rPr>
              <w:t>W</w:t>
            </w:r>
          </w:p>
        </w:tc>
        <w:tc>
          <w:tcPr>
            <w:tcW w:w="7512" w:type="dxa"/>
            <w:gridSpan w:val="2"/>
          </w:tcPr>
          <w:p w14:paraId="0DC2719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Uczestnik Rynku Detalicznego typu wytwórca </w:t>
            </w:r>
          </w:p>
        </w:tc>
      </w:tr>
      <w:tr w:rsidR="00CD7B36" w:rsidRPr="00EB2E7B" w14:paraId="6F46B522" w14:textId="77777777" w:rsidTr="00B55525">
        <w:tblPrEx>
          <w:tblCellMar>
            <w:top w:w="0" w:type="dxa"/>
          </w:tblCellMar>
        </w:tblPrEx>
        <w:trPr>
          <w:gridAfter w:val="1"/>
          <w:wAfter w:w="137" w:type="dxa"/>
          <w:trHeight w:val="396"/>
        </w:trPr>
        <w:tc>
          <w:tcPr>
            <w:tcW w:w="1630" w:type="dxa"/>
          </w:tcPr>
          <w:p w14:paraId="4F45266D"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URE </w:t>
            </w:r>
          </w:p>
        </w:tc>
        <w:tc>
          <w:tcPr>
            <w:tcW w:w="7512" w:type="dxa"/>
            <w:gridSpan w:val="2"/>
          </w:tcPr>
          <w:p w14:paraId="2AE005A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Urząd Regulacji Energetyki </w:t>
            </w:r>
          </w:p>
        </w:tc>
      </w:tr>
      <w:tr w:rsidR="00CD7B36" w:rsidRPr="00EB2E7B" w14:paraId="7F49B198" w14:textId="77777777" w:rsidTr="00B55525">
        <w:tblPrEx>
          <w:tblCellMar>
            <w:top w:w="0" w:type="dxa"/>
          </w:tblCellMar>
        </w:tblPrEx>
        <w:trPr>
          <w:gridAfter w:val="1"/>
          <w:wAfter w:w="137" w:type="dxa"/>
          <w:trHeight w:val="396"/>
        </w:trPr>
        <w:tc>
          <w:tcPr>
            <w:tcW w:w="1630" w:type="dxa"/>
          </w:tcPr>
          <w:p w14:paraId="069FB9CA"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WDB </w:t>
            </w:r>
          </w:p>
        </w:tc>
        <w:tc>
          <w:tcPr>
            <w:tcW w:w="7512" w:type="dxa"/>
            <w:gridSpan w:val="2"/>
          </w:tcPr>
          <w:p w14:paraId="38A7252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Warunki dotyczące bilansowania </w:t>
            </w:r>
          </w:p>
        </w:tc>
      </w:tr>
      <w:tr w:rsidR="00CD7B36" w:rsidRPr="00EB2E7B" w14:paraId="6CE58C5F" w14:textId="77777777" w:rsidTr="00B55525">
        <w:tblPrEx>
          <w:tblCellMar>
            <w:top w:w="0" w:type="dxa"/>
          </w:tblCellMar>
        </w:tblPrEx>
        <w:trPr>
          <w:gridAfter w:val="1"/>
          <w:wAfter w:w="137" w:type="dxa"/>
          <w:trHeight w:val="396"/>
        </w:trPr>
        <w:tc>
          <w:tcPr>
            <w:tcW w:w="1630" w:type="dxa"/>
          </w:tcPr>
          <w:p w14:paraId="492EFF4B"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WIRE </w:t>
            </w:r>
          </w:p>
        </w:tc>
        <w:tc>
          <w:tcPr>
            <w:tcW w:w="7512" w:type="dxa"/>
            <w:gridSpan w:val="2"/>
          </w:tcPr>
          <w:p w14:paraId="2B04A97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System wymiany informacji o rynku energii </w:t>
            </w:r>
          </w:p>
        </w:tc>
      </w:tr>
      <w:tr w:rsidR="00CD7B36" w:rsidRPr="00EB2E7B" w14:paraId="4457309D" w14:textId="77777777" w:rsidTr="00B55525">
        <w:tblPrEx>
          <w:tblCellMar>
            <w:top w:w="0" w:type="dxa"/>
          </w:tblCellMar>
        </w:tblPrEx>
        <w:trPr>
          <w:gridAfter w:val="1"/>
          <w:wAfter w:w="137" w:type="dxa"/>
          <w:trHeight w:val="396"/>
        </w:trPr>
        <w:tc>
          <w:tcPr>
            <w:tcW w:w="1630" w:type="dxa"/>
          </w:tcPr>
          <w:p w14:paraId="3D47126C"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WPKD </w:t>
            </w:r>
          </w:p>
        </w:tc>
        <w:tc>
          <w:tcPr>
            <w:tcW w:w="7512" w:type="dxa"/>
            <w:gridSpan w:val="2"/>
          </w:tcPr>
          <w:p w14:paraId="6A9A811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Wstępny plan koordynacyjny dobowy </w:t>
            </w:r>
          </w:p>
        </w:tc>
      </w:tr>
      <w:tr w:rsidR="00CD7B36" w:rsidRPr="00EB2E7B" w14:paraId="56C91DA6" w14:textId="77777777" w:rsidTr="00B55525">
        <w:tblPrEx>
          <w:tblCellMar>
            <w:top w:w="0" w:type="dxa"/>
          </w:tblCellMar>
        </w:tblPrEx>
        <w:trPr>
          <w:gridAfter w:val="1"/>
          <w:wAfter w:w="137" w:type="dxa"/>
          <w:trHeight w:val="333"/>
        </w:trPr>
        <w:tc>
          <w:tcPr>
            <w:tcW w:w="1630" w:type="dxa"/>
          </w:tcPr>
          <w:p w14:paraId="5FF0C808" w14:textId="77777777" w:rsidR="00CD7B36" w:rsidRPr="00EB2E7B" w:rsidRDefault="00CD7B36">
            <w:pPr>
              <w:spacing w:after="0"/>
              <w:ind w:left="70" w:firstLine="0"/>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ZUSE </w:t>
            </w:r>
          </w:p>
        </w:tc>
        <w:tc>
          <w:tcPr>
            <w:tcW w:w="7512" w:type="dxa"/>
            <w:gridSpan w:val="2"/>
            <w:vAlign w:val="bottom"/>
          </w:tcPr>
          <w:p w14:paraId="3336C24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Zgłoszenie Umowy Sprzedaży Energii </w:t>
            </w:r>
          </w:p>
        </w:tc>
      </w:tr>
    </w:tbl>
    <w:p w14:paraId="280F8E63" w14:textId="77777777" w:rsidR="00CD7B36" w:rsidRPr="00EB2E7B" w:rsidRDefault="00CD7B36" w:rsidP="00CD7B36">
      <w:pPr>
        <w:rPr>
          <w:rFonts w:asciiTheme="minorHAnsi" w:hAnsiTheme="minorHAnsi" w:cstheme="minorHAnsi"/>
          <w:sz w:val="20"/>
          <w:szCs w:val="20"/>
        </w:rPr>
      </w:pPr>
    </w:p>
    <w:p w14:paraId="75D26F4A" w14:textId="77777777" w:rsidR="00473957" w:rsidRPr="00EB2E7B" w:rsidRDefault="0077111A"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25046777" w14:textId="0847022C" w:rsidR="00473957" w:rsidRPr="00EB2E7B" w:rsidRDefault="0077111A" w:rsidP="00B55525">
      <w:pPr>
        <w:pStyle w:val="Nagwek1"/>
        <w:numPr>
          <w:ilvl w:val="0"/>
          <w:numId w:val="396"/>
        </w:numPr>
        <w:rPr>
          <w:rFonts w:asciiTheme="minorHAnsi" w:hAnsiTheme="minorHAnsi" w:cstheme="minorHAnsi"/>
          <w:sz w:val="20"/>
          <w:szCs w:val="20"/>
        </w:rPr>
      </w:pPr>
      <w:bookmarkStart w:id="768" w:name="_Toc180153787"/>
      <w:bookmarkStart w:id="769" w:name="_Toc239333454"/>
      <w:r w:rsidRPr="00EB2E7B">
        <w:rPr>
          <w:rFonts w:asciiTheme="minorHAnsi" w:hAnsiTheme="minorHAnsi" w:cstheme="minorHAnsi"/>
          <w:sz w:val="20"/>
          <w:szCs w:val="20"/>
        </w:rPr>
        <w:lastRenderedPageBreak/>
        <w:t>POJĘCIA I DEFINICJE</w:t>
      </w:r>
      <w:bookmarkEnd w:id="768"/>
      <w:bookmarkEnd w:id="769"/>
    </w:p>
    <w:tbl>
      <w:tblPr>
        <w:tblStyle w:val="Tabela-Siatka1"/>
        <w:tblW w:w="9196" w:type="dxa"/>
        <w:tblInd w:w="5" w:type="dxa"/>
        <w:tblLook w:val="04A0" w:firstRow="1" w:lastRow="0" w:firstColumn="1" w:lastColumn="0" w:noHBand="0" w:noVBand="1"/>
      </w:tblPr>
      <w:tblGrid>
        <w:gridCol w:w="2977"/>
        <w:gridCol w:w="6097"/>
        <w:gridCol w:w="47"/>
        <w:gridCol w:w="10"/>
        <w:gridCol w:w="28"/>
        <w:gridCol w:w="23"/>
        <w:gridCol w:w="14"/>
      </w:tblGrid>
      <w:tr w:rsidR="00CD7B36" w:rsidRPr="00EB2E7B" w14:paraId="1EF89E4E" w14:textId="77777777" w:rsidTr="00780901">
        <w:trPr>
          <w:trHeight w:val="1159"/>
        </w:trPr>
        <w:tc>
          <w:tcPr>
            <w:tcW w:w="2977" w:type="dxa"/>
          </w:tcPr>
          <w:p w14:paraId="3D9F112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Administrator pomiarów</w:t>
            </w:r>
          </w:p>
        </w:tc>
        <w:tc>
          <w:tcPr>
            <w:tcW w:w="6219" w:type="dxa"/>
            <w:gridSpan w:val="6"/>
          </w:tcPr>
          <w:p w14:paraId="1A6139F1" w14:textId="62929000"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Jednostka organizacyjna OSD odpowiedzialna za obsługę i kontrolę układów pomiarowo-rozliczeniowych.</w:t>
            </w:r>
          </w:p>
        </w:tc>
      </w:tr>
      <w:tr w:rsidR="00CD7B36" w:rsidRPr="00EB2E7B" w14:paraId="1217D370" w14:textId="77777777" w:rsidTr="00780901">
        <w:trPr>
          <w:trHeight w:val="1159"/>
        </w:trPr>
        <w:tc>
          <w:tcPr>
            <w:tcW w:w="2977" w:type="dxa"/>
          </w:tcPr>
          <w:p w14:paraId="42DDE25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Analizator jakości energii elektrycznej</w:t>
            </w:r>
          </w:p>
        </w:tc>
        <w:tc>
          <w:tcPr>
            <w:tcW w:w="6219" w:type="dxa"/>
            <w:gridSpan w:val="6"/>
          </w:tcPr>
          <w:p w14:paraId="553FF7F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Przyrząd pomiarowy służący do pomiarów jakości energii elektrycznej.</w:t>
            </w:r>
          </w:p>
        </w:tc>
      </w:tr>
      <w:tr w:rsidR="00CD7B36" w:rsidRPr="00EB2E7B" w14:paraId="1AE400FA" w14:textId="77777777" w:rsidTr="00780901">
        <w:trPr>
          <w:trHeight w:val="1159"/>
        </w:trPr>
        <w:tc>
          <w:tcPr>
            <w:tcW w:w="2977" w:type="dxa"/>
          </w:tcPr>
          <w:p w14:paraId="37171EF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Awaria techniczna</w:t>
            </w:r>
          </w:p>
        </w:tc>
        <w:tc>
          <w:tcPr>
            <w:tcW w:w="6219" w:type="dxa"/>
            <w:gridSpan w:val="6"/>
          </w:tcPr>
          <w:p w14:paraId="0D0BDB2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Gwałtowne, nieprzewidziane uszkodzenie lub zniszczenie obiektu budowlanego, urządzenia technicznego lub systemu urządzeń technicznych powodujące przerwę w ich używaniu lub utratę ich właściwości. Awarię techniczną mogą wywołać również zdarzenia w cyberprzestrzeni, w rozumieniu ustawy o stanie klęski żywiołowej, oraz działania o charakterze terrorystycznym</w:t>
            </w:r>
          </w:p>
        </w:tc>
      </w:tr>
      <w:tr w:rsidR="00CD7B36" w:rsidRPr="00EB2E7B" w14:paraId="15C7B821" w14:textId="77777777" w:rsidTr="00780901">
        <w:trPr>
          <w:trHeight w:val="1226"/>
        </w:trPr>
        <w:tc>
          <w:tcPr>
            <w:tcW w:w="2977" w:type="dxa"/>
          </w:tcPr>
          <w:p w14:paraId="3806301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Bezpieczeństwo dostaw energii elektrycznej </w:t>
            </w:r>
          </w:p>
        </w:tc>
        <w:tc>
          <w:tcPr>
            <w:tcW w:w="6219" w:type="dxa"/>
            <w:gridSpan w:val="6"/>
          </w:tcPr>
          <w:p w14:paraId="606ECD5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Zdolność systemu elektroenergetycznego do zapewnienia bezpieczeństwa pracy sieci elektroenergetycznej oraz równoważenia dostaw energii elektrycznej z zapotrzebowaniem na tę energię. </w:t>
            </w:r>
          </w:p>
        </w:tc>
      </w:tr>
      <w:tr w:rsidR="00CD7B36" w:rsidRPr="00EB2E7B" w14:paraId="148B0D2A" w14:textId="77777777" w:rsidTr="00780901">
        <w:trPr>
          <w:trHeight w:val="1226"/>
        </w:trPr>
        <w:tc>
          <w:tcPr>
            <w:tcW w:w="2977" w:type="dxa"/>
          </w:tcPr>
          <w:p w14:paraId="29EF8EB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Bezpośredni układ pomiarowy</w:t>
            </w:r>
          </w:p>
        </w:tc>
        <w:tc>
          <w:tcPr>
            <w:tcW w:w="6219" w:type="dxa"/>
            <w:gridSpan w:val="6"/>
          </w:tcPr>
          <w:p w14:paraId="6642322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Licznik konwencjonalny lub licznik zdalnego odczytu, bez przekładników prądowych ani napięciowych, służący do pomiarów energii elektrycznej lub pomiarów i rozliczeń za tę energię.</w:t>
            </w:r>
          </w:p>
        </w:tc>
      </w:tr>
      <w:tr w:rsidR="00CD7B36" w:rsidRPr="00EB2E7B" w14:paraId="19F89CA8" w14:textId="77777777" w:rsidTr="00780901">
        <w:trPr>
          <w:trHeight w:val="1226"/>
        </w:trPr>
        <w:tc>
          <w:tcPr>
            <w:tcW w:w="2977" w:type="dxa"/>
          </w:tcPr>
          <w:p w14:paraId="3584B59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Bilansowanie handlowe</w:t>
            </w:r>
          </w:p>
        </w:tc>
        <w:tc>
          <w:tcPr>
            <w:tcW w:w="6219" w:type="dxa"/>
            <w:gridSpan w:val="6"/>
          </w:tcPr>
          <w:p w14:paraId="3F361CB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Zgłaszanie OSP przez POB do realizacji umów sprzedaży energii elektrycznej zawartych przez użytkowników systemu i prowadzenie rozliczania niezbilansowania w rozumieniu art. 2 pkt 9 EB GL dla każdego okresu rozliczania niezbilansowania w rozumieniu art. 2 pkt 10 EB GL.</w:t>
            </w:r>
          </w:p>
        </w:tc>
      </w:tr>
      <w:tr w:rsidR="00CD7B36" w:rsidRPr="00EB2E7B" w14:paraId="4A5A89EA" w14:textId="77777777" w:rsidTr="00780901">
        <w:trPr>
          <w:trHeight w:val="1498"/>
        </w:trPr>
        <w:tc>
          <w:tcPr>
            <w:tcW w:w="2977" w:type="dxa"/>
          </w:tcPr>
          <w:p w14:paraId="719E9C64"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Bilansowanie systemu </w:t>
            </w:r>
          </w:p>
        </w:tc>
        <w:tc>
          <w:tcPr>
            <w:tcW w:w="6219" w:type="dxa"/>
            <w:gridSpan w:val="6"/>
          </w:tcPr>
          <w:p w14:paraId="6CE28D7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Działalność gospodarcza wykonywana przez OSP w ramach świadczonych usług przesyłania, polegająca na równoważeniu zapotrzebowania na energię elektryczną z dostawami tej energii, w tym bilansowanie w rozumieniu art. 2 pkt 10 rozporządzenia 2019/943. </w:t>
            </w:r>
          </w:p>
        </w:tc>
      </w:tr>
      <w:tr w:rsidR="00CD7B36" w:rsidRPr="00EB2E7B" w14:paraId="1CE57876" w14:textId="77777777" w:rsidTr="00780901">
        <w:trPr>
          <w:trHeight w:val="1498"/>
        </w:trPr>
        <w:tc>
          <w:tcPr>
            <w:tcW w:w="2977" w:type="dxa"/>
          </w:tcPr>
          <w:p w14:paraId="6EC14A3E" w14:textId="77777777" w:rsidR="00CD7B36" w:rsidRPr="00EB2E7B" w:rsidRDefault="00CD7B36">
            <w:pPr>
              <w:spacing w:after="0"/>
              <w:ind w:left="70" w:firstLine="0"/>
              <w:jc w:val="left"/>
              <w:rPr>
                <w:rFonts w:asciiTheme="minorHAnsi" w:hAnsiTheme="minorHAnsi" w:cstheme="minorHAnsi"/>
                <w:b/>
                <w:bCs/>
                <w:sz w:val="20"/>
                <w:szCs w:val="20"/>
              </w:rPr>
            </w:pPr>
            <w:r>
              <w:rPr>
                <w:rFonts w:asciiTheme="minorHAnsi" w:hAnsiTheme="minorHAnsi" w:cstheme="minorHAnsi"/>
                <w:b/>
                <w:bCs/>
                <w:sz w:val="20"/>
                <w:szCs w:val="20"/>
              </w:rPr>
              <w:t>Charakterystyka PP</w:t>
            </w:r>
          </w:p>
        </w:tc>
        <w:tc>
          <w:tcPr>
            <w:tcW w:w="6219" w:type="dxa"/>
            <w:gridSpan w:val="6"/>
          </w:tcPr>
          <w:p w14:paraId="084A13C7"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 xml:space="preserve">Informacje rynku energii dotyczące PP, których zakres określają standardy wymiany informacji CSIRE (stanowiące załącznik do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z wyłączeniem danych pomiarowych, informacji o zdarzeniach rejestrowanych przez LZO i poleceń odbieranych przez LZO.</w:t>
            </w:r>
          </w:p>
        </w:tc>
      </w:tr>
      <w:tr w:rsidR="00CD7B36" w:rsidRPr="00EB2E7B" w14:paraId="683DF3D1" w14:textId="77777777" w:rsidTr="00780901">
        <w:trPr>
          <w:trHeight w:val="1498"/>
        </w:trPr>
        <w:tc>
          <w:tcPr>
            <w:tcW w:w="2977" w:type="dxa"/>
          </w:tcPr>
          <w:p w14:paraId="0E69B4F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Dane pomiarowe</w:t>
            </w:r>
          </w:p>
        </w:tc>
        <w:tc>
          <w:tcPr>
            <w:tcW w:w="6219" w:type="dxa"/>
            <w:gridSpan w:val="6"/>
          </w:tcPr>
          <w:p w14:paraId="084F60B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Dane pozyskiwane lub wyznaczane dla punktu pomiarowego.</w:t>
            </w:r>
          </w:p>
        </w:tc>
      </w:tr>
      <w:tr w:rsidR="00CD7B36" w:rsidRPr="00EB2E7B" w14:paraId="2BFEE28A" w14:textId="77777777" w:rsidTr="00780901">
        <w:trPr>
          <w:trHeight w:val="1498"/>
        </w:trPr>
        <w:tc>
          <w:tcPr>
            <w:tcW w:w="2977" w:type="dxa"/>
          </w:tcPr>
          <w:p w14:paraId="2BBF80A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Dni robocze</w:t>
            </w:r>
          </w:p>
        </w:tc>
        <w:tc>
          <w:tcPr>
            <w:tcW w:w="6219" w:type="dxa"/>
            <w:gridSpan w:val="6"/>
          </w:tcPr>
          <w:p w14:paraId="6CB662F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Dni od poniedziałku do piątku inne niż dni ustawowo wolne od pracy.</w:t>
            </w:r>
          </w:p>
        </w:tc>
      </w:tr>
      <w:tr w:rsidR="00CD7B36" w:rsidRPr="00EB2E7B" w14:paraId="698C5214" w14:textId="77777777" w:rsidTr="00780901">
        <w:trPr>
          <w:trHeight w:val="1498"/>
        </w:trPr>
        <w:tc>
          <w:tcPr>
            <w:tcW w:w="2977" w:type="dxa"/>
          </w:tcPr>
          <w:p w14:paraId="6C458F16"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Dostawca usług bilansujących</w:t>
            </w:r>
          </w:p>
        </w:tc>
        <w:tc>
          <w:tcPr>
            <w:tcW w:w="6219" w:type="dxa"/>
            <w:gridSpan w:val="6"/>
          </w:tcPr>
          <w:p w14:paraId="438F3FB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Dostawca usług bilansujących w rozumieniu art. 2 pkt 6 EB GL.</w:t>
            </w:r>
          </w:p>
        </w:tc>
      </w:tr>
      <w:tr w:rsidR="00CD7B36" w:rsidRPr="00EB2E7B" w14:paraId="4EF28882" w14:textId="77777777" w:rsidTr="00780901">
        <w:trPr>
          <w:trHeight w:val="677"/>
        </w:trPr>
        <w:tc>
          <w:tcPr>
            <w:tcW w:w="2977" w:type="dxa"/>
          </w:tcPr>
          <w:p w14:paraId="4735BA1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Dystrybucja energii elektrycznej </w:t>
            </w:r>
          </w:p>
        </w:tc>
        <w:tc>
          <w:tcPr>
            <w:tcW w:w="6219" w:type="dxa"/>
            <w:gridSpan w:val="6"/>
          </w:tcPr>
          <w:p w14:paraId="73318CC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Transport energii elektrycznej sieciami dystrybucyjnymi w celu jej dostarczania odbiorcom, z wyłączeniem sprzedaży energii. </w:t>
            </w:r>
          </w:p>
        </w:tc>
      </w:tr>
      <w:tr w:rsidR="00CD7B36" w:rsidRPr="00EB2E7B" w14:paraId="37C80547" w14:textId="77777777" w:rsidTr="00780901">
        <w:trPr>
          <w:trHeight w:val="1498"/>
        </w:trPr>
        <w:tc>
          <w:tcPr>
            <w:tcW w:w="2977" w:type="dxa"/>
          </w:tcPr>
          <w:p w14:paraId="496BB16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Elektroenergetyczna automatyka zabezpieczeniowa </w:t>
            </w:r>
          </w:p>
        </w:tc>
        <w:tc>
          <w:tcPr>
            <w:tcW w:w="6219" w:type="dxa"/>
            <w:gridSpan w:val="6"/>
          </w:tcPr>
          <w:p w14:paraId="43809B0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Automatyka której celem jest wykrywanie zakłóceń w pracy systemu elektroenergetycznego lub jego elementach oraz podejmowanie działań mających na celu zminimalizowanie ich skutków. EAZ dzielimy na automatykę eliminacyjną, prewencyjną oraz restytucyjną </w:t>
            </w:r>
          </w:p>
        </w:tc>
      </w:tr>
      <w:tr w:rsidR="00CD7B36" w:rsidRPr="00EB2E7B" w14:paraId="292FB457" w14:textId="77777777" w:rsidTr="00780901">
        <w:trPr>
          <w:trHeight w:val="1772"/>
        </w:trPr>
        <w:tc>
          <w:tcPr>
            <w:tcW w:w="2977" w:type="dxa"/>
          </w:tcPr>
          <w:p w14:paraId="0F7F554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Elektrownia </w:t>
            </w:r>
          </w:p>
        </w:tc>
        <w:tc>
          <w:tcPr>
            <w:tcW w:w="6219" w:type="dxa"/>
            <w:gridSpan w:val="6"/>
          </w:tcPr>
          <w:p w14:paraId="22F8430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Zakład wytwarzania energii, tj. obszarowo wyodrębniona część przedsiębiorstwa energetycznego, prowadzącego działalność polegającą na przekształcaniu energii pierwotnej w energię elektryczną, składająca się z jednego modułu wytwarzania energii lub z większej liczby modułów wytwarzania energii mających jedno lub kilka miejsc przyłączenia do sieci.  </w:t>
            </w:r>
          </w:p>
        </w:tc>
      </w:tr>
      <w:tr w:rsidR="00E75507" w:rsidRPr="00EB2E7B" w14:paraId="2CC18E1D" w14:textId="77777777" w:rsidTr="00780901">
        <w:trPr>
          <w:trHeight w:val="767"/>
        </w:trPr>
        <w:tc>
          <w:tcPr>
            <w:tcW w:w="2977" w:type="dxa"/>
          </w:tcPr>
          <w:p w14:paraId="31B0C2CC" w14:textId="19840498" w:rsidR="00E75507" w:rsidRPr="00EB2E7B" w:rsidRDefault="000E7F85">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Energia</w:t>
            </w:r>
          </w:p>
        </w:tc>
        <w:tc>
          <w:tcPr>
            <w:tcW w:w="6219" w:type="dxa"/>
            <w:gridSpan w:val="6"/>
          </w:tcPr>
          <w:p w14:paraId="652DE546" w14:textId="0B99F303" w:rsidR="00E75507" w:rsidRPr="00EB2E7B" w:rsidRDefault="00101FE8">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Energia rozumiana jest w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jako energia elektryczna.</w:t>
            </w:r>
          </w:p>
        </w:tc>
      </w:tr>
      <w:tr w:rsidR="00CD7B36" w:rsidRPr="00EB2E7B" w14:paraId="739FFBA7" w14:textId="77777777" w:rsidTr="00780901">
        <w:trPr>
          <w:trHeight w:val="1772"/>
        </w:trPr>
        <w:tc>
          <w:tcPr>
            <w:tcW w:w="2977" w:type="dxa"/>
          </w:tcPr>
          <w:p w14:paraId="262636D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Energia bilansująca</w:t>
            </w:r>
          </w:p>
        </w:tc>
        <w:tc>
          <w:tcPr>
            <w:tcW w:w="6219" w:type="dxa"/>
            <w:gridSpan w:val="6"/>
          </w:tcPr>
          <w:p w14:paraId="23118EC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Energia bilansująca w rozumieniu art. 2 pkt 4 EB GL.</w:t>
            </w:r>
          </w:p>
        </w:tc>
      </w:tr>
      <w:tr w:rsidR="00CD7B36" w:rsidRPr="00EB2E7B" w14:paraId="04178C0F" w14:textId="77777777" w:rsidTr="00780901">
        <w:trPr>
          <w:trHeight w:val="1772"/>
        </w:trPr>
        <w:tc>
          <w:tcPr>
            <w:tcW w:w="2977" w:type="dxa"/>
          </w:tcPr>
          <w:p w14:paraId="5B8623D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Farma fotowoltaiczna</w:t>
            </w:r>
          </w:p>
        </w:tc>
        <w:tc>
          <w:tcPr>
            <w:tcW w:w="6219" w:type="dxa"/>
            <w:gridSpan w:val="6"/>
          </w:tcPr>
          <w:p w14:paraId="4418BD0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Moduł parku energii wykorzystujący do wytwarzania energii elektrycznej energię promieniowania . słonecznego, przyłączony do sieci w jednym miejscu przyłączenia.</w:t>
            </w:r>
          </w:p>
        </w:tc>
      </w:tr>
      <w:tr w:rsidR="00CD7B36" w:rsidRPr="00EB2E7B" w14:paraId="49BA4ABD" w14:textId="77777777" w:rsidTr="00780901">
        <w:trPr>
          <w:trHeight w:val="950"/>
        </w:trPr>
        <w:tc>
          <w:tcPr>
            <w:tcW w:w="2977" w:type="dxa"/>
          </w:tcPr>
          <w:p w14:paraId="1664D3E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Farma wiatrowa </w:t>
            </w:r>
          </w:p>
        </w:tc>
        <w:tc>
          <w:tcPr>
            <w:tcW w:w="6219" w:type="dxa"/>
            <w:gridSpan w:val="6"/>
          </w:tcPr>
          <w:p w14:paraId="3520E33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parku energii wykorzystujący do wytwarzania energii elektrycznej energię wiatru, przyłączony do sieci w jednym miejscu przyłączenia. </w:t>
            </w:r>
          </w:p>
        </w:tc>
      </w:tr>
      <w:tr w:rsidR="00CD7B36" w:rsidRPr="00EB2E7B" w14:paraId="1D18D23E" w14:textId="77777777" w:rsidTr="00780901">
        <w:trPr>
          <w:trHeight w:val="950"/>
        </w:trPr>
        <w:tc>
          <w:tcPr>
            <w:tcW w:w="2977" w:type="dxa"/>
          </w:tcPr>
          <w:p w14:paraId="0AD21B9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Fizyczne miejsce dostarczania energii rynku bilansującego</w:t>
            </w:r>
          </w:p>
        </w:tc>
        <w:tc>
          <w:tcPr>
            <w:tcW w:w="6219" w:type="dxa"/>
            <w:gridSpan w:val="6"/>
          </w:tcPr>
          <w:p w14:paraId="397A1F8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Miejsce dostarczania energii rynku bilansującego, w którym jest realizowana fizyczna dostawa energii elektrycznej</w:t>
            </w:r>
          </w:p>
        </w:tc>
      </w:tr>
      <w:tr w:rsidR="00CD7B36" w:rsidRPr="00EB2E7B" w14:paraId="7D611E21" w14:textId="77777777" w:rsidTr="00780901">
        <w:trPr>
          <w:trHeight w:val="950"/>
        </w:trPr>
        <w:tc>
          <w:tcPr>
            <w:tcW w:w="2977" w:type="dxa"/>
          </w:tcPr>
          <w:p w14:paraId="5C46579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Fizyczny rejestr pomiarowy</w:t>
            </w:r>
          </w:p>
        </w:tc>
        <w:tc>
          <w:tcPr>
            <w:tcW w:w="6219" w:type="dxa"/>
            <w:gridSpan w:val="6"/>
          </w:tcPr>
          <w:p w14:paraId="119ADEC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Rejestr w LZO lub liczniku konwencjonalnym reprezentujący pomiar wielkości fizycznej dotyczącej energii elektrycznej zmierzonej w PP.</w:t>
            </w:r>
          </w:p>
        </w:tc>
      </w:tr>
      <w:tr w:rsidR="00CD7B36" w:rsidRPr="00EB2E7B" w14:paraId="2A62F98C" w14:textId="77777777" w:rsidTr="00780901">
        <w:trPr>
          <w:trHeight w:val="797"/>
        </w:trPr>
        <w:tc>
          <w:tcPr>
            <w:tcW w:w="2977" w:type="dxa"/>
          </w:tcPr>
          <w:p w14:paraId="11CDCDC7" w14:textId="77777777" w:rsidR="00CD7B36" w:rsidRPr="00EB2E7B" w:rsidRDefault="00CD7B36" w:rsidP="00FF1A24">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Generacja wymuszona</w:t>
            </w:r>
          </w:p>
        </w:tc>
        <w:tc>
          <w:tcPr>
            <w:tcW w:w="6219" w:type="dxa"/>
            <w:gridSpan w:val="6"/>
          </w:tcPr>
          <w:p w14:paraId="1F5C137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Wytwarzanie  energii elektrycznej wymuszone jakością i niezawodnością pracy KSE, dotyczy jednostek wytwórczych,  </w:t>
            </w:r>
            <w:r w:rsidRPr="00EB2E7B">
              <w:rPr>
                <w:rFonts w:asciiTheme="minorHAnsi" w:hAnsiTheme="minorHAnsi" w:cstheme="minorHAnsi"/>
                <w:sz w:val="20"/>
                <w:szCs w:val="20"/>
              </w:rPr>
              <w:br/>
              <w:t xml:space="preserve">w których generacja jest wymuszona technicznymi ograniczeniami działania systemu elektroenergetycznego lub koniecznością zapewnienia odpowiedniej jego niezawodności. </w:t>
            </w:r>
          </w:p>
        </w:tc>
      </w:tr>
      <w:tr w:rsidR="00CD7B36" w:rsidRPr="00EB2E7B" w14:paraId="1678C260" w14:textId="77777777" w:rsidTr="00780901">
        <w:trPr>
          <w:trHeight w:val="797"/>
        </w:trPr>
        <w:tc>
          <w:tcPr>
            <w:tcW w:w="2977" w:type="dxa"/>
          </w:tcPr>
          <w:p w14:paraId="320C3060" w14:textId="77777777" w:rsidR="00CD7B36" w:rsidRPr="00EB2E7B" w:rsidRDefault="00CD7B36" w:rsidP="00FF1A24">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Generacja zdeterminowana</w:t>
            </w:r>
          </w:p>
        </w:tc>
        <w:tc>
          <w:tcPr>
            <w:tcW w:w="6219" w:type="dxa"/>
            <w:gridSpan w:val="6"/>
          </w:tcPr>
          <w:p w14:paraId="18A8956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Wytwarzanie energii elektrycznej w źródłach odnawialnych oraz wytwarzanie energii elektrycznej w skojarzeniu z wytwarzaniem ciepła, objęte obowiązkiem zakupu zgodnie z rozporządzeniem Ministra Gospodarki, lub też wytwarzanie energii elektrycznej objętej długoterminowymi umowami sprzedaży energii elektrycznej.</w:t>
            </w:r>
          </w:p>
        </w:tc>
      </w:tr>
      <w:tr w:rsidR="00CD7B36" w:rsidRPr="00EB2E7B" w14:paraId="2C814D58" w14:textId="77777777" w:rsidTr="00780901">
        <w:trPr>
          <w:trHeight w:val="1394"/>
        </w:trPr>
        <w:tc>
          <w:tcPr>
            <w:tcW w:w="2977" w:type="dxa"/>
          </w:tcPr>
          <w:p w14:paraId="31C59F9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Generalna umowa dystrybucji </w:t>
            </w:r>
          </w:p>
        </w:tc>
        <w:tc>
          <w:tcPr>
            <w:tcW w:w="6219" w:type="dxa"/>
            <w:gridSpan w:val="6"/>
          </w:tcPr>
          <w:p w14:paraId="0587241E" w14:textId="6FFA136F"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Umowa o świadczenie usług dystrybucji energii elektrycznej</w:t>
            </w:r>
            <w:r w:rsidR="00F20624" w:rsidRPr="00EB2E7B">
              <w:rPr>
                <w:rFonts w:asciiTheme="minorHAnsi" w:hAnsiTheme="minorHAnsi" w:cstheme="minorHAnsi"/>
                <w:sz w:val="20"/>
                <w:szCs w:val="20"/>
              </w:rPr>
              <w:t xml:space="preserve"> przez</w:t>
            </w:r>
            <w:r w:rsidRPr="00EB2E7B">
              <w:rPr>
                <w:rFonts w:asciiTheme="minorHAnsi" w:hAnsiTheme="minorHAnsi" w:cstheme="minorHAnsi"/>
                <w:sz w:val="20"/>
                <w:szCs w:val="20"/>
              </w:rPr>
              <w:t xml:space="preserve"> OSD </w:t>
            </w:r>
            <w:r w:rsidR="00C97673" w:rsidRPr="00EB2E7B">
              <w:rPr>
                <w:rFonts w:asciiTheme="minorHAnsi" w:hAnsiTheme="minorHAnsi" w:cstheme="minorHAnsi"/>
                <w:sz w:val="20"/>
                <w:szCs w:val="20"/>
              </w:rPr>
              <w:t>na rzecz</w:t>
            </w:r>
            <w:r w:rsidRPr="00EB2E7B">
              <w:rPr>
                <w:rFonts w:asciiTheme="minorHAnsi" w:hAnsiTheme="minorHAnsi" w:cstheme="minorHAnsi"/>
                <w:sz w:val="20"/>
                <w:szCs w:val="20"/>
              </w:rPr>
              <w:t xml:space="preserve"> sprzedawcy</w:t>
            </w:r>
            <w:r w:rsidR="00C34D1A" w:rsidRPr="00EB2E7B">
              <w:rPr>
                <w:rFonts w:asciiTheme="minorHAnsi" w:hAnsiTheme="minorHAnsi" w:cstheme="minorHAnsi"/>
                <w:sz w:val="20"/>
                <w:szCs w:val="20"/>
              </w:rPr>
              <w:t>,</w:t>
            </w:r>
            <w:r w:rsidR="00C97673" w:rsidRPr="00EB2E7B">
              <w:rPr>
                <w:rFonts w:asciiTheme="minorHAnsi" w:hAnsiTheme="minorHAnsi" w:cstheme="minorHAnsi"/>
                <w:sz w:val="20"/>
                <w:szCs w:val="20"/>
              </w:rPr>
              <w:t xml:space="preserve"> w celu umożliwienia realizacj</w:t>
            </w:r>
            <w:r w:rsidR="00C34D1A" w:rsidRPr="00EB2E7B">
              <w:rPr>
                <w:rFonts w:asciiTheme="minorHAnsi" w:hAnsiTheme="minorHAnsi" w:cstheme="minorHAnsi"/>
                <w:sz w:val="20"/>
                <w:szCs w:val="20"/>
              </w:rPr>
              <w:t>i</w:t>
            </w:r>
            <w:r w:rsidR="00C97673" w:rsidRPr="00EB2E7B">
              <w:rPr>
                <w:rFonts w:asciiTheme="minorHAnsi" w:hAnsiTheme="minorHAnsi" w:cstheme="minorHAnsi"/>
                <w:sz w:val="20"/>
                <w:szCs w:val="20"/>
              </w:rPr>
              <w:t xml:space="preserve"> przez sprzedaw</w:t>
            </w:r>
            <w:r w:rsidR="00615C27" w:rsidRPr="00EB2E7B">
              <w:rPr>
                <w:rFonts w:asciiTheme="minorHAnsi" w:hAnsiTheme="minorHAnsi" w:cstheme="minorHAnsi"/>
                <w:sz w:val="20"/>
                <w:szCs w:val="20"/>
              </w:rPr>
              <w:t>c</w:t>
            </w:r>
            <w:r w:rsidR="00C97673" w:rsidRPr="00EB2E7B">
              <w:rPr>
                <w:rFonts w:asciiTheme="minorHAnsi" w:hAnsiTheme="minorHAnsi" w:cstheme="minorHAnsi"/>
                <w:sz w:val="20"/>
                <w:szCs w:val="20"/>
              </w:rPr>
              <w:t xml:space="preserve">ę umów sprzedaży </w:t>
            </w:r>
            <w:r w:rsidR="00576E2F" w:rsidRPr="00EB2E7B">
              <w:rPr>
                <w:rFonts w:asciiTheme="minorHAnsi" w:hAnsiTheme="minorHAnsi" w:cstheme="minorHAnsi"/>
                <w:sz w:val="20"/>
                <w:szCs w:val="20"/>
              </w:rPr>
              <w:t>energii elektrycznej z URD</w:t>
            </w:r>
            <w:r w:rsidR="00C34D1A" w:rsidRPr="00EB2E7B">
              <w:rPr>
                <w:rFonts w:asciiTheme="minorHAnsi" w:hAnsiTheme="minorHAnsi" w:cstheme="minorHAnsi"/>
                <w:sz w:val="20"/>
                <w:szCs w:val="20"/>
                <w:vertAlign w:val="subscript"/>
              </w:rPr>
              <w:t>O</w:t>
            </w:r>
            <w:r w:rsidR="00BF332D" w:rsidRPr="00EB2E7B">
              <w:rPr>
                <w:rFonts w:asciiTheme="minorHAnsi" w:hAnsiTheme="minorHAnsi" w:cstheme="minorHAnsi"/>
                <w:sz w:val="20"/>
                <w:szCs w:val="20"/>
                <w:vertAlign w:val="subscript"/>
              </w:rPr>
              <w:t xml:space="preserve"> </w:t>
            </w:r>
            <w:r w:rsidR="00BF332D" w:rsidRPr="00EB2E7B">
              <w:rPr>
                <w:rFonts w:asciiTheme="minorHAnsi" w:hAnsiTheme="minorHAnsi" w:cstheme="minorHAnsi"/>
                <w:sz w:val="20"/>
                <w:szCs w:val="20"/>
              </w:rPr>
              <w:t>oraz umów kompleksowych z URD</w:t>
            </w:r>
            <w:r w:rsidR="00BF332D" w:rsidRPr="00EB2E7B">
              <w:rPr>
                <w:rFonts w:asciiTheme="minorHAnsi" w:hAnsiTheme="minorHAnsi" w:cstheme="minorHAnsi"/>
                <w:sz w:val="20"/>
                <w:szCs w:val="20"/>
                <w:vertAlign w:val="subscript"/>
              </w:rPr>
              <w:t>O</w:t>
            </w:r>
            <w:r w:rsidR="00576E2F" w:rsidRPr="00EB2E7B">
              <w:rPr>
                <w:rFonts w:asciiTheme="minorHAnsi" w:hAnsiTheme="minorHAnsi" w:cstheme="minorHAnsi"/>
                <w:sz w:val="20"/>
                <w:szCs w:val="20"/>
              </w:rPr>
              <w:t xml:space="preserve"> </w:t>
            </w:r>
            <w:r w:rsidR="00BF332D" w:rsidRPr="00EB2E7B">
              <w:rPr>
                <w:rFonts w:asciiTheme="minorHAnsi" w:hAnsiTheme="minorHAnsi" w:cstheme="minorHAnsi"/>
                <w:sz w:val="20"/>
                <w:szCs w:val="20"/>
              </w:rPr>
              <w:t>niebędącymi</w:t>
            </w:r>
            <w:r w:rsidR="00BB65F9" w:rsidRPr="00EB2E7B">
              <w:rPr>
                <w:rFonts w:asciiTheme="minorHAnsi" w:hAnsiTheme="minorHAnsi" w:cstheme="minorHAnsi"/>
                <w:sz w:val="20"/>
                <w:szCs w:val="20"/>
              </w:rPr>
              <w:t xml:space="preserve"> URD</w:t>
            </w:r>
            <w:r w:rsidR="00BB65F9" w:rsidRPr="00EB2E7B">
              <w:rPr>
                <w:rFonts w:asciiTheme="minorHAnsi" w:hAnsiTheme="minorHAnsi" w:cstheme="minorHAnsi"/>
                <w:sz w:val="20"/>
                <w:szCs w:val="20"/>
                <w:vertAlign w:val="subscript"/>
              </w:rPr>
              <w:t xml:space="preserve">O </w:t>
            </w:r>
            <w:r w:rsidR="00BB65F9" w:rsidRPr="00EB2E7B">
              <w:rPr>
                <w:rFonts w:asciiTheme="minorHAnsi" w:hAnsiTheme="minorHAnsi" w:cstheme="minorHAnsi"/>
                <w:sz w:val="20"/>
                <w:szCs w:val="20"/>
              </w:rPr>
              <w:t>w gospodarstwach domowych,</w:t>
            </w:r>
            <w:r w:rsidR="00BF332D" w:rsidRPr="00EB2E7B">
              <w:rPr>
                <w:rFonts w:asciiTheme="minorHAnsi" w:hAnsiTheme="minorHAnsi" w:cstheme="minorHAnsi"/>
                <w:sz w:val="20"/>
                <w:szCs w:val="20"/>
              </w:rPr>
              <w:t xml:space="preserve"> </w:t>
            </w:r>
            <w:r w:rsidR="00576E2F" w:rsidRPr="00EB2E7B">
              <w:rPr>
                <w:rFonts w:asciiTheme="minorHAnsi" w:hAnsiTheme="minorHAnsi" w:cstheme="minorHAnsi"/>
                <w:sz w:val="20"/>
                <w:szCs w:val="20"/>
              </w:rPr>
              <w:t>przyłączonych</w:t>
            </w:r>
            <w:r w:rsidRPr="00EB2E7B">
              <w:rPr>
                <w:rFonts w:asciiTheme="minorHAnsi" w:hAnsiTheme="minorHAnsi" w:cstheme="minorHAnsi"/>
                <w:sz w:val="20"/>
                <w:szCs w:val="20"/>
              </w:rPr>
              <w:t xml:space="preserve"> do </w:t>
            </w:r>
            <w:r w:rsidR="0001513D" w:rsidRPr="00EB2E7B">
              <w:rPr>
                <w:rFonts w:asciiTheme="minorHAnsi" w:hAnsiTheme="minorHAnsi" w:cstheme="minorHAnsi"/>
                <w:sz w:val="20"/>
                <w:szCs w:val="20"/>
              </w:rPr>
              <w:t>sieci dystrybucyjnej OSD, którzy posiadają z OSD zawartą umowę dystrybucyjną</w:t>
            </w:r>
            <w:r w:rsidRPr="00EB2E7B">
              <w:rPr>
                <w:rFonts w:asciiTheme="minorHAnsi" w:hAnsiTheme="minorHAnsi" w:cstheme="minorHAnsi"/>
                <w:sz w:val="20"/>
                <w:szCs w:val="20"/>
              </w:rPr>
              <w:t xml:space="preserve">. </w:t>
            </w:r>
          </w:p>
        </w:tc>
      </w:tr>
      <w:tr w:rsidR="00CD7B36" w:rsidRPr="00EB2E7B" w14:paraId="473613DE" w14:textId="77777777" w:rsidTr="00780901">
        <w:trPr>
          <w:trHeight w:val="950"/>
        </w:trPr>
        <w:tc>
          <w:tcPr>
            <w:tcW w:w="2977" w:type="dxa"/>
          </w:tcPr>
          <w:p w14:paraId="5FABBDF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Główny punkt odbioru energii </w:t>
            </w:r>
          </w:p>
        </w:tc>
        <w:tc>
          <w:tcPr>
            <w:tcW w:w="6219" w:type="dxa"/>
            <w:gridSpan w:val="6"/>
          </w:tcPr>
          <w:p w14:paraId="5AA3566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Stacja transformatorowa wytwórcy o górnym napięciu wyższym niż 45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służąca wyłącznie do połączenia jednostek wytwórczych z KSE. </w:t>
            </w:r>
          </w:p>
        </w:tc>
      </w:tr>
      <w:tr w:rsidR="00CD7B36" w:rsidRPr="00EB2E7B" w14:paraId="103CF7A2" w14:textId="77777777" w:rsidTr="00780901">
        <w:trPr>
          <w:trHeight w:val="1156"/>
        </w:trPr>
        <w:tc>
          <w:tcPr>
            <w:tcW w:w="2977" w:type="dxa"/>
          </w:tcPr>
          <w:p w14:paraId="00A507D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Grafik obciążeń </w:t>
            </w:r>
          </w:p>
        </w:tc>
        <w:tc>
          <w:tcPr>
            <w:tcW w:w="6219" w:type="dxa"/>
            <w:gridSpan w:val="6"/>
          </w:tcPr>
          <w:p w14:paraId="56297A1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Zbiór danych określających oddzielnie dla poszczególnych okresów przyjętych do technicznego bilansowania systemu, zawierający ilości energii elektrycznej planowane do wprowadzenia do sieci lub do poboru z sieci. </w:t>
            </w:r>
          </w:p>
        </w:tc>
      </w:tr>
      <w:tr w:rsidR="00CD7B36" w:rsidRPr="00EB2E7B" w14:paraId="69C9BCED" w14:textId="77777777" w:rsidTr="00780901">
        <w:trPr>
          <w:trHeight w:val="6705"/>
        </w:trPr>
        <w:tc>
          <w:tcPr>
            <w:tcW w:w="2977" w:type="dxa"/>
          </w:tcPr>
          <w:p w14:paraId="0DF4C0C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Grupy przyłączeniowe </w:t>
            </w:r>
          </w:p>
        </w:tc>
        <w:tc>
          <w:tcPr>
            <w:tcW w:w="6219" w:type="dxa"/>
            <w:gridSpan w:val="6"/>
          </w:tcPr>
          <w:p w14:paraId="0194F56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Grupy podmiotów, których urządzenia, instalacje i sieci są przyłączane do sieci, podzielonych w następujący sposób:</w:t>
            </w:r>
          </w:p>
          <w:p w14:paraId="4A97391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a) grupa przyłączeniowa I – podmioty, których urządzenia, instalacje lub sieci są przyłączane bezpośrednio do sieci o napięciu znamionowym wyższym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2676554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b) grupa przyłączeniowa II -podmioty, których urządzenia, instalacje lub sieci są przyłączane bezpośrednio do sieci o napięciu znamionowym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24B1E73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c) grupa przyłączeniowa III – podmioty, których urządzenia, instalacje lub sieci są przyłączane bezpośrednio do sieci o napięciu znamionowym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ale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57FF4CA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 grupa przyłączeniowa IV – podmioty, których urządzenia, instalacje lub sieci są przyłączane bezpośrednio do sieci o napięciu znamionowym równym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niższym oraz o mocy przyłączeniowej większej niż 40 kW,</w:t>
            </w:r>
          </w:p>
          <w:p w14:paraId="782D1E5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e) grupa przyłączeniowa V – podmioty, których urządzenia, instalacje lub sieci są przyłączane bezpośrednio do sieci o napięciu znamionowym równym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niższym oraz o mocy przyłączeniowej nie większej niż 40 kW,</w:t>
            </w:r>
          </w:p>
          <w:p w14:paraId="75F2418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f) grupa przyłączeniowa VI – podmioty, których urządzenia, instalacje lub sieci są przyłączane do sieci przez tymczasowe przyłącze, które będzie, na zasadach określonych w umowie o przyłączenie do sieci, zastąpione przyłączem docelowym, lub podmioty, których urządzenia, instalacje lub sieci są przyłączane do sieci na czas określony, ale nie dłuższy niż rok.</w:t>
            </w:r>
          </w:p>
        </w:tc>
      </w:tr>
      <w:tr w:rsidR="00CD7B36" w:rsidRPr="00EB2E7B" w14:paraId="400A41B7" w14:textId="77777777" w:rsidTr="00780901">
        <w:trPr>
          <w:trHeight w:val="3077"/>
        </w:trPr>
        <w:tc>
          <w:tcPr>
            <w:tcW w:w="2977" w:type="dxa"/>
          </w:tcPr>
          <w:p w14:paraId="7B61AFE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Instalacja odbiorcza</w:t>
            </w:r>
          </w:p>
        </w:tc>
        <w:tc>
          <w:tcPr>
            <w:tcW w:w="6219" w:type="dxa"/>
            <w:gridSpan w:val="6"/>
          </w:tcPr>
          <w:p w14:paraId="6DA7238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Instalacja odbiorcza w rozumieniu art. 2 pkt 1 NC DC.</w:t>
            </w:r>
          </w:p>
        </w:tc>
      </w:tr>
      <w:tr w:rsidR="00CD7B36" w:rsidRPr="00EB2E7B" w14:paraId="6DE0B767" w14:textId="77777777" w:rsidTr="00780901">
        <w:trPr>
          <w:trHeight w:val="2992"/>
        </w:trPr>
        <w:tc>
          <w:tcPr>
            <w:tcW w:w="2977" w:type="dxa"/>
          </w:tcPr>
          <w:p w14:paraId="6487DD5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Instalacja odnawialnego źródła energii</w:t>
            </w:r>
          </w:p>
        </w:tc>
        <w:tc>
          <w:tcPr>
            <w:tcW w:w="6219" w:type="dxa"/>
            <w:gridSpan w:val="6"/>
          </w:tcPr>
          <w:p w14:paraId="4B429CC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Instalacja stanowiąca wyodrębniony zespół: </w:t>
            </w:r>
          </w:p>
          <w:p w14:paraId="55867B01" w14:textId="4A65A01B" w:rsidR="00CD7B36" w:rsidRPr="00EB2E7B" w:rsidRDefault="00CD7B36" w:rsidP="00F917F5">
            <w:pPr>
              <w:pStyle w:val="Akapitzlist"/>
              <w:numPr>
                <w:ilvl w:val="7"/>
                <w:numId w:val="396"/>
              </w:numPr>
              <w:ind w:left="574" w:hanging="425"/>
              <w:rPr>
                <w:rFonts w:asciiTheme="minorHAnsi" w:hAnsiTheme="minorHAnsi" w:cstheme="minorHAnsi"/>
                <w:sz w:val="20"/>
                <w:szCs w:val="20"/>
              </w:rPr>
            </w:pPr>
            <w:r w:rsidRPr="00EB2E7B">
              <w:rPr>
                <w:rFonts w:asciiTheme="minorHAnsi" w:hAnsiTheme="minorHAnsi" w:cstheme="minorHAnsi"/>
                <w:sz w:val="20"/>
                <w:szCs w:val="20"/>
              </w:rPr>
              <w:t>urządzeń służących do wytwarzania energii i</w:t>
            </w:r>
            <w:r w:rsidR="00F917F5" w:rsidRPr="00EB2E7B">
              <w:rPr>
                <w:rFonts w:asciiTheme="minorHAnsi" w:hAnsiTheme="minorHAnsi" w:cstheme="minorHAnsi"/>
                <w:sz w:val="20"/>
                <w:szCs w:val="20"/>
              </w:rPr>
              <w:t> </w:t>
            </w:r>
            <w:r w:rsidRPr="00EB2E7B">
              <w:rPr>
                <w:rFonts w:asciiTheme="minorHAnsi" w:hAnsiTheme="minorHAnsi" w:cstheme="minorHAnsi"/>
                <w:sz w:val="20"/>
                <w:szCs w:val="20"/>
              </w:rPr>
              <w:t xml:space="preserve">wyprowadzania mocy, w których energia elektryczna lub ciepło są wytwarzane z odnawialnych źródeł energii, lub </w:t>
            </w:r>
          </w:p>
          <w:p w14:paraId="1F856FF9" w14:textId="35FB9A8F" w:rsidR="00A2430F" w:rsidRPr="00EB2E7B" w:rsidRDefault="00F917F5" w:rsidP="00252AFD">
            <w:pPr>
              <w:pStyle w:val="Akapitzlist"/>
              <w:numPr>
                <w:ilvl w:val="7"/>
                <w:numId w:val="396"/>
              </w:numPr>
              <w:ind w:left="574" w:hanging="425"/>
              <w:rPr>
                <w:rFonts w:asciiTheme="minorHAnsi" w:hAnsiTheme="minorHAnsi" w:cstheme="minorHAnsi"/>
                <w:sz w:val="20"/>
                <w:szCs w:val="20"/>
              </w:rPr>
            </w:pPr>
            <w:r w:rsidRPr="00EB2E7B">
              <w:rPr>
                <w:rFonts w:asciiTheme="minorHAnsi" w:hAnsiTheme="minorHAnsi" w:cstheme="minorHAnsi"/>
                <w:sz w:val="20"/>
                <w:szCs w:val="20"/>
              </w:rPr>
              <w:t>obiektów budowlanych i urządzeń stanowiących całość techniczno-użytkową służący do wytwarzania biogazu rolniczego,</w:t>
            </w:r>
          </w:p>
          <w:p w14:paraId="10B7952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 a także połączony z tym zespołem magazyn energii elektrycznej, w tym magazyn biogazu rolniczego. </w:t>
            </w:r>
          </w:p>
        </w:tc>
      </w:tr>
      <w:tr w:rsidR="00CD7B36" w:rsidRPr="00EB2E7B" w14:paraId="27CAFB0A" w14:textId="77777777" w:rsidTr="00780901">
        <w:trPr>
          <w:trHeight w:val="2992"/>
        </w:trPr>
        <w:tc>
          <w:tcPr>
            <w:tcW w:w="2977" w:type="dxa"/>
          </w:tcPr>
          <w:p w14:paraId="60E8CEE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Jednostka bilansowa</w:t>
            </w:r>
          </w:p>
        </w:tc>
        <w:tc>
          <w:tcPr>
            <w:tcW w:w="6219" w:type="dxa"/>
            <w:gridSpan w:val="6"/>
          </w:tcPr>
          <w:p w14:paraId="5E56175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Zbiór rzeczywistych lub wirtualnych miejsc dostarczania energii elektrycznej utworzony na potrzeby rozliczania niezbilansowania.</w:t>
            </w:r>
          </w:p>
        </w:tc>
      </w:tr>
      <w:tr w:rsidR="00CD7B36" w:rsidRPr="00EB2E7B" w14:paraId="5B301230" w14:textId="77777777" w:rsidTr="00780901">
        <w:trPr>
          <w:trHeight w:val="401"/>
        </w:trPr>
        <w:tc>
          <w:tcPr>
            <w:tcW w:w="2977" w:type="dxa"/>
          </w:tcPr>
          <w:p w14:paraId="310D879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Jednostka grafikowa </w:t>
            </w:r>
          </w:p>
        </w:tc>
        <w:tc>
          <w:tcPr>
            <w:tcW w:w="6219" w:type="dxa"/>
            <w:gridSpan w:val="6"/>
          </w:tcPr>
          <w:p w14:paraId="6F16DD2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Zbiór rzeczywistych miejsc dostarczania energii elektrycznej, określonych dla zasobów użytkowników systemu, za pomocą których dostawca usług bilansujących świadczy usługi bilansujące. </w:t>
            </w:r>
          </w:p>
        </w:tc>
      </w:tr>
      <w:tr w:rsidR="00CD7B36" w:rsidRPr="00EB2E7B" w14:paraId="3BD5700A" w14:textId="77777777" w:rsidTr="00780901">
        <w:trPr>
          <w:trHeight w:val="401"/>
        </w:trPr>
        <w:tc>
          <w:tcPr>
            <w:tcW w:w="2977" w:type="dxa"/>
          </w:tcPr>
          <w:p w14:paraId="5E36AB9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Jednostka odbiorcza</w:t>
            </w:r>
          </w:p>
        </w:tc>
        <w:tc>
          <w:tcPr>
            <w:tcW w:w="6219" w:type="dxa"/>
            <w:gridSpan w:val="6"/>
          </w:tcPr>
          <w:p w14:paraId="72622FE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Jednostka odbiorcza w rozumieniu art. 2 pkt 4 NC DC.</w:t>
            </w:r>
          </w:p>
        </w:tc>
      </w:tr>
      <w:tr w:rsidR="00CD7B36" w:rsidRPr="00EB2E7B" w14:paraId="6D560DAC" w14:textId="77777777" w:rsidTr="00780901">
        <w:trPr>
          <w:trHeight w:val="809"/>
        </w:trPr>
        <w:tc>
          <w:tcPr>
            <w:tcW w:w="2977" w:type="dxa"/>
          </w:tcPr>
          <w:p w14:paraId="0637FA7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Jednostka wytwórcza </w:t>
            </w:r>
          </w:p>
        </w:tc>
        <w:tc>
          <w:tcPr>
            <w:tcW w:w="6219" w:type="dxa"/>
            <w:gridSpan w:val="6"/>
          </w:tcPr>
          <w:p w14:paraId="2C91527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wytwarzania energii, tj. wyodrębniony zespół urządzeń elektrowni, służący do wytwarzania energii elektrycznej  i wyprowadzania mocy. Jednostka wytwórcza obejmuje także transformatory oraz linie służące do wyprowadzenia mocy, wraz z łącznikami w miejscu przyłączenia jednostki do sieci.  </w:t>
            </w:r>
          </w:p>
          <w:p w14:paraId="5E1697B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 przypadku, gdy ze względu na ścisłe powiązanie technologiczne w procesie wytwarzania energii, produkcja energii z jednego źródła jest uzależniona od pracy innego, takie źródła wytwórcze należy traktować jako jedną jednostkę wytwórczą.  </w:t>
            </w:r>
          </w:p>
          <w:p w14:paraId="23C84A6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Rozporządzenie Komisji (UE) 2016/631 z dnia 14 kwietnia 2016 r. ustanawiające kodeks sieci dotyczący wymogów  w zakresie przyłączenia jednostek wytwórczych do sieci (Dz. Urz. UE L 112/1 z 27.4.2016 r.) - NC </w:t>
            </w:r>
            <w:proofErr w:type="spellStart"/>
            <w:r w:rsidRPr="00EB2E7B">
              <w:rPr>
                <w:rFonts w:asciiTheme="minorHAnsi" w:hAnsiTheme="minorHAnsi" w:cstheme="minorHAnsi"/>
                <w:sz w:val="20"/>
                <w:szCs w:val="20"/>
              </w:rPr>
              <w:t>RfG</w:t>
            </w:r>
            <w:proofErr w:type="spellEnd"/>
            <w:r w:rsidRPr="00EB2E7B">
              <w:rPr>
                <w:rFonts w:asciiTheme="minorHAnsi" w:hAnsiTheme="minorHAnsi" w:cstheme="minorHAnsi"/>
                <w:sz w:val="20"/>
                <w:szCs w:val="20"/>
              </w:rPr>
              <w:t xml:space="preserve">, w art. 5 ust. 2 określa cztery kategorie (typy) modułów wytwarzania energii, tj. typ A, B, C i D oraz wartości graniczne progów mocy dla tych modułów. Na podstawie art. 5 ust. 3 powołanego rozporządzenia zostały opracowane przez OSP i zatwierdzone przez Prezesa URE dla obszaru Rzeczypospolitej Polskiej progi mocy maksymalnych dla ww. modułów wytwarzania energii typu B, C i D.  </w:t>
            </w:r>
          </w:p>
          <w:p w14:paraId="55DB77A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Podział modułów wytwarzania energii:</w:t>
            </w:r>
          </w:p>
          <w:p w14:paraId="5F8B50B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wytwarzania energii typu A –moduł wytwarzania energii przyłączony do sieci o napięciu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oraz mocy maksymalnej nie mniejszej niż 0,8 kW  i mniejszej niż 200 kW,  </w:t>
            </w:r>
          </w:p>
          <w:p w14:paraId="7EA5262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wytwarzania energii typu B –moduł wytwarzania energii przyłączony do sieci o napięciu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oraz mocy maksymalnej nie mniejszej niż 200 kW  i mniejszej niż 10 MW,  </w:t>
            </w:r>
          </w:p>
          <w:p w14:paraId="20B632B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wytwarzania energii typu C –moduł wytwarzania energii przyłączony do sieci o napięciu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oraz mocy maksymalnej nie mniejszej niż 10 MW  i mniejszej niż 75 MW,  </w:t>
            </w:r>
          </w:p>
          <w:p w14:paraId="08C449F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moduł wytwarzania energii typu D –moduł wytwarzania energii przyłączony do sieci o napięciu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i mocy maksymalnej nie mniejszej niż 75 MW oraz wszystkie moduły wytwarzania energii, bez względu na ich moc maksymalną, jeśli napięcie w punkcie ich przyłączenia ma wartość co najmniej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tc>
      </w:tr>
      <w:tr w:rsidR="00CD7B36" w:rsidRPr="00EB2E7B" w14:paraId="27BDAC4E" w14:textId="77777777" w:rsidTr="00780901">
        <w:trPr>
          <w:trHeight w:val="809"/>
        </w:trPr>
        <w:tc>
          <w:tcPr>
            <w:tcW w:w="2977" w:type="dxa"/>
          </w:tcPr>
          <w:p w14:paraId="19577F3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Jednostka wytwórcza centralnie dysponowana</w:t>
            </w:r>
          </w:p>
        </w:tc>
        <w:tc>
          <w:tcPr>
            <w:tcW w:w="6219" w:type="dxa"/>
            <w:gridSpan w:val="6"/>
          </w:tcPr>
          <w:p w14:paraId="4CB91576" w14:textId="37BBF670" w:rsidR="00CD7B36" w:rsidRPr="00EB2E7B" w:rsidRDefault="0080425C">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wytwarzania energii </w:t>
            </w:r>
          </w:p>
          <w:p w14:paraId="7379229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a) przyłączony do sieci przesyłowej elektroenergetycznej albo</w:t>
            </w:r>
          </w:p>
          <w:p w14:paraId="0930C2B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b) cieplny kondensacyjny o mocy osiągalnej równej 100 MW lub wyższej przyłączony do koordynowanej sieci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szczytowo-pompowy przyłączony do koordynowanej sieci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albo</w:t>
            </w:r>
          </w:p>
          <w:p w14:paraId="2EAAA17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c) przyłączony do koordynowanej sieci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inny niż określony w lit. b), którym OSP dysponuje na podstawie odrębnych umów zawartych z wytwórcą i OSD, do którego sieci ten moduł wytwarzania energii jest przyłączony,</w:t>
            </w:r>
          </w:p>
          <w:p w14:paraId="630090B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 ile nie został objęty zmianą statusu JWCD zgodnie z § 14 rozporządzenia systemowego.</w:t>
            </w:r>
          </w:p>
        </w:tc>
      </w:tr>
      <w:tr w:rsidR="00CD7B36" w:rsidRPr="00EB2E7B" w14:paraId="7BD48B76" w14:textId="77777777" w:rsidTr="00780901">
        <w:trPr>
          <w:trHeight w:val="809"/>
        </w:trPr>
        <w:tc>
          <w:tcPr>
            <w:tcW w:w="2977" w:type="dxa"/>
          </w:tcPr>
          <w:p w14:paraId="3287F9AA"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Jednostka wytwórcza centralnie koordynowana</w:t>
            </w:r>
          </w:p>
        </w:tc>
        <w:tc>
          <w:tcPr>
            <w:tcW w:w="6219" w:type="dxa"/>
            <w:gridSpan w:val="6"/>
          </w:tcPr>
          <w:p w14:paraId="2581B39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wytwarzania energii o mocy osiągalnej równej 50 MW lub wyższej przyłączony do koordynowanej sieci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niebędący jednostką wytwórczą centralnie dysponowaną.</w:t>
            </w:r>
          </w:p>
        </w:tc>
      </w:tr>
      <w:tr w:rsidR="00CD7B36" w:rsidRPr="00EB2E7B" w14:paraId="6EB5F328" w14:textId="77777777" w:rsidTr="00780901">
        <w:trPr>
          <w:trHeight w:val="809"/>
        </w:trPr>
        <w:tc>
          <w:tcPr>
            <w:tcW w:w="2977" w:type="dxa"/>
          </w:tcPr>
          <w:p w14:paraId="23F7309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Kod EIC</w:t>
            </w:r>
          </w:p>
        </w:tc>
        <w:tc>
          <w:tcPr>
            <w:tcW w:w="6219" w:type="dxa"/>
            <w:gridSpan w:val="6"/>
          </w:tcPr>
          <w:p w14:paraId="5D10F5E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Kod służący do identyfikacji podmiotów na europejskim rynku energii. Kody nadawane są przez Centralne Biuro Kodów EIC (ENTSO-E) i przez Lokalne Biura Kodów EIC w poszczególnych krajach. W Polsce Lokalne Biura Kodów EIC prowadzone są przez Polskie Sieci Elektroenergetyczne S.A. (numer identyfikacyjny 19) oraz Operatora Gazociągów Przesyłowych GAZ-SYSTEM S.A. (numer identyfikacyjny 53).</w:t>
            </w:r>
          </w:p>
        </w:tc>
      </w:tr>
      <w:tr w:rsidR="00CD7B36" w:rsidRPr="00EB2E7B" w14:paraId="357B6DBA" w14:textId="77777777" w:rsidTr="00780901">
        <w:trPr>
          <w:gridAfter w:val="3"/>
          <w:wAfter w:w="65" w:type="dxa"/>
          <w:trHeight w:val="602"/>
        </w:trPr>
        <w:tc>
          <w:tcPr>
            <w:tcW w:w="2977" w:type="dxa"/>
          </w:tcPr>
          <w:p w14:paraId="553E42B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Koordynowana sieć 110kV </w:t>
            </w:r>
          </w:p>
        </w:tc>
        <w:tc>
          <w:tcPr>
            <w:tcW w:w="6154" w:type="dxa"/>
            <w:gridSpan w:val="3"/>
          </w:tcPr>
          <w:p w14:paraId="5093143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Część sieci dystrybucyjnej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w której przepływy energii elektrycznej zależą także od warunków pracy sieci przesyłowej, </w:t>
            </w:r>
          </w:p>
        </w:tc>
      </w:tr>
      <w:tr w:rsidR="00CD7B36" w:rsidRPr="00EB2E7B" w14:paraId="5BA6F729" w14:textId="77777777" w:rsidTr="00780901">
        <w:trPr>
          <w:gridAfter w:val="3"/>
          <w:wAfter w:w="65" w:type="dxa"/>
          <w:trHeight w:val="674"/>
        </w:trPr>
        <w:tc>
          <w:tcPr>
            <w:tcW w:w="2977" w:type="dxa"/>
          </w:tcPr>
          <w:p w14:paraId="5B2D5A0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Krajowy system elektroenergetyczny </w:t>
            </w:r>
          </w:p>
        </w:tc>
        <w:tc>
          <w:tcPr>
            <w:tcW w:w="6154" w:type="dxa"/>
            <w:gridSpan w:val="3"/>
          </w:tcPr>
          <w:p w14:paraId="75E48A9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System elektroenergetyczny na terenie Polski. </w:t>
            </w:r>
          </w:p>
        </w:tc>
      </w:tr>
      <w:tr w:rsidR="00CD7B36" w:rsidRPr="00EB2E7B" w14:paraId="02396E90" w14:textId="77777777" w:rsidTr="00780901">
        <w:trPr>
          <w:gridAfter w:val="3"/>
          <w:wAfter w:w="65" w:type="dxa"/>
          <w:trHeight w:val="674"/>
        </w:trPr>
        <w:tc>
          <w:tcPr>
            <w:tcW w:w="2977" w:type="dxa"/>
          </w:tcPr>
          <w:p w14:paraId="2F64D46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Licznik / Licznik energii elektrycznej</w:t>
            </w:r>
          </w:p>
        </w:tc>
        <w:tc>
          <w:tcPr>
            <w:tcW w:w="6154" w:type="dxa"/>
            <w:gridSpan w:val="3"/>
          </w:tcPr>
          <w:p w14:paraId="4A3584E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Licznik zdalnego odczytu oraz licznik konwencjonalny.</w:t>
            </w:r>
          </w:p>
        </w:tc>
      </w:tr>
      <w:tr w:rsidR="00CD7B36" w:rsidRPr="00EB2E7B" w14:paraId="5DFF19BF" w14:textId="77777777" w:rsidTr="00780901">
        <w:trPr>
          <w:gridAfter w:val="3"/>
          <w:wAfter w:w="65" w:type="dxa"/>
          <w:trHeight w:val="674"/>
        </w:trPr>
        <w:tc>
          <w:tcPr>
            <w:tcW w:w="2977" w:type="dxa"/>
          </w:tcPr>
          <w:p w14:paraId="70534474"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Licznik konwencjonalny</w:t>
            </w:r>
          </w:p>
        </w:tc>
        <w:tc>
          <w:tcPr>
            <w:tcW w:w="6154" w:type="dxa"/>
            <w:gridSpan w:val="3"/>
          </w:tcPr>
          <w:p w14:paraId="4576148C" w14:textId="6576F17A"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Przyrząd pomiarowy w rozumieniu art. 4 pkt 5 ustawy z dnia 11 maja 2001 r. - Prawo o miarach (Dz. U. z 2021 r. poz. 2068</w:t>
            </w:r>
            <w:r w:rsidR="00077BB2" w:rsidRPr="00EB2E7B">
              <w:rPr>
                <w:rFonts w:asciiTheme="minorHAnsi" w:hAnsiTheme="minorHAnsi" w:cstheme="minorHAnsi"/>
                <w:sz w:val="20"/>
                <w:szCs w:val="20"/>
              </w:rPr>
              <w:t xml:space="preserve"> z </w:t>
            </w:r>
            <w:proofErr w:type="spellStart"/>
            <w:r w:rsidR="00077BB2" w:rsidRPr="00EB2E7B">
              <w:rPr>
                <w:rFonts w:asciiTheme="minorHAnsi" w:hAnsiTheme="minorHAnsi" w:cstheme="minorHAnsi"/>
                <w:sz w:val="20"/>
                <w:szCs w:val="20"/>
              </w:rPr>
              <w:t>późn</w:t>
            </w:r>
            <w:proofErr w:type="spellEnd"/>
            <w:r w:rsidR="00077BB2" w:rsidRPr="00EB2E7B">
              <w:rPr>
                <w:rFonts w:asciiTheme="minorHAnsi" w:hAnsiTheme="minorHAnsi" w:cstheme="minorHAnsi"/>
                <w:sz w:val="20"/>
                <w:szCs w:val="20"/>
              </w:rPr>
              <w:t>. zmianami</w:t>
            </w:r>
            <w:r w:rsidRPr="00EB2E7B">
              <w:rPr>
                <w:rFonts w:asciiTheme="minorHAnsi" w:hAnsiTheme="minorHAnsi" w:cstheme="minorHAnsi"/>
                <w:sz w:val="20"/>
                <w:szCs w:val="20"/>
              </w:rPr>
              <w:t>), służący do pomiaru energii elektrycznej i rozliczeń za tę energię, niewyposażony w funkcję komunikacji z systemem zdalnego odczytu.</w:t>
            </w:r>
          </w:p>
        </w:tc>
      </w:tr>
      <w:tr w:rsidR="00CD7B36" w:rsidRPr="00EB2E7B" w14:paraId="6529F1EF" w14:textId="77777777" w:rsidTr="00780901">
        <w:trPr>
          <w:gridAfter w:val="3"/>
          <w:wAfter w:w="65" w:type="dxa"/>
          <w:trHeight w:val="948"/>
        </w:trPr>
        <w:tc>
          <w:tcPr>
            <w:tcW w:w="2977" w:type="dxa"/>
          </w:tcPr>
          <w:p w14:paraId="1E8B9AE4"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Licznik zdalnego odczytu </w:t>
            </w:r>
          </w:p>
        </w:tc>
        <w:tc>
          <w:tcPr>
            <w:tcW w:w="6154" w:type="dxa"/>
            <w:gridSpan w:val="3"/>
          </w:tcPr>
          <w:p w14:paraId="6CC1E2E2" w14:textId="67F4603E"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Przyrząd pomiarowy w rozumieniu art. 4 pkt 5 ustawy z dnia 11 maja 2001 r. - Prawo o miarach (Dz. U. z 2021 r. poz. 2068</w:t>
            </w:r>
            <w:r w:rsidR="0090379A" w:rsidRPr="00EB2E7B">
              <w:rPr>
                <w:rFonts w:asciiTheme="minorHAnsi" w:hAnsiTheme="minorHAnsi" w:cstheme="minorHAnsi"/>
                <w:sz w:val="20"/>
                <w:szCs w:val="20"/>
              </w:rPr>
              <w:t xml:space="preserve"> z </w:t>
            </w:r>
            <w:proofErr w:type="spellStart"/>
            <w:r w:rsidR="0090379A" w:rsidRPr="00EB2E7B">
              <w:rPr>
                <w:rFonts w:asciiTheme="minorHAnsi" w:hAnsiTheme="minorHAnsi" w:cstheme="minorHAnsi"/>
                <w:sz w:val="20"/>
                <w:szCs w:val="20"/>
              </w:rPr>
              <w:t>późn</w:t>
            </w:r>
            <w:proofErr w:type="spellEnd"/>
            <w:r w:rsidR="0090379A" w:rsidRPr="00EB2E7B">
              <w:rPr>
                <w:rFonts w:asciiTheme="minorHAnsi" w:hAnsiTheme="minorHAnsi" w:cstheme="minorHAnsi"/>
                <w:sz w:val="20"/>
                <w:szCs w:val="20"/>
              </w:rPr>
              <w:t>. zmianami</w:t>
            </w:r>
            <w:r w:rsidRPr="00EB2E7B">
              <w:rPr>
                <w:rFonts w:asciiTheme="minorHAnsi" w:hAnsiTheme="minorHAnsi" w:cstheme="minorHAnsi"/>
                <w:sz w:val="20"/>
                <w:szCs w:val="20"/>
              </w:rPr>
              <w:t xml:space="preserve">), służący do pomiaru energii elektrycznej i rozliczeń za tę energię, wyposażony w funkcję komunikacji z systemem zdalnego odczytu. </w:t>
            </w:r>
          </w:p>
        </w:tc>
      </w:tr>
      <w:tr w:rsidR="00CD7B36" w:rsidRPr="00EB2E7B" w14:paraId="2E7C37AC" w14:textId="77777777" w:rsidTr="00780901">
        <w:trPr>
          <w:gridAfter w:val="3"/>
          <w:wAfter w:w="65" w:type="dxa"/>
          <w:trHeight w:val="881"/>
        </w:trPr>
        <w:tc>
          <w:tcPr>
            <w:tcW w:w="2977" w:type="dxa"/>
          </w:tcPr>
          <w:p w14:paraId="1533452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Linia bezpośrednia </w:t>
            </w:r>
          </w:p>
        </w:tc>
        <w:tc>
          <w:tcPr>
            <w:tcW w:w="6154" w:type="dxa"/>
            <w:gridSpan w:val="3"/>
          </w:tcPr>
          <w:p w14:paraId="6AF0AF2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Linia elektroenergetyczna łącząca wydzieloną jednostkę wytwarzania energii elektrycznej bezpośrednio z odbiorcą lub linia elektroenergetyczna łączącą jednostkę wytwarzania energii elektrycznej przedsiębiorstwa energetycznego z instalacjami należącymi do tego przedsiębiorstwa albo instalacjami należącymi do przedsiębiorstw od niego zależnych</w:t>
            </w:r>
          </w:p>
        </w:tc>
      </w:tr>
      <w:tr w:rsidR="00CD7B36" w:rsidRPr="00EB2E7B" w14:paraId="7060CA6F" w14:textId="77777777" w:rsidTr="00780901">
        <w:trPr>
          <w:gridAfter w:val="3"/>
          <w:wAfter w:w="65" w:type="dxa"/>
          <w:trHeight w:val="1709"/>
        </w:trPr>
        <w:tc>
          <w:tcPr>
            <w:tcW w:w="2977" w:type="dxa"/>
          </w:tcPr>
          <w:p w14:paraId="6E70867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Łącze niezależne </w:t>
            </w:r>
          </w:p>
        </w:tc>
        <w:tc>
          <w:tcPr>
            <w:tcW w:w="6154" w:type="dxa"/>
            <w:gridSpan w:val="3"/>
          </w:tcPr>
          <w:p w14:paraId="6DE474C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Łącze przeznaczone wyłącznie dla potrzeb EAZ, służące do realizacji pracy współbieżnej zabezpieczeń lub przesyłania sygnału bezwarunkowego wyłączenia drugiego końca linii. Łącze może być realizowane jako dedykowane włókna światłowodów, w których pozostałe włókna służą realizacji innych funkcji telekomunikacyjnych. </w:t>
            </w:r>
          </w:p>
        </w:tc>
      </w:tr>
      <w:tr w:rsidR="00CD7B36" w:rsidRPr="00EB2E7B" w14:paraId="4253569E" w14:textId="77777777" w:rsidTr="00780901">
        <w:trPr>
          <w:gridAfter w:val="3"/>
          <w:wAfter w:w="65" w:type="dxa"/>
          <w:trHeight w:val="675"/>
        </w:trPr>
        <w:tc>
          <w:tcPr>
            <w:tcW w:w="2977" w:type="dxa"/>
          </w:tcPr>
          <w:p w14:paraId="4C4303E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Magazyn energii elektrycznej </w:t>
            </w:r>
          </w:p>
        </w:tc>
        <w:tc>
          <w:tcPr>
            <w:tcW w:w="6154" w:type="dxa"/>
            <w:gridSpan w:val="3"/>
          </w:tcPr>
          <w:p w14:paraId="41FA81D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Instalacja umożliwiająca magazynowanie energii elektrycznej i wprowadzenie jej do sieci elektroenergetycznej. </w:t>
            </w:r>
          </w:p>
        </w:tc>
      </w:tr>
      <w:tr w:rsidR="00CD7B36" w:rsidRPr="00EB2E7B" w14:paraId="4CEB0A1A" w14:textId="77777777" w:rsidTr="00780901">
        <w:trPr>
          <w:gridAfter w:val="3"/>
          <w:wAfter w:w="65" w:type="dxa"/>
          <w:trHeight w:val="675"/>
        </w:trPr>
        <w:tc>
          <w:tcPr>
            <w:tcW w:w="2977" w:type="dxa"/>
          </w:tcPr>
          <w:p w14:paraId="122EB28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Magazynowanie energii elektrycznej</w:t>
            </w:r>
          </w:p>
        </w:tc>
        <w:tc>
          <w:tcPr>
            <w:tcW w:w="6154" w:type="dxa"/>
            <w:gridSpan w:val="3"/>
          </w:tcPr>
          <w:p w14:paraId="2482E72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Przetworzenie energii elektrycznej pobranej z sieci elektroenergetycznej lub wytworzonej przez jednostkę wytwórczą przyłączoną do sieci elektroenergetycznej i współpracującą z tą siecią do innej postaci energii, przechowanie tej energii, a następnie ponowne jej przetworzenie na energię elektryczną</w:t>
            </w:r>
          </w:p>
        </w:tc>
      </w:tr>
      <w:tr w:rsidR="00CD7B36" w:rsidRPr="00EB2E7B" w14:paraId="641A03F1" w14:textId="77777777" w:rsidTr="00780901">
        <w:trPr>
          <w:gridAfter w:val="3"/>
          <w:wAfter w:w="65" w:type="dxa"/>
          <w:trHeight w:val="683"/>
        </w:trPr>
        <w:tc>
          <w:tcPr>
            <w:tcW w:w="2977" w:type="dxa"/>
          </w:tcPr>
          <w:p w14:paraId="6FEF6B1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Maksymalna moc dyspozycyjna netto</w:t>
            </w:r>
          </w:p>
        </w:tc>
        <w:tc>
          <w:tcPr>
            <w:tcW w:w="6154" w:type="dxa"/>
            <w:gridSpan w:val="3"/>
          </w:tcPr>
          <w:p w14:paraId="4EEC8E40" w14:textId="72DB9D45"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Moc osiągalna</w:t>
            </w:r>
            <w:r w:rsidR="008D760F" w:rsidRPr="00EB2E7B">
              <w:rPr>
                <w:rFonts w:asciiTheme="minorHAnsi" w:hAnsiTheme="minorHAnsi" w:cstheme="minorHAnsi"/>
                <w:sz w:val="20"/>
                <w:szCs w:val="20"/>
              </w:rPr>
              <w:t xml:space="preserve"> netto</w:t>
            </w:r>
            <w:r w:rsidRPr="00EB2E7B">
              <w:rPr>
                <w:rFonts w:asciiTheme="minorHAnsi" w:hAnsiTheme="minorHAnsi" w:cstheme="minorHAnsi"/>
                <w:sz w:val="20"/>
                <w:szCs w:val="20"/>
              </w:rPr>
              <w:t xml:space="preserve"> pomniejszona o planowane lub nieplanowane ubytki mocy</w:t>
            </w:r>
          </w:p>
        </w:tc>
      </w:tr>
      <w:tr w:rsidR="00CD7B36" w:rsidRPr="00EB2E7B" w14:paraId="01A92E8A" w14:textId="77777777" w:rsidTr="00780901">
        <w:trPr>
          <w:gridAfter w:val="3"/>
          <w:wAfter w:w="65" w:type="dxa"/>
          <w:trHeight w:val="2047"/>
        </w:trPr>
        <w:tc>
          <w:tcPr>
            <w:tcW w:w="2977" w:type="dxa"/>
          </w:tcPr>
          <w:p w14:paraId="5516147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Mała instalacja </w:t>
            </w:r>
          </w:p>
        </w:tc>
        <w:tc>
          <w:tcPr>
            <w:tcW w:w="6154" w:type="dxa"/>
            <w:gridSpan w:val="3"/>
          </w:tcPr>
          <w:p w14:paraId="4B1BB98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Instalacja odnawialnego źródła energii o łącznej mocy zainstalowanej elektrycznej większej niż 50 kW i nie większej niż 1 MW, przyłączoną do sieci elektroenergetycznej o napięciu znamionowym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albo o mocy osiągalnej cieplnej w skojarzeniu większej niż 150 kW i mniejszej niż 3 MW, w której łączna moc zainstalowana elektryczna jest większa niż 50 kW i nie większa niż 1 MW. </w:t>
            </w:r>
          </w:p>
        </w:tc>
      </w:tr>
      <w:tr w:rsidR="00B54D26" w:rsidRPr="00EB2E7B" w14:paraId="70B16882" w14:textId="77777777" w:rsidTr="00780901">
        <w:trPr>
          <w:gridAfter w:val="3"/>
          <w:wAfter w:w="65" w:type="dxa"/>
          <w:trHeight w:val="1779"/>
        </w:trPr>
        <w:tc>
          <w:tcPr>
            <w:tcW w:w="2977" w:type="dxa"/>
          </w:tcPr>
          <w:p w14:paraId="1DA5B8BB" w14:textId="1E58832F" w:rsidR="00B54D26" w:rsidRPr="00EB2E7B" w:rsidRDefault="00B54D26">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Mechanizm bilansujący</w:t>
            </w:r>
          </w:p>
        </w:tc>
        <w:tc>
          <w:tcPr>
            <w:tcW w:w="6154" w:type="dxa"/>
            <w:gridSpan w:val="3"/>
          </w:tcPr>
          <w:p w14:paraId="79ACAE8E" w14:textId="11FA1F66" w:rsidR="00B54D26" w:rsidRPr="00EB2E7B" w:rsidRDefault="003A3B0B">
            <w:pPr>
              <w:ind w:left="70" w:firstLine="0"/>
              <w:rPr>
                <w:rFonts w:asciiTheme="minorHAnsi" w:hAnsiTheme="minorHAnsi" w:cstheme="minorHAnsi"/>
                <w:sz w:val="20"/>
                <w:szCs w:val="20"/>
              </w:rPr>
            </w:pPr>
            <w:r w:rsidRPr="00EB2E7B">
              <w:rPr>
                <w:rFonts w:asciiTheme="minorHAnsi" w:hAnsiTheme="minorHAnsi" w:cstheme="minorHAnsi"/>
                <w:sz w:val="20"/>
                <w:szCs w:val="20"/>
              </w:rPr>
              <w:t>Mechanizm bieżącego bilansowania zapotrzebowania na energię elektryczną i wytwarzania tej energii w systemie elektroenergetycznym.</w:t>
            </w:r>
          </w:p>
        </w:tc>
      </w:tr>
      <w:tr w:rsidR="00CD7B36" w:rsidRPr="00EB2E7B" w14:paraId="69ABEE77" w14:textId="77777777" w:rsidTr="00780901">
        <w:trPr>
          <w:gridAfter w:val="3"/>
          <w:wAfter w:w="65" w:type="dxa"/>
          <w:trHeight w:val="1779"/>
        </w:trPr>
        <w:tc>
          <w:tcPr>
            <w:tcW w:w="2977" w:type="dxa"/>
          </w:tcPr>
          <w:p w14:paraId="526B03FA"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Miejsce dostarczania </w:t>
            </w:r>
          </w:p>
        </w:tc>
        <w:tc>
          <w:tcPr>
            <w:tcW w:w="6154" w:type="dxa"/>
            <w:gridSpan w:val="3"/>
          </w:tcPr>
          <w:p w14:paraId="6E846F3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Miejsce, do którego przedsiębiorstwo energetyczne dostarcza energię elektryczną, określone w umowie o przyłączenie do sieci albo w umowie o świadczenie usług dystrybucji energii elektrycznej, albo w umowie sprzedaży energii elektrycznej, albo w umowie kompleksowej, będące jednocześnie miejscem jej odbioru.</w:t>
            </w:r>
          </w:p>
        </w:tc>
      </w:tr>
      <w:tr w:rsidR="00CD7B36" w:rsidRPr="00EB2E7B" w14:paraId="57D2D5F6" w14:textId="77777777" w:rsidTr="00780901">
        <w:trPr>
          <w:gridAfter w:val="3"/>
          <w:wAfter w:w="65" w:type="dxa"/>
          <w:trHeight w:val="1779"/>
        </w:trPr>
        <w:tc>
          <w:tcPr>
            <w:tcW w:w="2977" w:type="dxa"/>
          </w:tcPr>
          <w:p w14:paraId="03E848B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Miejsce dostarczania energii rynku bilansującego</w:t>
            </w:r>
          </w:p>
        </w:tc>
        <w:tc>
          <w:tcPr>
            <w:tcW w:w="6154" w:type="dxa"/>
            <w:gridSpan w:val="3"/>
          </w:tcPr>
          <w:p w14:paraId="013B37A8" w14:textId="0C6E6B82"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Określany przez OSP punkt w sieci objętej obszarem RB reprezentujący pojedynczy węzeł albo grupę węzłów w sieci, lub umowny punkt „ponad siecią”, w którym następuje przekazanie energii pomiędzy URB a RB</w:t>
            </w:r>
            <w:r w:rsidR="00085484" w:rsidRPr="00EB2E7B">
              <w:rPr>
                <w:rFonts w:asciiTheme="minorHAnsi" w:hAnsiTheme="minorHAnsi" w:cstheme="minorHAnsi"/>
                <w:sz w:val="20"/>
                <w:szCs w:val="20"/>
              </w:rPr>
              <w:t>.</w:t>
            </w:r>
          </w:p>
        </w:tc>
      </w:tr>
      <w:tr w:rsidR="00CD7B36" w:rsidRPr="00EB2E7B" w14:paraId="442D3C4E" w14:textId="77777777" w:rsidTr="00780901">
        <w:trPr>
          <w:gridAfter w:val="3"/>
          <w:wAfter w:w="65" w:type="dxa"/>
          <w:trHeight w:val="947"/>
        </w:trPr>
        <w:tc>
          <w:tcPr>
            <w:tcW w:w="2977" w:type="dxa"/>
          </w:tcPr>
          <w:p w14:paraId="4E67257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Miejsce Dostarczania </w:t>
            </w:r>
          </w:p>
          <w:p w14:paraId="66154F7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Energii Rynku </w:t>
            </w:r>
          </w:p>
          <w:p w14:paraId="5A97B25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Detalicznego (MDD) </w:t>
            </w:r>
          </w:p>
        </w:tc>
        <w:tc>
          <w:tcPr>
            <w:tcW w:w="6154" w:type="dxa"/>
            <w:gridSpan w:val="3"/>
          </w:tcPr>
          <w:p w14:paraId="08A1D9C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Określony przez OSD punkt w sieci dystrybucyjnej poza obszarem RB, w którym następuje przekazanie energii pomiędzy sprzedawcą lub POB</w:t>
            </w:r>
            <w:r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a URD</w:t>
            </w:r>
          </w:p>
        </w:tc>
      </w:tr>
      <w:tr w:rsidR="00CD7B36" w:rsidRPr="00EB2E7B" w14:paraId="259AEBC7" w14:textId="77777777" w:rsidTr="00780901">
        <w:trPr>
          <w:gridAfter w:val="3"/>
          <w:wAfter w:w="65" w:type="dxa"/>
          <w:trHeight w:val="397"/>
        </w:trPr>
        <w:tc>
          <w:tcPr>
            <w:tcW w:w="2977" w:type="dxa"/>
          </w:tcPr>
          <w:p w14:paraId="166F43F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Miejsce przyłączenia </w:t>
            </w:r>
          </w:p>
        </w:tc>
        <w:tc>
          <w:tcPr>
            <w:tcW w:w="6154" w:type="dxa"/>
            <w:gridSpan w:val="3"/>
          </w:tcPr>
          <w:p w14:paraId="458F4D7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Punkt w sieci, w którym przyłącze łączy się z siecią. </w:t>
            </w:r>
          </w:p>
        </w:tc>
      </w:tr>
      <w:tr w:rsidR="00CD7B36" w:rsidRPr="00EB2E7B" w14:paraId="2C3C4667" w14:textId="77777777" w:rsidTr="00780901">
        <w:trPr>
          <w:gridAfter w:val="3"/>
          <w:wAfter w:w="65" w:type="dxa"/>
          <w:trHeight w:val="1771"/>
        </w:trPr>
        <w:tc>
          <w:tcPr>
            <w:tcW w:w="2977" w:type="dxa"/>
          </w:tcPr>
          <w:p w14:paraId="4353F135" w14:textId="77777777" w:rsidR="00CD7B36" w:rsidRPr="00EB2E7B" w:rsidRDefault="00CD7B36">
            <w:pPr>
              <w:spacing w:after="0"/>
              <w:ind w:left="70" w:firstLine="0"/>
              <w:jc w:val="left"/>
              <w:rPr>
                <w:rFonts w:asciiTheme="minorHAnsi" w:hAnsiTheme="minorHAnsi" w:cstheme="minorHAnsi"/>
                <w:b/>
                <w:bCs/>
                <w:sz w:val="20"/>
                <w:szCs w:val="20"/>
              </w:rPr>
            </w:pPr>
            <w:proofErr w:type="spellStart"/>
            <w:r w:rsidRPr="00EB2E7B">
              <w:rPr>
                <w:rFonts w:asciiTheme="minorHAnsi" w:hAnsiTheme="minorHAnsi" w:cstheme="minorHAnsi"/>
                <w:b/>
                <w:bCs/>
                <w:sz w:val="20"/>
                <w:szCs w:val="20"/>
              </w:rPr>
              <w:t>Mikroinstalacja</w:t>
            </w:r>
            <w:proofErr w:type="spellEnd"/>
            <w:r w:rsidRPr="00EB2E7B">
              <w:rPr>
                <w:rFonts w:asciiTheme="minorHAnsi" w:hAnsiTheme="minorHAnsi" w:cstheme="minorHAnsi"/>
                <w:b/>
                <w:bCs/>
                <w:sz w:val="20"/>
                <w:szCs w:val="20"/>
              </w:rPr>
              <w:t xml:space="preserve"> </w:t>
            </w:r>
          </w:p>
        </w:tc>
        <w:tc>
          <w:tcPr>
            <w:tcW w:w="6154" w:type="dxa"/>
            <w:gridSpan w:val="3"/>
          </w:tcPr>
          <w:p w14:paraId="065955C6" w14:textId="40E9FD3B"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Instalacja odnawialnego źródł</w:t>
            </w:r>
            <w:r w:rsidR="00A44AFD" w:rsidRPr="00EB2E7B">
              <w:rPr>
                <w:rFonts w:asciiTheme="minorHAnsi" w:hAnsiTheme="minorHAnsi" w:cstheme="minorHAnsi"/>
                <w:sz w:val="20"/>
                <w:szCs w:val="20"/>
              </w:rPr>
              <w:t>a</w:t>
            </w:r>
            <w:r w:rsidRPr="00EB2E7B">
              <w:rPr>
                <w:rFonts w:asciiTheme="minorHAnsi" w:hAnsiTheme="minorHAnsi" w:cstheme="minorHAnsi"/>
                <w:sz w:val="20"/>
                <w:szCs w:val="20"/>
              </w:rPr>
              <w:t xml:space="preserve"> energii o łącznej mocy zainstalowanej elektrycznej nie większej niż 50 kW, przyłączona do sieci elektroenergetycznej o napięciu znamionowym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albo o mocy osiągalnej cieplnej w skojarzeniu nie większej niż 150 kW w której łączna moc zainstalowana elektryczna jest nie większa niż 50 </w:t>
            </w:r>
            <w:proofErr w:type="spellStart"/>
            <w:r w:rsidRPr="00EB2E7B">
              <w:rPr>
                <w:rFonts w:asciiTheme="minorHAnsi" w:hAnsiTheme="minorHAnsi" w:cstheme="minorHAnsi"/>
                <w:sz w:val="20"/>
                <w:szCs w:val="20"/>
              </w:rPr>
              <w:t>kW.</w:t>
            </w:r>
            <w:proofErr w:type="spellEnd"/>
            <w:r w:rsidRPr="00EB2E7B">
              <w:rPr>
                <w:rFonts w:asciiTheme="minorHAnsi" w:hAnsiTheme="minorHAnsi" w:cstheme="minorHAnsi"/>
                <w:sz w:val="20"/>
                <w:szCs w:val="20"/>
              </w:rPr>
              <w:t xml:space="preserve"> </w:t>
            </w:r>
          </w:p>
        </w:tc>
      </w:tr>
      <w:tr w:rsidR="00CD7B36" w:rsidRPr="00EB2E7B" w14:paraId="433CCDDA" w14:textId="77777777" w:rsidTr="00780901">
        <w:trPr>
          <w:gridAfter w:val="3"/>
          <w:wAfter w:w="65" w:type="dxa"/>
          <w:trHeight w:val="649"/>
        </w:trPr>
        <w:tc>
          <w:tcPr>
            <w:tcW w:w="2977" w:type="dxa"/>
          </w:tcPr>
          <w:p w14:paraId="1F659D1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Minimalna moc dyspozycyjna netto</w:t>
            </w:r>
          </w:p>
        </w:tc>
        <w:tc>
          <w:tcPr>
            <w:tcW w:w="6154" w:type="dxa"/>
            <w:gridSpan w:val="3"/>
          </w:tcPr>
          <w:p w14:paraId="1848FDC9" w14:textId="6BA4926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Moc minimum </w:t>
            </w:r>
            <w:r w:rsidR="00A44AFD" w:rsidRPr="00EB2E7B">
              <w:rPr>
                <w:rFonts w:asciiTheme="minorHAnsi" w:hAnsiTheme="minorHAnsi" w:cstheme="minorHAnsi"/>
                <w:sz w:val="20"/>
                <w:szCs w:val="20"/>
              </w:rPr>
              <w:t xml:space="preserve">technicznego </w:t>
            </w:r>
            <w:r w:rsidRPr="00EB2E7B">
              <w:rPr>
                <w:rFonts w:asciiTheme="minorHAnsi" w:hAnsiTheme="minorHAnsi" w:cstheme="minorHAnsi"/>
                <w:sz w:val="20"/>
                <w:szCs w:val="20"/>
              </w:rPr>
              <w:t>netto powiększona o planowane lub nieplanowane ubytki mocy.</w:t>
            </w:r>
          </w:p>
        </w:tc>
      </w:tr>
      <w:tr w:rsidR="00CD7B36" w:rsidRPr="00EB2E7B" w14:paraId="3E8DDEC2" w14:textId="77777777" w:rsidTr="00780901">
        <w:trPr>
          <w:gridAfter w:val="3"/>
          <w:wAfter w:w="65" w:type="dxa"/>
          <w:trHeight w:val="649"/>
        </w:trPr>
        <w:tc>
          <w:tcPr>
            <w:tcW w:w="2977" w:type="dxa"/>
          </w:tcPr>
          <w:p w14:paraId="0EB2092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Moc bilansująca</w:t>
            </w:r>
          </w:p>
        </w:tc>
        <w:tc>
          <w:tcPr>
            <w:tcW w:w="6154" w:type="dxa"/>
            <w:gridSpan w:val="3"/>
          </w:tcPr>
          <w:p w14:paraId="5F14DDC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Moc bilansująca w rozumieniu art. 2 pkt 5 EB GL.</w:t>
            </w:r>
          </w:p>
        </w:tc>
      </w:tr>
      <w:tr w:rsidR="00CD7B36" w:rsidRPr="00EB2E7B" w14:paraId="7CEF6D7D" w14:textId="77777777" w:rsidTr="00780901">
        <w:trPr>
          <w:gridAfter w:val="3"/>
          <w:wAfter w:w="65" w:type="dxa"/>
          <w:trHeight w:val="333"/>
        </w:trPr>
        <w:tc>
          <w:tcPr>
            <w:tcW w:w="2977" w:type="dxa"/>
          </w:tcPr>
          <w:p w14:paraId="63A797C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Moc dyspozycyjna </w:t>
            </w:r>
          </w:p>
        </w:tc>
        <w:tc>
          <w:tcPr>
            <w:tcW w:w="6154" w:type="dxa"/>
            <w:gridSpan w:val="3"/>
          </w:tcPr>
          <w:p w14:paraId="2F76D5A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Moc osiągalna jednostki wytwórczej albo magazynu energii elektrycznej pomniejszona o ubytki mocy. </w:t>
            </w:r>
          </w:p>
        </w:tc>
      </w:tr>
      <w:tr w:rsidR="00CD7B36" w:rsidRPr="00EB2E7B" w14:paraId="582BDA08" w14:textId="77777777" w:rsidTr="00780901">
        <w:trPr>
          <w:gridAfter w:val="5"/>
          <w:wAfter w:w="122" w:type="dxa"/>
          <w:trHeight w:val="1154"/>
        </w:trPr>
        <w:tc>
          <w:tcPr>
            <w:tcW w:w="2977" w:type="dxa"/>
          </w:tcPr>
          <w:p w14:paraId="08483DF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Moc osiągalna </w:t>
            </w:r>
          </w:p>
        </w:tc>
        <w:tc>
          <w:tcPr>
            <w:tcW w:w="6097" w:type="dxa"/>
          </w:tcPr>
          <w:p w14:paraId="567EC3D6"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Maksymalna moc czynna, przy której jednostka wytwórcza albo magazyn energii elektrycznej może pracować bez uszczerbku dla trwałości tej jednostki, magazynu przy parametrach nominalnych, potwierdzona testami. </w:t>
            </w:r>
          </w:p>
        </w:tc>
      </w:tr>
      <w:tr w:rsidR="00CD7B36" w:rsidRPr="00EB2E7B" w14:paraId="24297FFA" w14:textId="77777777" w:rsidTr="00780901">
        <w:trPr>
          <w:gridAfter w:val="5"/>
          <w:wAfter w:w="122" w:type="dxa"/>
          <w:trHeight w:val="1500"/>
        </w:trPr>
        <w:tc>
          <w:tcPr>
            <w:tcW w:w="2977" w:type="dxa"/>
          </w:tcPr>
          <w:p w14:paraId="2558575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Moc przyłączeniowa </w:t>
            </w:r>
          </w:p>
        </w:tc>
        <w:tc>
          <w:tcPr>
            <w:tcW w:w="6097" w:type="dxa"/>
          </w:tcPr>
          <w:p w14:paraId="491ACCA4"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Moc czynna planowana do pobierania z sieci lub wprowadzania do sieci, określona w umowie o przyłączenie do sieci jako wartość maksymalna wyznaczana w ciągu każdej godziny okresu rozliczeniowego ze średnich wartości tej mocy w okresach 15-minutowych, służąca do zaprojektowania przyłącza.</w:t>
            </w:r>
          </w:p>
        </w:tc>
      </w:tr>
      <w:tr w:rsidR="00CD7B36" w:rsidRPr="00EB2E7B" w14:paraId="07E8D03D" w14:textId="77777777" w:rsidTr="00780901">
        <w:trPr>
          <w:gridAfter w:val="5"/>
          <w:wAfter w:w="122" w:type="dxa"/>
          <w:trHeight w:val="1050"/>
        </w:trPr>
        <w:tc>
          <w:tcPr>
            <w:tcW w:w="2977" w:type="dxa"/>
          </w:tcPr>
          <w:p w14:paraId="671F6FD6"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Moc umowna</w:t>
            </w:r>
          </w:p>
        </w:tc>
        <w:tc>
          <w:tcPr>
            <w:tcW w:w="6097" w:type="dxa"/>
          </w:tcPr>
          <w:p w14:paraId="3C1252AA"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Moc czynna pobierana lub wprowadzana do sieci określona:</w:t>
            </w:r>
          </w:p>
          <w:p w14:paraId="25FA0925"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a) umowie o świadczenie usług przesyłania lub dystrybucji energii elektrycznej, umowie sprzedaży energii elektrycznej albo umowie kompleksowej jako wartość nie mniejsza niż wyznaczona jako wartość maksymalna ze średniej wartości mocy w okresie 15-minutowym, z uwzględnieniem współczynników odzwierciedlających specyfikę układu zasilania odbiorcy, albo</w:t>
            </w:r>
          </w:p>
          <w:p w14:paraId="043D8B90"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b) umowie o świadczenie usług przesyłania energii elektrycznej, zawieranej między operatorem systemu przesyłowego elektroenergetycznego a operatorem systemu dystrybucyjnego elektroenergetycznego posiadającym co najmniej dwa sieciowe miejsca dostarczania energii elektrycznej połączone z siecią każdego z tych operatorów, jako średnia z </w:t>
            </w:r>
            <w:r w:rsidRPr="00EB2E7B">
              <w:rPr>
                <w:rFonts w:asciiTheme="minorHAnsi" w:hAnsiTheme="minorHAnsi" w:cstheme="minorHAnsi"/>
                <w:sz w:val="20"/>
                <w:szCs w:val="20"/>
              </w:rPr>
              <w:lastRenderedPageBreak/>
              <w:t xml:space="preserve">maksymalnych łącznych mocy </w:t>
            </w:r>
            <w:proofErr w:type="spellStart"/>
            <w:r w:rsidRPr="00EB2E7B">
              <w:rPr>
                <w:rFonts w:asciiTheme="minorHAnsi" w:hAnsiTheme="minorHAnsi" w:cstheme="minorHAnsi"/>
                <w:sz w:val="20"/>
                <w:szCs w:val="20"/>
              </w:rPr>
              <w:t>średniogodzinnych</w:t>
            </w:r>
            <w:proofErr w:type="spellEnd"/>
            <w:r w:rsidRPr="00EB2E7B">
              <w:rPr>
                <w:rFonts w:asciiTheme="minorHAnsi" w:hAnsiTheme="minorHAnsi" w:cstheme="minorHAnsi"/>
                <w:sz w:val="20"/>
                <w:szCs w:val="20"/>
              </w:rPr>
              <w:t xml:space="preserve"> pobieranych przez danego operatora systemu dystrybucyjnego elektroenergetycznego w sieciowych miejscach dostarczania energii elektrycznej, wyznaczona na podstawie wskazań układów pomiarowo-rozliczeniowych, albo</w:t>
            </w:r>
          </w:p>
          <w:p w14:paraId="481FD2DA"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c) umowie o świadczenie usług dystrybucji energii elektrycznej, zawieranej między operatorami systemu dystrybucyjnego elektroenergetycznego posiadającymi co najmniej dwa sieciowe miejsca dostarczania energii elektrycznej połączone siecią każdego z tych operatorów, jako średnia z maksymalnych łącznych mocy </w:t>
            </w:r>
            <w:proofErr w:type="spellStart"/>
            <w:r w:rsidRPr="00EB2E7B">
              <w:rPr>
                <w:rFonts w:asciiTheme="minorHAnsi" w:hAnsiTheme="minorHAnsi" w:cstheme="minorHAnsi"/>
                <w:sz w:val="20"/>
                <w:szCs w:val="20"/>
              </w:rPr>
              <w:t>średniogodzinnych</w:t>
            </w:r>
            <w:proofErr w:type="spellEnd"/>
            <w:r w:rsidRPr="00EB2E7B">
              <w:rPr>
                <w:rFonts w:asciiTheme="minorHAnsi" w:hAnsiTheme="minorHAnsi" w:cstheme="minorHAnsi"/>
                <w:sz w:val="20"/>
                <w:szCs w:val="20"/>
              </w:rPr>
              <w:t xml:space="preserve"> pobieranych w miejscach połączeń sieci operatorów systemów dystrybucyjnych, wyznaczona na podstawie wskazań układów pomiarowo-rozliczeniowych.</w:t>
            </w:r>
          </w:p>
        </w:tc>
      </w:tr>
      <w:tr w:rsidR="00CD7B36" w:rsidRPr="00EB2E7B" w14:paraId="2F706AD7" w14:textId="77777777" w:rsidTr="00780901">
        <w:trPr>
          <w:gridAfter w:val="5"/>
          <w:wAfter w:w="122" w:type="dxa"/>
          <w:trHeight w:val="1050"/>
        </w:trPr>
        <w:tc>
          <w:tcPr>
            <w:tcW w:w="2977" w:type="dxa"/>
          </w:tcPr>
          <w:p w14:paraId="09895BE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Moc zainstalowana elektryczna instalacji odnawialnego źródła energii</w:t>
            </w:r>
          </w:p>
        </w:tc>
        <w:tc>
          <w:tcPr>
            <w:tcW w:w="6097" w:type="dxa"/>
          </w:tcPr>
          <w:p w14:paraId="75965E30"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Łączna moc znamionowa czynna:</w:t>
            </w:r>
          </w:p>
          <w:p w14:paraId="24A85206"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a) zespołu urządzeń służących do wytwarzania energii elektrycznej – zespołu prądotwórczego, podana przez producenta na tabliczce znamionowej, a w przypadku jej braku, moc znamionowa czynna tego zespołu określona przez jednostkę posiadającą akredytację Polskiego Centrum Akredytacji – w przypadku instalacji odnawialnego źródła energii wykorzystującej do wytwarzania energii elektrycznej biogaz lub biogaz rolniczy,</w:t>
            </w:r>
          </w:p>
          <w:p w14:paraId="685F69F3"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b) generatora, modułu fotowoltaicznego lub ogniwa paliwowego podana przez producenta na tabliczce znamionowej – w przypadku instalacji innej niż wskazana w lit. a).</w:t>
            </w:r>
          </w:p>
        </w:tc>
      </w:tr>
      <w:tr w:rsidR="000D4910" w:rsidRPr="00EB2E7B" w14:paraId="6FA89212" w14:textId="77777777" w:rsidTr="00780901">
        <w:trPr>
          <w:gridAfter w:val="5"/>
          <w:wAfter w:w="122" w:type="dxa"/>
          <w:trHeight w:val="1050"/>
        </w:trPr>
        <w:tc>
          <w:tcPr>
            <w:tcW w:w="2977" w:type="dxa"/>
          </w:tcPr>
          <w:p w14:paraId="0D2F6B6C" w14:textId="0A877AC9" w:rsidR="000D4910" w:rsidRPr="00EB2E7B" w:rsidRDefault="000D4910">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Moduł parku energii</w:t>
            </w:r>
          </w:p>
        </w:tc>
        <w:tc>
          <w:tcPr>
            <w:tcW w:w="6097" w:type="dxa"/>
          </w:tcPr>
          <w:p w14:paraId="6F38C348" w14:textId="06CADE16" w:rsidR="000D4910" w:rsidRPr="00EB2E7B" w:rsidRDefault="00E47D1E">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parku energii w rozumieniu art. 2 pkt 17 NC </w:t>
            </w:r>
            <w:proofErr w:type="spellStart"/>
            <w:r w:rsidRPr="00EB2E7B">
              <w:rPr>
                <w:rFonts w:asciiTheme="minorHAnsi" w:hAnsiTheme="minorHAnsi" w:cstheme="minorHAnsi"/>
                <w:sz w:val="20"/>
                <w:szCs w:val="20"/>
              </w:rPr>
              <w:t>RfG</w:t>
            </w:r>
            <w:proofErr w:type="spellEnd"/>
            <w:r w:rsidRPr="00EB2E7B">
              <w:rPr>
                <w:rFonts w:asciiTheme="minorHAnsi" w:hAnsiTheme="minorHAnsi" w:cstheme="minorHAnsi"/>
                <w:sz w:val="20"/>
                <w:szCs w:val="20"/>
              </w:rPr>
              <w:t>.</w:t>
            </w:r>
          </w:p>
        </w:tc>
      </w:tr>
      <w:tr w:rsidR="00CD7B36" w:rsidRPr="00EB2E7B" w14:paraId="6D13EDD9" w14:textId="77777777" w:rsidTr="00780901">
        <w:trPr>
          <w:gridAfter w:val="5"/>
          <w:wAfter w:w="122" w:type="dxa"/>
          <w:trHeight w:val="1050"/>
        </w:trPr>
        <w:tc>
          <w:tcPr>
            <w:tcW w:w="2977" w:type="dxa"/>
          </w:tcPr>
          <w:p w14:paraId="06BF929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Moduł wytwarzania energii</w:t>
            </w:r>
          </w:p>
        </w:tc>
        <w:tc>
          <w:tcPr>
            <w:tcW w:w="6097" w:type="dxa"/>
          </w:tcPr>
          <w:p w14:paraId="7E67BEE9"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Moduł wytwarzania energii w rozumieniu art. 2 pkt 5 NC </w:t>
            </w:r>
            <w:proofErr w:type="spellStart"/>
            <w:r w:rsidRPr="00EB2E7B">
              <w:rPr>
                <w:rFonts w:asciiTheme="minorHAnsi" w:hAnsiTheme="minorHAnsi" w:cstheme="minorHAnsi"/>
                <w:sz w:val="20"/>
                <w:szCs w:val="20"/>
              </w:rPr>
              <w:t>RfG</w:t>
            </w:r>
            <w:proofErr w:type="spellEnd"/>
            <w:r w:rsidRPr="00EB2E7B">
              <w:rPr>
                <w:rFonts w:asciiTheme="minorHAnsi" w:hAnsiTheme="minorHAnsi" w:cstheme="minorHAnsi"/>
                <w:sz w:val="20"/>
                <w:szCs w:val="20"/>
              </w:rPr>
              <w:t>.</w:t>
            </w:r>
          </w:p>
        </w:tc>
      </w:tr>
      <w:tr w:rsidR="00CD7B36" w:rsidRPr="00EB2E7B" w14:paraId="24F2397E" w14:textId="77777777" w:rsidTr="00780901">
        <w:trPr>
          <w:gridAfter w:val="5"/>
          <w:wAfter w:w="122" w:type="dxa"/>
          <w:trHeight w:val="2326"/>
        </w:trPr>
        <w:tc>
          <w:tcPr>
            <w:tcW w:w="2977" w:type="dxa"/>
          </w:tcPr>
          <w:p w14:paraId="30988BC1" w14:textId="307A7193"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Należyta staranność </w:t>
            </w:r>
          </w:p>
        </w:tc>
        <w:tc>
          <w:tcPr>
            <w:tcW w:w="6097" w:type="dxa"/>
          </w:tcPr>
          <w:p w14:paraId="67363092"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Wykonywanie czynności ruchowych oraz prac eksploatacyjnych w obiektach, instalacjach i urządzeniach elektroenergetycznych, w terminach i zakresach zgodnych z obowiązującymi przepisami i instrukcjami w tym Instrukcją Ruchu i Eksploatacji Sieci Dystrybucyjnej, z uwzględnieniem zasad efektywności i minimalizacji kosztów, prowadzących do zachowania wymaganej niezawodności, jakości dostaw i dotrzymywanie ustaleń wynikających z zawartych umów. </w:t>
            </w:r>
          </w:p>
        </w:tc>
      </w:tr>
      <w:tr w:rsidR="00CD7B36" w:rsidRPr="00EB2E7B" w14:paraId="26FBF189" w14:textId="77777777" w:rsidTr="00780901">
        <w:trPr>
          <w:gridAfter w:val="5"/>
          <w:wAfter w:w="122" w:type="dxa"/>
          <w:trHeight w:val="672"/>
        </w:trPr>
        <w:tc>
          <w:tcPr>
            <w:tcW w:w="2977" w:type="dxa"/>
          </w:tcPr>
          <w:p w14:paraId="7B94523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Napięcie znamionowe </w:t>
            </w:r>
          </w:p>
        </w:tc>
        <w:tc>
          <w:tcPr>
            <w:tcW w:w="6097" w:type="dxa"/>
          </w:tcPr>
          <w:p w14:paraId="0421FD38" w14:textId="77777777"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Wartość skuteczna napięcia określająca i identyfikująca sieć elektroenergetyczną. </w:t>
            </w:r>
          </w:p>
        </w:tc>
      </w:tr>
      <w:tr w:rsidR="00CD7B36" w:rsidRPr="00EB2E7B" w14:paraId="5E036656" w14:textId="77777777" w:rsidTr="00780901">
        <w:trPr>
          <w:gridAfter w:val="5"/>
          <w:wAfter w:w="122" w:type="dxa"/>
          <w:trHeight w:val="881"/>
        </w:trPr>
        <w:tc>
          <w:tcPr>
            <w:tcW w:w="2977" w:type="dxa"/>
          </w:tcPr>
          <w:p w14:paraId="2A6DE45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Napięcie deklarowane </w:t>
            </w:r>
          </w:p>
        </w:tc>
        <w:tc>
          <w:tcPr>
            <w:tcW w:w="6097" w:type="dxa"/>
          </w:tcPr>
          <w:p w14:paraId="54DDDA0F" w14:textId="4CADEA78" w:rsidR="00CD7B36" w:rsidRPr="00EB2E7B" w:rsidRDefault="00CD7B36">
            <w:pPr>
              <w:spacing w:after="0"/>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Wartość napięcia zasilającego uzgodniona </w:t>
            </w:r>
            <w:r w:rsidR="001C2B4D" w:rsidRPr="00EB2E7B">
              <w:rPr>
                <w:rFonts w:asciiTheme="minorHAnsi" w:hAnsiTheme="minorHAnsi" w:cstheme="minorHAnsi"/>
                <w:sz w:val="20"/>
                <w:szCs w:val="20"/>
              </w:rPr>
              <w:t>między</w:t>
            </w:r>
            <w:r w:rsidRPr="00EB2E7B">
              <w:rPr>
                <w:rFonts w:asciiTheme="minorHAnsi" w:hAnsiTheme="minorHAnsi" w:cstheme="minorHAnsi"/>
                <w:sz w:val="20"/>
                <w:szCs w:val="20"/>
              </w:rPr>
              <w:t xml:space="preserve"> OSD i odbiorcom – wartość ta jest zwykle zgodna z napięciem znamionowym. </w:t>
            </w:r>
          </w:p>
        </w:tc>
      </w:tr>
      <w:tr w:rsidR="00CD7B36" w:rsidRPr="00EB2E7B" w14:paraId="6BAA9D3E" w14:textId="77777777" w:rsidTr="00780901">
        <w:trPr>
          <w:gridAfter w:val="3"/>
          <w:wAfter w:w="65" w:type="dxa"/>
          <w:trHeight w:val="1435"/>
        </w:trPr>
        <w:tc>
          <w:tcPr>
            <w:tcW w:w="2977" w:type="dxa"/>
          </w:tcPr>
          <w:p w14:paraId="4379D8D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Nielegalne pobieranie energii elektrycznej </w:t>
            </w:r>
          </w:p>
        </w:tc>
        <w:tc>
          <w:tcPr>
            <w:tcW w:w="6154" w:type="dxa"/>
            <w:gridSpan w:val="3"/>
          </w:tcPr>
          <w:p w14:paraId="34819E8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Pobieranie energii elektrycznej bez zawarcia umowy, z całkowitym albo częściowym pominięciem układu pomiarowo-rozliczeniowego lub poprzez ingerencję w ten układ mającą wpływ na zafałszowanie pomiarów dokonywanych przez układ pomiarowo-rozliczeniowy. </w:t>
            </w:r>
          </w:p>
        </w:tc>
      </w:tr>
      <w:tr w:rsidR="00CD7B36" w:rsidRPr="00EB2E7B" w14:paraId="2D067A3C" w14:textId="77777777" w:rsidTr="00780901">
        <w:trPr>
          <w:gridAfter w:val="3"/>
          <w:wAfter w:w="65" w:type="dxa"/>
          <w:trHeight w:val="488"/>
        </w:trPr>
        <w:tc>
          <w:tcPr>
            <w:tcW w:w="2977" w:type="dxa"/>
          </w:tcPr>
          <w:p w14:paraId="0B5F405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Niezbilansowanie </w:t>
            </w:r>
          </w:p>
        </w:tc>
        <w:tc>
          <w:tcPr>
            <w:tcW w:w="6154" w:type="dxa"/>
            <w:gridSpan w:val="3"/>
          </w:tcPr>
          <w:p w14:paraId="603359B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Niezbilansowanie w rozumieniu art. 2 pkt 8 EB GL. </w:t>
            </w:r>
          </w:p>
        </w:tc>
      </w:tr>
      <w:tr w:rsidR="00CD7B36" w:rsidRPr="00EB2E7B" w14:paraId="490F5F6E" w14:textId="77777777" w:rsidTr="00780901">
        <w:trPr>
          <w:gridAfter w:val="3"/>
          <w:wAfter w:w="65" w:type="dxa"/>
          <w:trHeight w:val="1159"/>
        </w:trPr>
        <w:tc>
          <w:tcPr>
            <w:tcW w:w="2977" w:type="dxa"/>
          </w:tcPr>
          <w:p w14:paraId="6C8C09B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Normalny układ pracy sieci</w:t>
            </w:r>
          </w:p>
        </w:tc>
        <w:tc>
          <w:tcPr>
            <w:tcW w:w="6154" w:type="dxa"/>
            <w:gridSpan w:val="3"/>
          </w:tcPr>
          <w:p w14:paraId="535D9AF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Układ pracy sieci i przyłączonych źródeł wytwórczych, zapewniający najkorzystniejsze warunki techniczne i ekonomiczne transportu energii elektrycznej oraz spełnienie kryteriów niezawodności pracy sieci i jakości energii elektrycznej dostarczanej użytkownikom sieci.</w:t>
            </w:r>
          </w:p>
        </w:tc>
      </w:tr>
      <w:tr w:rsidR="00CD7B36" w:rsidRPr="00EB2E7B" w14:paraId="74F98D6C" w14:textId="77777777" w:rsidTr="00780901">
        <w:trPr>
          <w:gridAfter w:val="3"/>
          <w:wAfter w:w="65" w:type="dxa"/>
          <w:trHeight w:val="667"/>
        </w:trPr>
        <w:tc>
          <w:tcPr>
            <w:tcW w:w="2977" w:type="dxa"/>
          </w:tcPr>
          <w:p w14:paraId="6DCCED6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Normalne warunki pracy sieci</w:t>
            </w:r>
          </w:p>
        </w:tc>
        <w:tc>
          <w:tcPr>
            <w:tcW w:w="6154" w:type="dxa"/>
            <w:gridSpan w:val="3"/>
          </w:tcPr>
          <w:p w14:paraId="69BC7E9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Stan pracy sieci, w którym pokryte jest zapotrzebowanie na moc, obejmujący operacje łączeniowe i eliminację zaburzeń przez automatyczny system zabezpieczeń, przy równoczesnym braku wyjątkowych okoliczności spowodowanych: </w:t>
            </w:r>
          </w:p>
          <w:p w14:paraId="7F50DED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wpływami zewnętrznymi takimi jak np.: niezgodność instalacji lub urządzeń odbiorcy z odpowiednimi normami i przepisami, </w:t>
            </w:r>
          </w:p>
          <w:p w14:paraId="5C81A73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czynnikami będącymi poza kontrolą OSD takimi jak np.: wyjątkowe warunki atmosferyczne i klęski żywiołowe, zakłócenia spowodowane przez osoby trzecie, działania siły wyższej, wprowadzenie ograniczeń mocy zgodnie z innymi przepisami.</w:t>
            </w:r>
          </w:p>
        </w:tc>
      </w:tr>
      <w:tr w:rsidR="00CD7B36" w:rsidRPr="00EB2E7B" w14:paraId="3867FDB9" w14:textId="77777777" w:rsidTr="00780901">
        <w:trPr>
          <w:gridAfter w:val="3"/>
          <w:wAfter w:w="65" w:type="dxa"/>
          <w:trHeight w:val="667"/>
        </w:trPr>
        <w:tc>
          <w:tcPr>
            <w:tcW w:w="2977" w:type="dxa"/>
          </w:tcPr>
          <w:p w14:paraId="24B36644"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Obiekt</w:t>
            </w:r>
          </w:p>
        </w:tc>
        <w:tc>
          <w:tcPr>
            <w:tcW w:w="6154" w:type="dxa"/>
            <w:gridSpan w:val="3"/>
          </w:tcPr>
          <w:p w14:paraId="1167064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Budynek lub budowla w rozumieniu ustawy z dnia 7 lipca 1994 r. – Prawo budowlane (Dz. U. z 2021 r. poz. 2351,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 a także ich wyodrębnioną część albo zespół budynków lub budowli, które mieszczą się pod jednym adresem lub w jednej lokalizacji, wraz z urządzeniami połączonymi ze sobą siecią lub instalacją odbiorczą przyłączoną do sieci elektroenergetycznej – w celu dostarczania energii elektrycznej na podstawie umowy sprzedaży i umowy o świadczenie usług dystrybucji energii elektrycznej albo umowy kompleksowej, o których mowa odpowiednio w art. 5 ust. 1 i 3 Ustawy, zawartych z tym samym odbiorcą, przy wykorzystaniu jednego lub więcej przyłączy tworzących kompletny układ zasilania.</w:t>
            </w:r>
          </w:p>
        </w:tc>
      </w:tr>
      <w:tr w:rsidR="00CD7B36" w:rsidRPr="00EB2E7B" w14:paraId="5DF1FF24" w14:textId="77777777" w:rsidTr="00780901">
        <w:trPr>
          <w:gridAfter w:val="3"/>
          <w:wAfter w:w="65" w:type="dxa"/>
          <w:trHeight w:val="667"/>
        </w:trPr>
        <w:tc>
          <w:tcPr>
            <w:tcW w:w="2977" w:type="dxa"/>
          </w:tcPr>
          <w:p w14:paraId="087D83B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Obiekt pomiarowy</w:t>
            </w:r>
          </w:p>
        </w:tc>
        <w:tc>
          <w:tcPr>
            <w:tcW w:w="6154" w:type="dxa"/>
            <w:gridSpan w:val="3"/>
          </w:tcPr>
          <w:p w14:paraId="5231DCD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Zbiór fizyczny lub wirtualny obejmujący co najmniej jeden PP.</w:t>
            </w:r>
          </w:p>
        </w:tc>
      </w:tr>
      <w:tr w:rsidR="00CD7B36" w:rsidRPr="00EB2E7B" w14:paraId="15874493" w14:textId="77777777" w:rsidTr="00780901">
        <w:trPr>
          <w:gridAfter w:val="3"/>
          <w:wAfter w:w="65" w:type="dxa"/>
          <w:trHeight w:val="674"/>
        </w:trPr>
        <w:tc>
          <w:tcPr>
            <w:tcW w:w="2977" w:type="dxa"/>
          </w:tcPr>
          <w:p w14:paraId="27D5FC8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Obrót energią elektryczną </w:t>
            </w:r>
          </w:p>
        </w:tc>
        <w:tc>
          <w:tcPr>
            <w:tcW w:w="6154" w:type="dxa"/>
            <w:gridSpan w:val="3"/>
          </w:tcPr>
          <w:p w14:paraId="5745382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Działalność gospodarcza polegająca na handlu hurtowym albo detalicznym energią elektryczną. </w:t>
            </w:r>
          </w:p>
        </w:tc>
      </w:tr>
      <w:tr w:rsidR="00CD7B36" w:rsidRPr="00EB2E7B" w14:paraId="6ECF7759" w14:textId="77777777" w:rsidTr="00780901">
        <w:trPr>
          <w:gridAfter w:val="3"/>
          <w:wAfter w:w="65" w:type="dxa"/>
          <w:trHeight w:val="949"/>
        </w:trPr>
        <w:tc>
          <w:tcPr>
            <w:tcW w:w="2977" w:type="dxa"/>
          </w:tcPr>
          <w:p w14:paraId="015E752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Obszar OSD</w:t>
            </w:r>
          </w:p>
        </w:tc>
        <w:tc>
          <w:tcPr>
            <w:tcW w:w="6154" w:type="dxa"/>
            <w:gridSpan w:val="3"/>
          </w:tcPr>
          <w:p w14:paraId="1FC1F48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Posiadana przez OSD sieć elektroenergetyczna na obszarze określonym w koncesji na dystrybucję energii elektrycznej OSD, za której ruch i eksploatację odpowiada OSD. </w:t>
            </w:r>
          </w:p>
        </w:tc>
      </w:tr>
      <w:tr w:rsidR="00CD7B36" w:rsidRPr="00EB2E7B" w14:paraId="59EBB999" w14:textId="77777777" w:rsidTr="00780901">
        <w:trPr>
          <w:gridAfter w:val="3"/>
          <w:wAfter w:w="65" w:type="dxa"/>
          <w:trHeight w:val="949"/>
        </w:trPr>
        <w:tc>
          <w:tcPr>
            <w:tcW w:w="2977" w:type="dxa"/>
          </w:tcPr>
          <w:p w14:paraId="28228A8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Obszar RB</w:t>
            </w:r>
          </w:p>
        </w:tc>
        <w:tc>
          <w:tcPr>
            <w:tcW w:w="6154" w:type="dxa"/>
            <w:gridSpan w:val="3"/>
          </w:tcPr>
          <w:p w14:paraId="5029429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Część systemu elektroenergetycznego, w której jest prowadzony hurtowy obrót energią elektryczną oraz w ramach której OSP równoważy bieżące zapotrzebowanie na energię elektryczną z dostawami tej energii w KSE, oraz </w:t>
            </w:r>
            <w:r w:rsidRPr="00EB2E7B">
              <w:rPr>
                <w:rFonts w:asciiTheme="minorHAnsi" w:hAnsiTheme="minorHAnsi" w:cstheme="minorHAnsi"/>
                <w:sz w:val="20"/>
                <w:szCs w:val="20"/>
              </w:rPr>
              <w:lastRenderedPageBreak/>
              <w:t>zarządza ograniczeniami systemowymi i prowadzi wynikające z tego rozliczenia, z podmiotami biorącymi udział w RB.</w:t>
            </w:r>
          </w:p>
        </w:tc>
      </w:tr>
      <w:tr w:rsidR="00CD7B36" w:rsidRPr="00EB2E7B" w14:paraId="2E5248C5" w14:textId="77777777" w:rsidTr="00780901">
        <w:trPr>
          <w:gridAfter w:val="3"/>
          <w:wAfter w:w="65" w:type="dxa"/>
          <w:trHeight w:val="605"/>
        </w:trPr>
        <w:tc>
          <w:tcPr>
            <w:tcW w:w="2977" w:type="dxa"/>
          </w:tcPr>
          <w:p w14:paraId="433C054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Odbiorca </w:t>
            </w:r>
          </w:p>
        </w:tc>
        <w:tc>
          <w:tcPr>
            <w:tcW w:w="6154" w:type="dxa"/>
            <w:gridSpan w:val="3"/>
          </w:tcPr>
          <w:p w14:paraId="70A2BDA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Każdy, kto otrzymuje lub pobiera energię elektryczną na podstawie umowy z przedsiębiorstwem energetycznym. </w:t>
            </w:r>
          </w:p>
        </w:tc>
      </w:tr>
      <w:tr w:rsidR="00CD7B36" w:rsidRPr="00EB2E7B" w14:paraId="6CBF5138" w14:textId="77777777" w:rsidTr="00780901">
        <w:trPr>
          <w:gridAfter w:val="4"/>
          <w:wAfter w:w="75" w:type="dxa"/>
          <w:trHeight w:val="883"/>
        </w:trPr>
        <w:tc>
          <w:tcPr>
            <w:tcW w:w="2977" w:type="dxa"/>
          </w:tcPr>
          <w:p w14:paraId="25BE81B6"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Odbiorca energii </w:t>
            </w:r>
          </w:p>
          <w:p w14:paraId="1882FC4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elektrycznej w gospodarstwie domowym </w:t>
            </w:r>
          </w:p>
        </w:tc>
        <w:tc>
          <w:tcPr>
            <w:tcW w:w="6144" w:type="dxa"/>
            <w:gridSpan w:val="2"/>
          </w:tcPr>
          <w:p w14:paraId="741535D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Odbiorca końcowy dokonujący zakupu energii elektrycznej wyłącznie w celu ich zużycia w gospodarstwie domowym. </w:t>
            </w:r>
          </w:p>
        </w:tc>
      </w:tr>
      <w:tr w:rsidR="00CD7B36" w:rsidRPr="00EB2E7B" w14:paraId="58549589" w14:textId="77777777" w:rsidTr="00780901">
        <w:trPr>
          <w:gridAfter w:val="4"/>
          <w:wAfter w:w="75" w:type="dxa"/>
          <w:trHeight w:val="1219"/>
        </w:trPr>
        <w:tc>
          <w:tcPr>
            <w:tcW w:w="2977" w:type="dxa"/>
          </w:tcPr>
          <w:p w14:paraId="029BC29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Odbiorca końcowy </w:t>
            </w:r>
          </w:p>
        </w:tc>
        <w:tc>
          <w:tcPr>
            <w:tcW w:w="6144" w:type="dxa"/>
            <w:gridSpan w:val="2"/>
          </w:tcPr>
          <w:p w14:paraId="2C83D37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Odbiorca dokonujący zakupu energii elektrycznej na własny użytek; do własnego użytku nie zalicza się energii elektrycznej zakupionej w celu jej magazynowania lub zużycia na potrzeby wytwarzania, przesyłania lub dystrybucji energii elektrycznej. </w:t>
            </w:r>
          </w:p>
        </w:tc>
      </w:tr>
      <w:tr w:rsidR="00CD7B36" w:rsidRPr="00EB2E7B" w14:paraId="63D55220" w14:textId="77777777" w:rsidTr="00780901">
        <w:trPr>
          <w:gridAfter w:val="4"/>
          <w:wAfter w:w="75" w:type="dxa"/>
          <w:trHeight w:val="951"/>
        </w:trPr>
        <w:tc>
          <w:tcPr>
            <w:tcW w:w="2977" w:type="dxa"/>
          </w:tcPr>
          <w:p w14:paraId="3FF98BA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Odbiorca w </w:t>
            </w:r>
            <w:proofErr w:type="spellStart"/>
            <w:r w:rsidRPr="00EB2E7B">
              <w:rPr>
                <w:rFonts w:asciiTheme="minorHAnsi" w:hAnsiTheme="minorHAnsi" w:cstheme="minorHAnsi"/>
                <w:b/>
                <w:bCs/>
                <w:sz w:val="20"/>
                <w:szCs w:val="20"/>
              </w:rPr>
              <w:t>ORed</w:t>
            </w:r>
            <w:proofErr w:type="spellEnd"/>
            <w:r w:rsidRPr="00EB2E7B">
              <w:rPr>
                <w:rFonts w:asciiTheme="minorHAnsi" w:hAnsiTheme="minorHAnsi" w:cstheme="minorHAnsi"/>
                <w:b/>
                <w:bCs/>
                <w:sz w:val="20"/>
                <w:szCs w:val="20"/>
              </w:rPr>
              <w:t xml:space="preserve"> </w:t>
            </w:r>
          </w:p>
        </w:tc>
        <w:tc>
          <w:tcPr>
            <w:tcW w:w="6144" w:type="dxa"/>
            <w:gridSpan w:val="2"/>
          </w:tcPr>
          <w:p w14:paraId="63703CB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będący stroną umowy o świadczenie usług przesyłania lub umowy regulującej zasady świadczenia usług dystrybucji w danym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w:t>
            </w:r>
          </w:p>
        </w:tc>
      </w:tr>
      <w:tr w:rsidR="00423122" w:rsidRPr="00EB2E7B" w14:paraId="34112CAE" w14:textId="77777777" w:rsidTr="00780901">
        <w:trPr>
          <w:gridAfter w:val="4"/>
          <w:wAfter w:w="75" w:type="dxa"/>
          <w:trHeight w:val="946"/>
        </w:trPr>
        <w:tc>
          <w:tcPr>
            <w:tcW w:w="2977" w:type="dxa"/>
          </w:tcPr>
          <w:p w14:paraId="1F02573E" w14:textId="2B9C7E27" w:rsidR="00423122" w:rsidRPr="00EB2E7B" w:rsidRDefault="00423122" w:rsidP="00423122">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 xml:space="preserve">Odłączenie od sieci </w:t>
            </w:r>
          </w:p>
        </w:tc>
        <w:tc>
          <w:tcPr>
            <w:tcW w:w="6144" w:type="dxa"/>
            <w:gridSpan w:val="2"/>
          </w:tcPr>
          <w:p w14:paraId="37D9A810" w14:textId="2DA05FCE" w:rsidR="00423122" w:rsidRPr="00EB2E7B" w:rsidRDefault="00423122" w:rsidP="00423122">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Trwałe rozdzielenie urządzeń, instalacji lub sieci podmiotu przyłączonego do sieci dystrybucyjnej, obejmujące m.in. trwały demontaż elementów przyłącza. </w:t>
            </w:r>
          </w:p>
        </w:tc>
      </w:tr>
      <w:tr w:rsidR="00CD7B36" w:rsidRPr="00EB2E7B" w14:paraId="18D2449E" w14:textId="77777777" w:rsidTr="00780901">
        <w:trPr>
          <w:gridAfter w:val="4"/>
          <w:wAfter w:w="75" w:type="dxa"/>
          <w:trHeight w:val="1779"/>
        </w:trPr>
        <w:tc>
          <w:tcPr>
            <w:tcW w:w="2977" w:type="dxa"/>
          </w:tcPr>
          <w:p w14:paraId="2DA7140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Odnawialne źródło energii (OZE) </w:t>
            </w:r>
          </w:p>
        </w:tc>
        <w:tc>
          <w:tcPr>
            <w:tcW w:w="6144" w:type="dxa"/>
            <w:gridSpan w:val="2"/>
          </w:tcPr>
          <w:p w14:paraId="7DB80CD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Odnawialne, niekopalne źródła energii obejmujące energię wiatru, energię promieniowania słonecznego, energię </w:t>
            </w:r>
            <w:proofErr w:type="spellStart"/>
            <w:r w:rsidRPr="00EB2E7B">
              <w:rPr>
                <w:rFonts w:asciiTheme="minorHAnsi" w:hAnsiTheme="minorHAnsi" w:cstheme="minorHAnsi"/>
                <w:sz w:val="20"/>
                <w:szCs w:val="20"/>
              </w:rPr>
              <w:t>aerotermalną</w:t>
            </w:r>
            <w:proofErr w:type="spellEnd"/>
            <w:r w:rsidRPr="00EB2E7B">
              <w:rPr>
                <w:rFonts w:asciiTheme="minorHAnsi" w:hAnsiTheme="minorHAnsi" w:cstheme="minorHAnsi"/>
                <w:sz w:val="20"/>
                <w:szCs w:val="20"/>
              </w:rPr>
              <w:t>, energię geotermalną, energię hydrotermalną, hydroenergię, energię fal, prądów i pływów morskich, energię otrzymywaną z biomasy, biogazu, biogazu rolniczego oraz z </w:t>
            </w:r>
            <w:proofErr w:type="spellStart"/>
            <w:r w:rsidRPr="00EB2E7B">
              <w:rPr>
                <w:rFonts w:asciiTheme="minorHAnsi" w:hAnsiTheme="minorHAnsi" w:cstheme="minorHAnsi"/>
                <w:sz w:val="20"/>
                <w:szCs w:val="20"/>
              </w:rPr>
              <w:t>biopłynów</w:t>
            </w:r>
            <w:proofErr w:type="spellEnd"/>
            <w:r w:rsidRPr="00EB2E7B">
              <w:rPr>
                <w:rFonts w:asciiTheme="minorHAnsi" w:hAnsiTheme="minorHAnsi" w:cstheme="minorHAnsi"/>
                <w:sz w:val="20"/>
                <w:szCs w:val="20"/>
              </w:rPr>
              <w:t xml:space="preserve">. </w:t>
            </w:r>
          </w:p>
        </w:tc>
      </w:tr>
      <w:tr w:rsidR="00CD7B36" w:rsidRPr="00EB2E7B" w14:paraId="570DC7C8" w14:textId="77777777" w:rsidTr="00780901">
        <w:trPr>
          <w:gridAfter w:val="4"/>
          <w:wAfter w:w="75" w:type="dxa"/>
          <w:trHeight w:val="1779"/>
        </w:trPr>
        <w:tc>
          <w:tcPr>
            <w:tcW w:w="2977" w:type="dxa"/>
          </w:tcPr>
          <w:p w14:paraId="55CDD0C8" w14:textId="77777777" w:rsidR="00CD7B36" w:rsidRPr="00EB2E7B" w:rsidRDefault="00CD7B36">
            <w:pPr>
              <w:spacing w:after="0"/>
              <w:ind w:left="70" w:firstLine="0"/>
              <w:jc w:val="left"/>
              <w:rPr>
                <w:rFonts w:asciiTheme="minorHAnsi" w:hAnsiTheme="minorHAnsi" w:cstheme="minorHAnsi"/>
                <w:b/>
                <w:bCs/>
                <w:sz w:val="20"/>
                <w:szCs w:val="20"/>
              </w:rPr>
            </w:pPr>
            <w:r>
              <w:rPr>
                <w:rFonts w:asciiTheme="minorHAnsi" w:hAnsiTheme="minorHAnsi" w:cstheme="minorHAnsi"/>
                <w:b/>
                <w:bCs/>
                <w:sz w:val="20"/>
                <w:szCs w:val="20"/>
              </w:rPr>
              <w:t xml:space="preserve">Oferta zintegrowanego procesu </w:t>
            </w:r>
            <w:proofErr w:type="spellStart"/>
            <w:r>
              <w:rPr>
                <w:rFonts w:asciiTheme="minorHAnsi" w:hAnsiTheme="minorHAnsi" w:cstheme="minorHAnsi"/>
                <w:b/>
                <w:bCs/>
                <w:sz w:val="20"/>
                <w:szCs w:val="20"/>
              </w:rPr>
              <w:t>grafikowania</w:t>
            </w:r>
            <w:proofErr w:type="spellEnd"/>
          </w:p>
        </w:tc>
        <w:tc>
          <w:tcPr>
            <w:tcW w:w="6144" w:type="dxa"/>
            <w:gridSpan w:val="2"/>
          </w:tcPr>
          <w:p w14:paraId="53CF6976"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Wynikająca z WDB oferta zawierająca dane handlowe i dane techniczne, składająca się z oferty na energię bilansującą, oferty na moce bilansujące oraz oferty technicznej, składana przez dostawcę usług bilansujących do OSP w odniesieniu do jednostki grafikowej.</w:t>
            </w:r>
          </w:p>
        </w:tc>
      </w:tr>
      <w:tr w:rsidR="00CD7B36" w:rsidRPr="00EB2E7B" w14:paraId="4FAD0640" w14:textId="77777777" w:rsidTr="00780901">
        <w:trPr>
          <w:gridAfter w:val="4"/>
          <w:wAfter w:w="75" w:type="dxa"/>
          <w:trHeight w:val="1779"/>
        </w:trPr>
        <w:tc>
          <w:tcPr>
            <w:tcW w:w="2977" w:type="dxa"/>
          </w:tcPr>
          <w:p w14:paraId="559F1C1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Ogólnodostępna stacja ładowania</w:t>
            </w:r>
          </w:p>
        </w:tc>
        <w:tc>
          <w:tcPr>
            <w:tcW w:w="6144" w:type="dxa"/>
            <w:gridSpan w:val="2"/>
          </w:tcPr>
          <w:p w14:paraId="54049AA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Stacja ładowania dostępna na zasadach równoprawnego traktowania dla każdego posiadacza pojazdu elektrycznego i pojazdu hybrydowego.</w:t>
            </w:r>
          </w:p>
        </w:tc>
      </w:tr>
      <w:tr w:rsidR="00CD7B36" w:rsidRPr="00EB2E7B" w14:paraId="2B8FDF66" w14:textId="77777777" w:rsidTr="00780901">
        <w:trPr>
          <w:gridAfter w:val="4"/>
          <w:wAfter w:w="75" w:type="dxa"/>
          <w:trHeight w:val="675"/>
        </w:trPr>
        <w:tc>
          <w:tcPr>
            <w:tcW w:w="2977" w:type="dxa"/>
          </w:tcPr>
          <w:p w14:paraId="3BD5B77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Ograniczenia </w:t>
            </w:r>
            <w:proofErr w:type="spellStart"/>
            <w:r w:rsidRPr="00EB2E7B">
              <w:rPr>
                <w:rFonts w:asciiTheme="minorHAnsi" w:hAnsiTheme="minorHAnsi" w:cstheme="minorHAnsi"/>
                <w:b/>
                <w:bCs/>
                <w:sz w:val="20"/>
                <w:szCs w:val="20"/>
              </w:rPr>
              <w:t>elektrowniane</w:t>
            </w:r>
            <w:proofErr w:type="spellEnd"/>
            <w:r w:rsidRPr="00EB2E7B">
              <w:rPr>
                <w:rFonts w:asciiTheme="minorHAnsi" w:hAnsiTheme="minorHAnsi" w:cstheme="minorHAnsi"/>
                <w:b/>
                <w:bCs/>
                <w:sz w:val="20"/>
                <w:szCs w:val="20"/>
              </w:rPr>
              <w:t xml:space="preserve"> </w:t>
            </w:r>
          </w:p>
        </w:tc>
        <w:tc>
          <w:tcPr>
            <w:tcW w:w="6144" w:type="dxa"/>
            <w:gridSpan w:val="2"/>
          </w:tcPr>
          <w:p w14:paraId="10EB3D0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Ograniczenia wynikające z technicznych warunków pracy jednostek wytwórczych. </w:t>
            </w:r>
          </w:p>
        </w:tc>
      </w:tr>
      <w:tr w:rsidR="00CD7B36" w:rsidRPr="00EB2E7B" w14:paraId="056A11E5" w14:textId="77777777" w:rsidTr="00780901">
        <w:trPr>
          <w:gridAfter w:val="4"/>
          <w:wAfter w:w="75" w:type="dxa"/>
          <w:trHeight w:val="675"/>
        </w:trPr>
        <w:tc>
          <w:tcPr>
            <w:tcW w:w="2977" w:type="dxa"/>
          </w:tcPr>
          <w:p w14:paraId="497A20F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Ograniczenia sieciowe</w:t>
            </w:r>
          </w:p>
        </w:tc>
        <w:tc>
          <w:tcPr>
            <w:tcW w:w="6144" w:type="dxa"/>
            <w:gridSpan w:val="2"/>
          </w:tcPr>
          <w:p w14:paraId="6D4EDC6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Ograniczenia przesyłowe, o których mowa w art. 2 pkt 4 rozporządzenia 2019/943.</w:t>
            </w:r>
          </w:p>
        </w:tc>
      </w:tr>
      <w:tr w:rsidR="00CD7B36" w:rsidRPr="00EB2E7B" w14:paraId="41D46013" w14:textId="77777777" w:rsidTr="00780901">
        <w:trPr>
          <w:gridAfter w:val="4"/>
          <w:wAfter w:w="75" w:type="dxa"/>
          <w:trHeight w:val="675"/>
        </w:trPr>
        <w:tc>
          <w:tcPr>
            <w:tcW w:w="2977" w:type="dxa"/>
          </w:tcPr>
          <w:p w14:paraId="513D33C4"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Okres rozliczania niezbilansowania</w:t>
            </w:r>
          </w:p>
        </w:tc>
        <w:tc>
          <w:tcPr>
            <w:tcW w:w="6144" w:type="dxa"/>
            <w:gridSpan w:val="2"/>
          </w:tcPr>
          <w:p w14:paraId="33F7BB2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Okres rozliczania niezbilansowania w rozumieniu art. 2 pkt 10 EB GL określony w WDB.</w:t>
            </w:r>
          </w:p>
        </w:tc>
      </w:tr>
      <w:tr w:rsidR="00CD7B36" w:rsidRPr="00EB2E7B" w14:paraId="1BE5D5B2" w14:textId="77777777" w:rsidTr="00780901">
        <w:trPr>
          <w:gridAfter w:val="4"/>
          <w:wAfter w:w="75" w:type="dxa"/>
          <w:trHeight w:val="951"/>
        </w:trPr>
        <w:tc>
          <w:tcPr>
            <w:tcW w:w="2977" w:type="dxa"/>
          </w:tcPr>
          <w:p w14:paraId="0B76919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Okres rozliczeniowy usług dystrybucyjnych </w:t>
            </w:r>
          </w:p>
        </w:tc>
        <w:tc>
          <w:tcPr>
            <w:tcW w:w="6144" w:type="dxa"/>
            <w:gridSpan w:val="2"/>
          </w:tcPr>
          <w:p w14:paraId="5EBD36A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Okres pomiędzy dwoma kolejnymi rozliczeniowymi odczytami urządzeń do pomiaru mocy lub energii elektrycznej, dokonanymi przez OSD. </w:t>
            </w:r>
          </w:p>
        </w:tc>
      </w:tr>
      <w:tr w:rsidR="00CD7B36" w:rsidRPr="00EB2E7B" w14:paraId="4B0B6B4E" w14:textId="77777777" w:rsidTr="00780901">
        <w:trPr>
          <w:gridAfter w:val="4"/>
          <w:wAfter w:w="75" w:type="dxa"/>
          <w:trHeight w:val="672"/>
        </w:trPr>
        <w:tc>
          <w:tcPr>
            <w:tcW w:w="2977" w:type="dxa"/>
          </w:tcPr>
          <w:p w14:paraId="5B43D64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Operator </w:t>
            </w:r>
          </w:p>
        </w:tc>
        <w:tc>
          <w:tcPr>
            <w:tcW w:w="6144" w:type="dxa"/>
            <w:gridSpan w:val="2"/>
          </w:tcPr>
          <w:p w14:paraId="547FEF47" w14:textId="78982D9C"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Operator systemu przesyłowego</w:t>
            </w:r>
            <w:r w:rsidR="00CF17D4" w:rsidRPr="00EB2E7B">
              <w:rPr>
                <w:rFonts w:asciiTheme="minorHAnsi" w:hAnsiTheme="minorHAnsi" w:cstheme="minorHAnsi"/>
                <w:sz w:val="20"/>
                <w:szCs w:val="20"/>
              </w:rPr>
              <w:t xml:space="preserve"> elektroenergetycznego</w:t>
            </w:r>
            <w:r w:rsidR="00506B7E"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r w:rsidR="00506B7E" w:rsidRPr="00EB2E7B">
              <w:rPr>
                <w:rFonts w:asciiTheme="minorHAnsi" w:hAnsiTheme="minorHAnsi" w:cstheme="minorHAnsi"/>
                <w:sz w:val="20"/>
                <w:szCs w:val="20"/>
              </w:rPr>
              <w:t>O</w:t>
            </w:r>
            <w:r w:rsidRPr="00EB2E7B">
              <w:rPr>
                <w:rFonts w:asciiTheme="minorHAnsi" w:hAnsiTheme="minorHAnsi" w:cstheme="minorHAnsi"/>
                <w:sz w:val="20"/>
                <w:szCs w:val="20"/>
              </w:rPr>
              <w:t>perator systemu dystrybucyjnego</w:t>
            </w:r>
            <w:r w:rsidR="00CF17D4" w:rsidRPr="00EB2E7B">
              <w:rPr>
                <w:rFonts w:asciiTheme="minorHAnsi" w:hAnsiTheme="minorHAnsi" w:cstheme="minorHAnsi"/>
                <w:sz w:val="20"/>
                <w:szCs w:val="20"/>
              </w:rPr>
              <w:t xml:space="preserve"> elektroenergetycznego</w:t>
            </w:r>
            <w:r w:rsidR="00506B7E" w:rsidRPr="00EB2E7B">
              <w:rPr>
                <w:rFonts w:asciiTheme="minorHAnsi" w:hAnsiTheme="minorHAnsi" w:cstheme="minorHAnsi"/>
                <w:sz w:val="20"/>
                <w:szCs w:val="20"/>
              </w:rPr>
              <w:t xml:space="preserve"> lub Operator systemu połączonego</w:t>
            </w:r>
            <w:r w:rsidR="00CF17D4" w:rsidRPr="00EB2E7B">
              <w:rPr>
                <w:rFonts w:asciiTheme="minorHAnsi" w:hAnsiTheme="minorHAnsi" w:cstheme="minorHAnsi"/>
                <w:sz w:val="20"/>
                <w:szCs w:val="20"/>
              </w:rPr>
              <w:t xml:space="preserve"> elektroenergetycznego</w:t>
            </w:r>
            <w:r w:rsidR="00CF17D4" w:rsidRPr="00EB2E7B">
              <w:rPr>
                <w:rStyle w:val="Odwoaniedokomentarza"/>
                <w:rFonts w:asciiTheme="minorHAnsi" w:hAnsiTheme="minorHAnsi" w:cstheme="minorHAnsi"/>
                <w:sz w:val="20"/>
                <w:szCs w:val="20"/>
              </w:rPr>
              <w:t xml:space="preserve"> </w:t>
            </w:r>
            <w:r w:rsidRPr="00EB2E7B">
              <w:rPr>
                <w:rFonts w:asciiTheme="minorHAnsi" w:hAnsiTheme="minorHAnsi" w:cstheme="minorHAnsi"/>
                <w:sz w:val="20"/>
                <w:szCs w:val="20"/>
              </w:rPr>
              <w:t xml:space="preserve">. </w:t>
            </w:r>
          </w:p>
        </w:tc>
      </w:tr>
      <w:tr w:rsidR="00CD7B36" w:rsidRPr="00EB2E7B" w14:paraId="4809E6F3" w14:textId="77777777" w:rsidTr="00780901">
        <w:trPr>
          <w:gridAfter w:val="4"/>
          <w:wAfter w:w="75" w:type="dxa"/>
          <w:trHeight w:val="946"/>
        </w:trPr>
        <w:tc>
          <w:tcPr>
            <w:tcW w:w="2977" w:type="dxa"/>
          </w:tcPr>
          <w:p w14:paraId="10207A7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Operator handlowy (OH) </w:t>
            </w:r>
          </w:p>
        </w:tc>
        <w:tc>
          <w:tcPr>
            <w:tcW w:w="6144" w:type="dxa"/>
            <w:gridSpan w:val="2"/>
          </w:tcPr>
          <w:p w14:paraId="4907B72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który jest odpowiedzialny za dysponowanie Jednostką Grafikową Uczestnika Rynku Bilansującego w zakresie handlowym. </w:t>
            </w:r>
          </w:p>
        </w:tc>
      </w:tr>
      <w:tr w:rsidR="00CD7B36" w:rsidRPr="00EB2E7B" w14:paraId="5676BF0D" w14:textId="77777777" w:rsidTr="00780901">
        <w:trPr>
          <w:gridAfter w:val="4"/>
          <w:wAfter w:w="75" w:type="dxa"/>
          <w:trHeight w:val="946"/>
        </w:trPr>
        <w:tc>
          <w:tcPr>
            <w:tcW w:w="2977" w:type="dxa"/>
          </w:tcPr>
          <w:p w14:paraId="3EEDD05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Operator </w:t>
            </w:r>
            <w:proofErr w:type="spellStart"/>
            <w:r w:rsidRPr="00EB2E7B">
              <w:rPr>
                <w:rFonts w:asciiTheme="minorHAnsi" w:hAnsiTheme="minorHAnsi" w:cstheme="minorHAnsi"/>
                <w:b/>
                <w:bCs/>
                <w:sz w:val="20"/>
                <w:szCs w:val="20"/>
              </w:rPr>
              <w:t>handlowotechniczny</w:t>
            </w:r>
            <w:proofErr w:type="spellEnd"/>
            <w:r w:rsidRPr="00EB2E7B">
              <w:rPr>
                <w:rFonts w:asciiTheme="minorHAnsi" w:hAnsiTheme="minorHAnsi" w:cstheme="minorHAnsi"/>
                <w:b/>
                <w:bCs/>
                <w:sz w:val="20"/>
                <w:szCs w:val="20"/>
              </w:rPr>
              <w:t xml:space="preserve"> (OHT) </w:t>
            </w:r>
          </w:p>
        </w:tc>
        <w:tc>
          <w:tcPr>
            <w:tcW w:w="6144" w:type="dxa"/>
            <w:gridSpan w:val="2"/>
          </w:tcPr>
          <w:p w14:paraId="445D9DA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który jest odpowiedzialny za dysponowanie Jednostką Grafikową Uczestnika Rynku Bilansującego w zakresie handlowym i technicznym. </w:t>
            </w:r>
          </w:p>
        </w:tc>
      </w:tr>
      <w:tr w:rsidR="00CD7B36" w:rsidRPr="00EB2E7B" w14:paraId="6AA33D05" w14:textId="77777777" w:rsidTr="00780901">
        <w:trPr>
          <w:gridAfter w:val="4"/>
          <w:wAfter w:w="75" w:type="dxa"/>
          <w:trHeight w:val="946"/>
        </w:trPr>
        <w:tc>
          <w:tcPr>
            <w:tcW w:w="2977" w:type="dxa"/>
          </w:tcPr>
          <w:p w14:paraId="248C415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Operator informacji rynku energii</w:t>
            </w:r>
          </w:p>
        </w:tc>
        <w:tc>
          <w:tcPr>
            <w:tcW w:w="6144" w:type="dxa"/>
            <w:gridSpan w:val="2"/>
          </w:tcPr>
          <w:p w14:paraId="33B2BA56" w14:textId="011AA845"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Podmiot odpowiedzialny za zarządzanie i administrowanie Centralnym systemem informacji rynku energii oraz przetwarzanie zgromadzonych w nim informacji na potrzeby realizacji procesów rynku energii</w:t>
            </w:r>
            <w:r w:rsidR="004D1200" w:rsidRPr="00EB2E7B">
              <w:rPr>
                <w:rFonts w:asciiTheme="minorHAnsi" w:hAnsiTheme="minorHAnsi" w:cstheme="minorHAnsi"/>
                <w:sz w:val="20"/>
                <w:szCs w:val="20"/>
              </w:rPr>
              <w:t>.</w:t>
            </w:r>
          </w:p>
        </w:tc>
      </w:tr>
      <w:tr w:rsidR="00CD7B36" w:rsidRPr="00EB2E7B" w14:paraId="109DAE26" w14:textId="77777777" w:rsidTr="00780901">
        <w:trPr>
          <w:gridAfter w:val="4"/>
          <w:wAfter w:w="75" w:type="dxa"/>
          <w:trHeight w:val="946"/>
        </w:trPr>
        <w:tc>
          <w:tcPr>
            <w:tcW w:w="2977" w:type="dxa"/>
          </w:tcPr>
          <w:p w14:paraId="1368E97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Operator ogólnodostępnej stacji ładowania</w:t>
            </w:r>
          </w:p>
        </w:tc>
        <w:tc>
          <w:tcPr>
            <w:tcW w:w="6144" w:type="dxa"/>
            <w:gridSpan w:val="2"/>
          </w:tcPr>
          <w:p w14:paraId="3AD175B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Podmiot odpowiedzialny za budowę, zarządzanie, bezpieczeństwo funkcjonowania, eksploatację, konserwację i remonty ogólnodostępnej stacji ładowania.</w:t>
            </w:r>
          </w:p>
        </w:tc>
      </w:tr>
      <w:tr w:rsidR="00CD7B36" w:rsidRPr="00EB2E7B" w14:paraId="3966EC13" w14:textId="77777777" w:rsidTr="00780901">
        <w:trPr>
          <w:gridAfter w:val="4"/>
          <w:wAfter w:w="75" w:type="dxa"/>
          <w:trHeight w:val="883"/>
        </w:trPr>
        <w:tc>
          <w:tcPr>
            <w:tcW w:w="2977" w:type="dxa"/>
          </w:tcPr>
          <w:p w14:paraId="0C2E91E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Operator pomiarów </w:t>
            </w:r>
          </w:p>
        </w:tc>
        <w:tc>
          <w:tcPr>
            <w:tcW w:w="6144" w:type="dxa"/>
            <w:gridSpan w:val="2"/>
          </w:tcPr>
          <w:p w14:paraId="71A09AF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Podmiot, który realizuje funkcje operatorskie w zakresie przekazywania i pozyskiwania danych pomiarowych do/od OSP zgodnie z WDB.</w:t>
            </w:r>
          </w:p>
        </w:tc>
      </w:tr>
      <w:tr w:rsidR="00CD7B36" w:rsidRPr="00EB2E7B" w14:paraId="578BEB5B" w14:textId="77777777" w:rsidTr="00780901">
        <w:trPr>
          <w:gridAfter w:val="1"/>
          <w:wAfter w:w="14" w:type="dxa"/>
          <w:trHeight w:val="1985"/>
        </w:trPr>
        <w:tc>
          <w:tcPr>
            <w:tcW w:w="2977" w:type="dxa"/>
          </w:tcPr>
          <w:p w14:paraId="3C7B5AA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Operator systemu dystrybucyjnego </w:t>
            </w:r>
          </w:p>
        </w:tc>
        <w:tc>
          <w:tcPr>
            <w:tcW w:w="6205" w:type="dxa"/>
            <w:gridSpan w:val="5"/>
          </w:tcPr>
          <w:p w14:paraId="6351E35A" w14:textId="1EB09575"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Przedsiębiorstwo energetyczne zajmujące się dystrybucją energii elektrycznej, odpowiedzialne za ruch sieciowy w systemie dystrybucyjnym, bieżące i długookresowe bezpieczeństwo funkcjonowania tego systemu, eksploatację, konserwację, remonty oraz niezbędną rozbudowę sieci dystrybucyjnej, w tym połączeń z innymi systemami elektroenergetycznymi.  </w:t>
            </w:r>
          </w:p>
        </w:tc>
      </w:tr>
      <w:tr w:rsidR="00CD7B36" w:rsidRPr="00EB2E7B" w14:paraId="390AF7FA" w14:textId="77777777" w:rsidTr="00780901">
        <w:trPr>
          <w:gridAfter w:val="1"/>
          <w:wAfter w:w="14" w:type="dxa"/>
          <w:trHeight w:val="2074"/>
        </w:trPr>
        <w:tc>
          <w:tcPr>
            <w:tcW w:w="2977" w:type="dxa"/>
          </w:tcPr>
          <w:p w14:paraId="2DD0DEF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Operator systemu przesyłowego </w:t>
            </w:r>
          </w:p>
        </w:tc>
        <w:tc>
          <w:tcPr>
            <w:tcW w:w="6205" w:type="dxa"/>
            <w:gridSpan w:val="5"/>
          </w:tcPr>
          <w:p w14:paraId="4106B2ED" w14:textId="758ABD76"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Przedsiębiorstwo energetyczne zajmujące się przesyłaniem energii elektrycznej, odpowiedzialne za ruch sieciowy w systemie przesyłowym, bieżące i długookresowe bezpieczeństwo funkcjonowania tego systemu, eksploatację, konserwację, remonty oraz niezbędną rozbudowę sieci przesyłowej, w tym połączeń z innymi systemami  elektroenergetycznymi. </w:t>
            </w:r>
          </w:p>
        </w:tc>
      </w:tr>
      <w:tr w:rsidR="00CD7B36" w:rsidRPr="00EB2E7B" w14:paraId="1DE9281A" w14:textId="77777777" w:rsidTr="00780901">
        <w:trPr>
          <w:gridAfter w:val="1"/>
          <w:wAfter w:w="14" w:type="dxa"/>
          <w:trHeight w:val="2074"/>
        </w:trPr>
        <w:tc>
          <w:tcPr>
            <w:tcW w:w="2977" w:type="dxa"/>
          </w:tcPr>
          <w:p w14:paraId="74D80F6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Podmiot odpowiedzialny za bilansowanie</w:t>
            </w:r>
          </w:p>
        </w:tc>
        <w:tc>
          <w:tcPr>
            <w:tcW w:w="6205" w:type="dxa"/>
            <w:gridSpan w:val="5"/>
          </w:tcPr>
          <w:p w14:paraId="1FD3DD9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Podmiot w rozumieniu art. 2 pkt 14 rozporządzenia 2019/943 uczestniczący w RB na podstawie umowy przesyłowej.</w:t>
            </w:r>
          </w:p>
        </w:tc>
      </w:tr>
      <w:tr w:rsidR="00CD7B36" w:rsidRPr="00EB2E7B" w14:paraId="29D20F6D" w14:textId="77777777" w:rsidTr="00780901">
        <w:trPr>
          <w:gridAfter w:val="1"/>
          <w:wAfter w:w="14" w:type="dxa"/>
          <w:trHeight w:val="2074"/>
        </w:trPr>
        <w:tc>
          <w:tcPr>
            <w:tcW w:w="2977" w:type="dxa"/>
          </w:tcPr>
          <w:p w14:paraId="14B4280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Podmiot prowadzący bilansowanie handlowe będący </w:t>
            </w:r>
            <w:proofErr w:type="spellStart"/>
            <w:r w:rsidRPr="00EB2E7B">
              <w:rPr>
                <w:rFonts w:asciiTheme="minorHAnsi" w:hAnsiTheme="minorHAnsi" w:cstheme="minorHAnsi"/>
                <w:b/>
                <w:bCs/>
                <w:sz w:val="20"/>
                <w:szCs w:val="20"/>
              </w:rPr>
              <w:t>OSDp</w:t>
            </w:r>
            <w:proofErr w:type="spellEnd"/>
          </w:p>
        </w:tc>
        <w:tc>
          <w:tcPr>
            <w:tcW w:w="6205" w:type="dxa"/>
            <w:gridSpan w:val="5"/>
          </w:tcPr>
          <w:p w14:paraId="5E70E31E" w14:textId="77777777" w:rsidR="00CD7B36" w:rsidRPr="00EB2E7B" w:rsidRDefault="00CD7B36">
            <w:pPr>
              <w:ind w:left="70" w:firstLine="0"/>
              <w:rPr>
                <w:rFonts w:asciiTheme="minorHAnsi" w:hAnsiTheme="minorHAnsi" w:cstheme="minorHAnsi"/>
                <w:sz w:val="20"/>
                <w:szCs w:val="20"/>
              </w:rPr>
            </w:pP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który działając jako przedsiębiorstwo bilansujące:</w:t>
            </w:r>
          </w:p>
          <w:p w14:paraId="2BC5EDC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a) dokonuje zakupu energii elektrycznej w celu pokrywania strat powstałych w sieci dystrybucyjnej podczas dystrybucji energii elektrycznej tą siecią, oraz</w:t>
            </w:r>
          </w:p>
          <w:p w14:paraId="6340037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b) może dokonywać zakupu energii elektrycznej w celu pokrywania potrzeb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związanych z wykonywaną działalnością gospodarczą w zakresie dystrybucji energii elektrycznej.</w:t>
            </w:r>
          </w:p>
        </w:tc>
      </w:tr>
      <w:tr w:rsidR="00CD7B36" w:rsidRPr="00EB2E7B" w14:paraId="33536913" w14:textId="77777777" w:rsidTr="00780901">
        <w:trPr>
          <w:gridAfter w:val="1"/>
          <w:wAfter w:w="14" w:type="dxa"/>
          <w:trHeight w:val="2074"/>
        </w:trPr>
        <w:tc>
          <w:tcPr>
            <w:tcW w:w="2977" w:type="dxa"/>
          </w:tcPr>
          <w:p w14:paraId="7AA6939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Podmiot prowadzący bilansowanie handlowe zasobów</w:t>
            </w:r>
          </w:p>
        </w:tc>
        <w:tc>
          <w:tcPr>
            <w:tcW w:w="6205" w:type="dxa"/>
            <w:gridSpan w:val="5"/>
          </w:tcPr>
          <w:p w14:paraId="63794DF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Podmiot odpowiedzialny za niezbilansowanie zasobów:</w:t>
            </w:r>
          </w:p>
          <w:p w14:paraId="3FB0E07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a) których jest właścicielem, przy czym w uzasadnionych sytuacjach zamiast właściciela może działać użytkownik systemu, który dysponuje innym niż własność tytułem prawnym do zasobu albo zasobów, lub</w:t>
            </w:r>
          </w:p>
          <w:p w14:paraId="7F9FDFA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b) w odniesieniu do których został wskazany jako odpowiedzialny za ich niezbilansowanie przez właścicieli albo sprzedawców energii elektrycznej w przypadku zasobów odbiorców końcowych przyłączonych do sieci dystrybucyjnej.</w:t>
            </w:r>
          </w:p>
        </w:tc>
      </w:tr>
      <w:tr w:rsidR="00CD7B36" w:rsidRPr="00EB2E7B" w14:paraId="5E48012B" w14:textId="77777777" w:rsidTr="00780901">
        <w:trPr>
          <w:gridAfter w:val="1"/>
          <w:wAfter w:w="14" w:type="dxa"/>
          <w:trHeight w:val="1205"/>
        </w:trPr>
        <w:tc>
          <w:tcPr>
            <w:tcW w:w="2977" w:type="dxa"/>
          </w:tcPr>
          <w:p w14:paraId="21F2D74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Podmiot ubiegający się o przyłączenie do sieci (podmiot przyłączony do </w:t>
            </w:r>
          </w:p>
          <w:p w14:paraId="7C3A267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sieci) </w:t>
            </w:r>
          </w:p>
        </w:tc>
        <w:tc>
          <w:tcPr>
            <w:tcW w:w="6205" w:type="dxa"/>
            <w:gridSpan w:val="5"/>
          </w:tcPr>
          <w:p w14:paraId="5DE2BBB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ubiegający się o przyłączenie do sieci swoich urządzeń, instalacji lub sieci elektroenergetycznej (podmiot którego urządzenia, instalacje i sieci są przyłączone do sieci elektroenergetycznej). </w:t>
            </w:r>
          </w:p>
        </w:tc>
      </w:tr>
      <w:tr w:rsidR="00CD7B36" w:rsidRPr="00EB2E7B" w14:paraId="6A5A4913" w14:textId="77777777" w:rsidTr="00780901">
        <w:trPr>
          <w:gridAfter w:val="1"/>
          <w:wAfter w:w="14" w:type="dxa"/>
          <w:trHeight w:val="1205"/>
        </w:trPr>
        <w:tc>
          <w:tcPr>
            <w:tcW w:w="2977" w:type="dxa"/>
          </w:tcPr>
          <w:p w14:paraId="0B61B67A"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Pośredni układ pomiarowy</w:t>
            </w:r>
          </w:p>
        </w:tc>
        <w:tc>
          <w:tcPr>
            <w:tcW w:w="6205" w:type="dxa"/>
            <w:gridSpan w:val="5"/>
          </w:tcPr>
          <w:p w14:paraId="3EA2105B" w14:textId="1E17B17D"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Licznik konwencjonalny lub licznik zdalnego odczytu wraz z</w:t>
            </w:r>
            <w:r w:rsidR="00D91C88" w:rsidRPr="00EB2E7B">
              <w:rPr>
                <w:rFonts w:asciiTheme="minorHAnsi" w:hAnsiTheme="minorHAnsi" w:cstheme="minorHAnsi"/>
                <w:sz w:val="20"/>
                <w:szCs w:val="20"/>
              </w:rPr>
              <w:t> </w:t>
            </w:r>
            <w:r w:rsidRPr="00EB2E7B">
              <w:rPr>
                <w:rFonts w:asciiTheme="minorHAnsi" w:hAnsiTheme="minorHAnsi" w:cstheme="minorHAnsi"/>
                <w:sz w:val="20"/>
                <w:szCs w:val="20"/>
              </w:rPr>
              <w:t>przekładnikami prądowymi i napięciowymi, służący do pomiarów energii elektrycznej lub pomiarów i rozliczeń za tę energię.</w:t>
            </w:r>
          </w:p>
        </w:tc>
      </w:tr>
      <w:tr w:rsidR="00DC73FD" w:rsidRPr="00EB2E7B" w14:paraId="3D8886F4" w14:textId="77777777" w:rsidTr="00780901">
        <w:trPr>
          <w:gridAfter w:val="1"/>
          <w:wAfter w:w="14" w:type="dxa"/>
          <w:trHeight w:val="1205"/>
        </w:trPr>
        <w:tc>
          <w:tcPr>
            <w:tcW w:w="2977" w:type="dxa"/>
          </w:tcPr>
          <w:p w14:paraId="6F171341" w14:textId="7C2A5F72" w:rsidR="00DC73FD" w:rsidRPr="00EB2E7B" w:rsidRDefault="00026AF4">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Potrzeby własne jednostki</w:t>
            </w:r>
            <w:r w:rsidR="003613A6" w:rsidRPr="00EB2E7B">
              <w:rPr>
                <w:rFonts w:asciiTheme="minorHAnsi" w:hAnsiTheme="minorHAnsi" w:cstheme="minorHAnsi"/>
                <w:b/>
                <w:sz w:val="20"/>
                <w:szCs w:val="20"/>
              </w:rPr>
              <w:t xml:space="preserve"> wytwórczej</w:t>
            </w:r>
          </w:p>
        </w:tc>
        <w:tc>
          <w:tcPr>
            <w:tcW w:w="6205" w:type="dxa"/>
            <w:gridSpan w:val="5"/>
          </w:tcPr>
          <w:p w14:paraId="634A8977" w14:textId="68A1A257" w:rsidR="00DC73FD" w:rsidRPr="00EB2E7B" w:rsidRDefault="00981FF1">
            <w:pPr>
              <w:ind w:left="70" w:firstLine="0"/>
              <w:rPr>
                <w:rFonts w:asciiTheme="minorHAnsi" w:hAnsiTheme="minorHAnsi" w:cstheme="minorHAnsi"/>
                <w:sz w:val="20"/>
                <w:szCs w:val="20"/>
              </w:rPr>
            </w:pPr>
            <w:r w:rsidRPr="00EB2E7B">
              <w:rPr>
                <w:rFonts w:asciiTheme="minorHAnsi" w:hAnsiTheme="minorHAnsi" w:cstheme="minorHAnsi"/>
                <w:sz w:val="20"/>
                <w:szCs w:val="20"/>
              </w:rPr>
              <w:t>Grupa urządzeń i układów technologicznych pojedynczej jednostki wytwórczej, niezbędna do realizacji procesu wytwarzania energii elektrycznej.</w:t>
            </w:r>
          </w:p>
        </w:tc>
      </w:tr>
      <w:tr w:rsidR="00CD7B36" w:rsidRPr="00EB2E7B" w14:paraId="776271C0" w14:textId="77777777" w:rsidTr="00780901">
        <w:trPr>
          <w:gridAfter w:val="1"/>
          <w:wAfter w:w="14" w:type="dxa"/>
          <w:trHeight w:val="1205"/>
        </w:trPr>
        <w:tc>
          <w:tcPr>
            <w:tcW w:w="2977" w:type="dxa"/>
          </w:tcPr>
          <w:p w14:paraId="24B24BD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Półpośredni układ pomiarowy</w:t>
            </w:r>
          </w:p>
        </w:tc>
        <w:tc>
          <w:tcPr>
            <w:tcW w:w="6205" w:type="dxa"/>
            <w:gridSpan w:val="5"/>
          </w:tcPr>
          <w:p w14:paraId="6713A309" w14:textId="685B7D3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Licznik konwencjonalny lub licznik zdalnego odczytu wraz z</w:t>
            </w:r>
            <w:r w:rsidR="00D91C88" w:rsidRPr="00EB2E7B">
              <w:rPr>
                <w:rFonts w:asciiTheme="minorHAnsi" w:hAnsiTheme="minorHAnsi" w:cstheme="minorHAnsi"/>
                <w:sz w:val="20"/>
                <w:szCs w:val="20"/>
              </w:rPr>
              <w:t> </w:t>
            </w:r>
            <w:r w:rsidRPr="00EB2E7B">
              <w:rPr>
                <w:rFonts w:asciiTheme="minorHAnsi" w:hAnsiTheme="minorHAnsi" w:cstheme="minorHAnsi"/>
                <w:sz w:val="20"/>
                <w:szCs w:val="20"/>
              </w:rPr>
              <w:t>przekładnikami prądowymi, służący do pomiarów energii elektrycznej lub pomiarów i rozliczeń za tę energię.</w:t>
            </w:r>
          </w:p>
        </w:tc>
      </w:tr>
      <w:tr w:rsidR="00CD7B36" w:rsidRPr="00EB2E7B" w14:paraId="237B22D5" w14:textId="77777777" w:rsidTr="00780901">
        <w:trPr>
          <w:gridAfter w:val="1"/>
          <w:wAfter w:w="14" w:type="dxa"/>
          <w:trHeight w:val="667"/>
        </w:trPr>
        <w:tc>
          <w:tcPr>
            <w:tcW w:w="2977" w:type="dxa"/>
          </w:tcPr>
          <w:p w14:paraId="16B2B8A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Procedura zmiany sprzedawcy</w:t>
            </w:r>
          </w:p>
        </w:tc>
        <w:tc>
          <w:tcPr>
            <w:tcW w:w="6205" w:type="dxa"/>
            <w:gridSpan w:val="5"/>
          </w:tcPr>
          <w:p w14:paraId="6162B9B4" w14:textId="4287A972"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Zbiór działań zapoczątkowany w dniu złożenia przez odbiorcę (lub sprzedawcę w imieniu odbiorcy) zgłoszenia</w:t>
            </w:r>
            <w:r w:rsidR="00354E64" w:rsidRPr="00EB2E7B">
              <w:rPr>
                <w:rFonts w:asciiTheme="minorHAnsi" w:hAnsiTheme="minorHAnsi" w:cstheme="minorHAnsi"/>
                <w:sz w:val="20"/>
                <w:szCs w:val="20"/>
              </w:rPr>
              <w:t xml:space="preserve"> umowy sprzedaży energii elektrycznej lub umowy kompleksowej</w:t>
            </w:r>
            <w:r w:rsidRPr="00EB2E7B">
              <w:rPr>
                <w:rFonts w:asciiTheme="minorHAnsi" w:hAnsiTheme="minorHAnsi" w:cstheme="minorHAnsi"/>
                <w:sz w:val="20"/>
                <w:szCs w:val="20"/>
              </w:rPr>
              <w:t xml:space="preserve">, </w:t>
            </w:r>
            <w:r w:rsidR="00351199" w:rsidRPr="00EB2E7B">
              <w:rPr>
                <w:rFonts w:asciiTheme="minorHAnsi" w:hAnsiTheme="minorHAnsi" w:cstheme="minorHAnsi"/>
                <w:sz w:val="20"/>
                <w:szCs w:val="20"/>
              </w:rPr>
              <w:t xml:space="preserve">które </w:t>
            </w:r>
            <w:r w:rsidRPr="00EB2E7B">
              <w:rPr>
                <w:rFonts w:asciiTheme="minorHAnsi" w:hAnsiTheme="minorHAnsi" w:cstheme="minorHAnsi"/>
                <w:sz w:val="20"/>
                <w:szCs w:val="20"/>
              </w:rPr>
              <w:t xml:space="preserve">w konsekwencji podjętych przez OSD prac, doprowadza do zmiany sprzedawcy przez odbiorcę, lub w przypadku nie spełnienia warunków koniecznych do realizacji procedury, </w:t>
            </w:r>
            <w:r w:rsidRPr="00EB2E7B">
              <w:rPr>
                <w:rFonts w:asciiTheme="minorHAnsi" w:hAnsiTheme="minorHAnsi" w:cstheme="minorHAnsi"/>
                <w:sz w:val="20"/>
                <w:szCs w:val="20"/>
              </w:rPr>
              <w:lastRenderedPageBreak/>
              <w:t>do przekazania odbiorcy oraz nowemu sprzedawcy informacji o przerwaniu procesu zmiany sprzedawcy wraz z podaniem przyczyn.</w:t>
            </w:r>
          </w:p>
        </w:tc>
      </w:tr>
      <w:tr w:rsidR="00CD7B36" w:rsidRPr="00EB2E7B" w14:paraId="4576B4BC" w14:textId="77777777" w:rsidTr="00780901">
        <w:trPr>
          <w:gridAfter w:val="1"/>
          <w:wAfter w:w="14" w:type="dxa"/>
          <w:trHeight w:val="667"/>
        </w:trPr>
        <w:tc>
          <w:tcPr>
            <w:tcW w:w="2977" w:type="dxa"/>
          </w:tcPr>
          <w:p w14:paraId="45F4033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Proces rynku energii</w:t>
            </w:r>
          </w:p>
        </w:tc>
        <w:tc>
          <w:tcPr>
            <w:tcW w:w="6205" w:type="dxa"/>
            <w:gridSpan w:val="5"/>
          </w:tcPr>
          <w:p w14:paraId="3D2B696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Sekwencja działań realizowanych przez co najmniej dwa podmioty będące Użytkownikiem systemu elektroenergetycznego lub OIRE, na podstawie których następuje sprzedaż energii elektrycznej, jej wprowadzenie do sieci lub pobór lub świadczenie usług związanych z energią elektryczną.</w:t>
            </w:r>
          </w:p>
        </w:tc>
      </w:tr>
      <w:tr w:rsidR="009275C3" w:rsidRPr="00EB2E7B" w14:paraId="5D130EB2" w14:textId="77777777" w:rsidTr="00780901">
        <w:trPr>
          <w:gridAfter w:val="1"/>
          <w:wAfter w:w="14" w:type="dxa"/>
          <w:trHeight w:val="1496"/>
        </w:trPr>
        <w:tc>
          <w:tcPr>
            <w:tcW w:w="2977" w:type="dxa"/>
          </w:tcPr>
          <w:p w14:paraId="46B61D6C" w14:textId="77777777" w:rsidR="009275C3" w:rsidRPr="00EB2E7B" w:rsidRDefault="008A60C8">
            <w:pPr>
              <w:spacing w:after="0"/>
              <w:ind w:left="70" w:firstLine="0"/>
              <w:jc w:val="left"/>
              <w:rPr>
                <w:rFonts w:asciiTheme="minorHAnsi" w:hAnsiTheme="minorHAnsi" w:cstheme="minorHAnsi"/>
                <w:b/>
                <w:sz w:val="20"/>
                <w:szCs w:val="20"/>
              </w:rPr>
            </w:pPr>
            <w:r>
              <w:rPr>
                <w:rFonts w:asciiTheme="minorHAnsi" w:hAnsiTheme="minorHAnsi" w:cstheme="minorHAnsi"/>
                <w:b/>
                <w:sz w:val="20"/>
                <w:szCs w:val="20"/>
              </w:rPr>
              <w:t>Program pracy</w:t>
            </w:r>
          </w:p>
        </w:tc>
        <w:tc>
          <w:tcPr>
            <w:tcW w:w="6205" w:type="dxa"/>
            <w:gridSpan w:val="5"/>
          </w:tcPr>
          <w:p w14:paraId="539382F0" w14:textId="77777777" w:rsidR="009275C3" w:rsidRPr="00EB2E7B" w:rsidRDefault="00E07144">
            <w:pPr>
              <w:ind w:left="70" w:firstLine="0"/>
              <w:rPr>
                <w:rFonts w:asciiTheme="minorHAnsi" w:hAnsiTheme="minorHAnsi" w:cstheme="minorHAnsi"/>
                <w:sz w:val="20"/>
                <w:szCs w:val="20"/>
              </w:rPr>
            </w:pPr>
            <w:r>
              <w:rPr>
                <w:rFonts w:asciiTheme="minorHAnsi" w:hAnsiTheme="minorHAnsi" w:cstheme="minorHAnsi"/>
                <w:sz w:val="20"/>
                <w:szCs w:val="20"/>
              </w:rPr>
              <w:t>Wynikający z WDB program zawierający grafik obciążenia oraz grafiki rezerw mocy zgłoszony przez dostawcę usług bilansujących do OSP w odniesieniu do jednostki grafikowej.</w:t>
            </w:r>
          </w:p>
        </w:tc>
      </w:tr>
      <w:tr w:rsidR="009275C3" w:rsidRPr="00EB2E7B" w14:paraId="23EBF0D3" w14:textId="77777777" w:rsidTr="00780901">
        <w:trPr>
          <w:gridAfter w:val="1"/>
          <w:wAfter w:w="14" w:type="dxa"/>
          <w:trHeight w:val="1496"/>
        </w:trPr>
        <w:tc>
          <w:tcPr>
            <w:tcW w:w="2977" w:type="dxa"/>
          </w:tcPr>
          <w:p w14:paraId="426E40F5" w14:textId="355C2F1B" w:rsidR="009275C3" w:rsidRPr="00EB2E7B" w:rsidRDefault="008A60C8">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Program zgodności</w:t>
            </w:r>
          </w:p>
        </w:tc>
        <w:tc>
          <w:tcPr>
            <w:tcW w:w="6205" w:type="dxa"/>
            <w:gridSpan w:val="5"/>
          </w:tcPr>
          <w:p w14:paraId="1ABEC72E" w14:textId="273FADF5" w:rsidR="009275C3" w:rsidRPr="00EB2E7B" w:rsidRDefault="00E07144">
            <w:pPr>
              <w:ind w:left="70" w:firstLine="0"/>
              <w:rPr>
                <w:rFonts w:asciiTheme="minorHAnsi" w:hAnsiTheme="minorHAnsi" w:cstheme="minorHAnsi"/>
                <w:sz w:val="20"/>
                <w:szCs w:val="20"/>
              </w:rPr>
            </w:pPr>
            <w:r w:rsidRPr="00EB2E7B">
              <w:rPr>
                <w:rFonts w:asciiTheme="minorHAnsi" w:hAnsiTheme="minorHAnsi" w:cstheme="minorHAnsi"/>
                <w:sz w:val="20"/>
                <w:szCs w:val="20"/>
              </w:rPr>
              <w:t>Program określający przedsięwzięcia, jakie powinien podjąć OSD w celu zapewnienia niedyskryminacyjnego traktowania Użytkowników Systemu i Potencjalnych Użytkowników Systemu.</w:t>
            </w:r>
          </w:p>
        </w:tc>
      </w:tr>
      <w:tr w:rsidR="00CD7B36" w:rsidRPr="00EB2E7B" w14:paraId="11F43CEB" w14:textId="77777777" w:rsidTr="00780901">
        <w:trPr>
          <w:gridAfter w:val="1"/>
          <w:wAfter w:w="14" w:type="dxa"/>
          <w:trHeight w:val="1496"/>
        </w:trPr>
        <w:tc>
          <w:tcPr>
            <w:tcW w:w="2977" w:type="dxa"/>
          </w:tcPr>
          <w:p w14:paraId="76006BD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Programy łączeniowe </w:t>
            </w:r>
          </w:p>
        </w:tc>
        <w:tc>
          <w:tcPr>
            <w:tcW w:w="6205" w:type="dxa"/>
            <w:gridSpan w:val="5"/>
          </w:tcPr>
          <w:p w14:paraId="0936AF6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Procedury i czynności związane z operacjami łączeniowymi, próbami napięciowymi, tworzeniem układów przejściowych oraz włączeniami do systemu elektroenergetycznego nowych obiektów, a także po dłuższym postoju związanym  z modernizacją lub przebudową. </w:t>
            </w:r>
          </w:p>
        </w:tc>
      </w:tr>
      <w:tr w:rsidR="00CD7B36" w:rsidRPr="00EB2E7B" w14:paraId="25C6F096" w14:textId="77777777" w:rsidTr="00780901">
        <w:trPr>
          <w:gridAfter w:val="1"/>
          <w:wAfter w:w="14" w:type="dxa"/>
          <w:trHeight w:val="2539"/>
        </w:trPr>
        <w:tc>
          <w:tcPr>
            <w:tcW w:w="2977" w:type="dxa"/>
          </w:tcPr>
          <w:p w14:paraId="61D1BAD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Prosument energii odnawialnej </w:t>
            </w:r>
          </w:p>
        </w:tc>
        <w:tc>
          <w:tcPr>
            <w:tcW w:w="6205" w:type="dxa"/>
            <w:gridSpan w:val="5"/>
          </w:tcPr>
          <w:p w14:paraId="45F8CDA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Odbiorca końcowy wytwarzający energię elektryczną wyłącznie z odnawialnych źródeł energii na własne potrzeby  w mikroinstalacji, pod warunkiem że w przypadku odbiorcy końcowego niebędącego odbiorcą energii elektrycznej  w gospodarstwie domowym, nie stanowi to przedmiotu przeważającej działalności gospodarczej określonej zgodnie  z przepisami wydanymi na podstawie art. 40 ust. 2 ustawy z dnia 29 czerwca 1995 r. o statystyce publicznej (Dz. U. z 2019 r. poz. </w:t>
            </w:r>
          </w:p>
          <w:p w14:paraId="74F63E7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649, 730 i 2294), </w:t>
            </w:r>
          </w:p>
        </w:tc>
      </w:tr>
      <w:tr w:rsidR="00CD7B36" w:rsidRPr="00EB2E7B" w14:paraId="722D6583" w14:textId="77777777" w:rsidTr="00780901">
        <w:trPr>
          <w:gridAfter w:val="1"/>
          <w:wAfter w:w="14" w:type="dxa"/>
          <w:trHeight w:val="2539"/>
        </w:trPr>
        <w:tc>
          <w:tcPr>
            <w:tcW w:w="2977" w:type="dxa"/>
          </w:tcPr>
          <w:p w14:paraId="5C087B7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Prosument wirtualny energii odnawialnej</w:t>
            </w:r>
          </w:p>
        </w:tc>
        <w:tc>
          <w:tcPr>
            <w:tcW w:w="6205" w:type="dxa"/>
            <w:gridSpan w:val="5"/>
          </w:tcPr>
          <w:p w14:paraId="4C7651D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Odbiorca końcowy wytwarzający energię elektryczną wyłącznie z odnawialnych źródeł energii na własne potrzeby w instalacji odnawialnego źródła energii przyłączonej do sieci dystrybucyjnej elektroenergetycznej w innym miejscu niż miejsce dostarczania energii elektrycznej do tego odbiorcy, która jednocześnie nie jest przyłączona do sieci dystrybucyjnej elektroenergetycznej za pośrednictwem wewnętrznej instalacji elektrycznej budynku wielolokalowego, pod warunkiem że w przypadku odbiorcy końcowego niebędącego odbiorcą energii elektrycznej w gospodarstwie domowym wytwarzanie to nie stanowi przedmiotu przeważającej działalności gospodarczej określonej zgodnie z przepisami wydanymi na podstawie art. 40 ust. 2 ustawy z dnia 29 czerwca 1995 r. o statystyce publicznej.</w:t>
            </w:r>
          </w:p>
        </w:tc>
      </w:tr>
      <w:tr w:rsidR="00CD7B36" w:rsidRPr="00EB2E7B" w14:paraId="7A15CC79" w14:textId="77777777" w:rsidTr="00780901">
        <w:trPr>
          <w:gridAfter w:val="1"/>
          <w:wAfter w:w="14" w:type="dxa"/>
          <w:trHeight w:val="2539"/>
        </w:trPr>
        <w:tc>
          <w:tcPr>
            <w:tcW w:w="2977" w:type="dxa"/>
          </w:tcPr>
          <w:p w14:paraId="529C415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Prosument zbiorowy energii odnawialnej</w:t>
            </w:r>
          </w:p>
        </w:tc>
        <w:tc>
          <w:tcPr>
            <w:tcW w:w="6205" w:type="dxa"/>
            <w:gridSpan w:val="5"/>
          </w:tcPr>
          <w:p w14:paraId="4F8345B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Odbiorca końcowy wytwarzający energię elektryczną wyłącznie z odnawialnych źródeł energii na własne potrzeby w mikroinstalacji lub małej instalacji przyłączonej do sieci dystrybucyjnej elektroenergetycznej za pośrednictwem wewnętrznej instalacji elektrycznej budynku wielolokalowego, w której znajduje się punkt poboru energii elektrycznej tego odbiorcy, pod warunkiem że w przypadku odbiorcy końcowego niebędącego odbiorcą energii elektrycznej w gospodarstwie domowym wytwarzanie to nie stanowi przedmiotu przeważającej działalności gospodarczej określonej zgodnie z przepisami wydanymi na podstawie art. 40 ust. 2 ustawy z dnia 29 czerwca 1995 r. o statystyce publicznej.</w:t>
            </w:r>
          </w:p>
        </w:tc>
      </w:tr>
      <w:tr w:rsidR="00CD7B36" w:rsidRPr="00EB2E7B" w14:paraId="1E0D5859" w14:textId="77777777" w:rsidTr="00780901">
        <w:trPr>
          <w:gridAfter w:val="4"/>
          <w:wAfter w:w="75" w:type="dxa"/>
          <w:trHeight w:val="907"/>
        </w:trPr>
        <w:tc>
          <w:tcPr>
            <w:tcW w:w="2977" w:type="dxa"/>
          </w:tcPr>
          <w:p w14:paraId="3152461A"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Przedpłatowy układ pomiarowo-rozliczeniowy </w:t>
            </w:r>
          </w:p>
        </w:tc>
        <w:tc>
          <w:tcPr>
            <w:tcW w:w="6144" w:type="dxa"/>
            <w:gridSpan w:val="2"/>
          </w:tcPr>
          <w:p w14:paraId="3C582EE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Układ pomiarowo-rozliczeniowy realizujący funkcję włączenia lub wyłączenia możliwości poboru energii elektrycznej w zależności od stanu Salda dekrementującego. </w:t>
            </w:r>
          </w:p>
        </w:tc>
      </w:tr>
      <w:tr w:rsidR="00CD7B36" w:rsidRPr="00EB2E7B" w14:paraId="15FC286B" w14:textId="77777777" w:rsidTr="00780901">
        <w:trPr>
          <w:gridAfter w:val="4"/>
          <w:wAfter w:w="75" w:type="dxa"/>
          <w:trHeight w:val="653"/>
        </w:trPr>
        <w:tc>
          <w:tcPr>
            <w:tcW w:w="2977" w:type="dxa"/>
          </w:tcPr>
          <w:p w14:paraId="010319CA"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Przedsiębiorstwo energetyczne </w:t>
            </w:r>
          </w:p>
        </w:tc>
        <w:tc>
          <w:tcPr>
            <w:tcW w:w="6144" w:type="dxa"/>
            <w:gridSpan w:val="2"/>
          </w:tcPr>
          <w:p w14:paraId="6F010A7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prowadzący działalność gospodarczą w zakresie: wytwarzania, magazynowania, przesyłania, dystrybucji energii elektrycznej lub obrotu nimi. </w:t>
            </w:r>
          </w:p>
        </w:tc>
      </w:tr>
      <w:tr w:rsidR="00CD7B36" w:rsidRPr="00EB2E7B" w14:paraId="10A064C2" w14:textId="77777777" w:rsidTr="00780901">
        <w:trPr>
          <w:gridAfter w:val="4"/>
          <w:wAfter w:w="75" w:type="dxa"/>
          <w:trHeight w:val="1220"/>
        </w:trPr>
        <w:tc>
          <w:tcPr>
            <w:tcW w:w="2977" w:type="dxa"/>
          </w:tcPr>
          <w:p w14:paraId="05A7492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Przedsiębiorstwo obrotu </w:t>
            </w:r>
          </w:p>
        </w:tc>
        <w:tc>
          <w:tcPr>
            <w:tcW w:w="6144" w:type="dxa"/>
            <w:gridSpan w:val="2"/>
          </w:tcPr>
          <w:p w14:paraId="7DADD3B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Przedsiębiorstwo energetyczne prowadzące działalność gospodarczą polegającą na handlu hurtowym lub detalicznym energią elektryczną, niezależnie od innych rodzajów prowadzonych działalności. </w:t>
            </w:r>
          </w:p>
        </w:tc>
      </w:tr>
      <w:tr w:rsidR="00CD7B36" w:rsidRPr="00EB2E7B" w14:paraId="04BCBB4E" w14:textId="77777777" w:rsidTr="00780901">
        <w:trPr>
          <w:gridAfter w:val="4"/>
          <w:wAfter w:w="75" w:type="dxa"/>
          <w:trHeight w:val="1220"/>
        </w:trPr>
        <w:tc>
          <w:tcPr>
            <w:tcW w:w="2977" w:type="dxa"/>
          </w:tcPr>
          <w:p w14:paraId="7446266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Przekaźnik SCO</w:t>
            </w:r>
          </w:p>
        </w:tc>
        <w:tc>
          <w:tcPr>
            <w:tcW w:w="6144" w:type="dxa"/>
            <w:gridSpan w:val="2"/>
          </w:tcPr>
          <w:p w14:paraId="423BA1D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Wyodrębniony przekaźnik albo funkcja w terminalu zabezpieczeniowym lub sterowniku układu sterowania stacji, które wykonują pomiar częstotliwości i porównanie częstotliwości zmierzonej z nastawioną wielkością kryterialną, po przekroczeniu której jest generowany sygnał sterujący w celu wyłączenia odbioru za pomocą wyłączników.</w:t>
            </w:r>
          </w:p>
        </w:tc>
      </w:tr>
      <w:tr w:rsidR="00CD7B36" w:rsidRPr="00EB2E7B" w14:paraId="07788E5E" w14:textId="77777777" w:rsidTr="00780901">
        <w:trPr>
          <w:gridAfter w:val="4"/>
          <w:wAfter w:w="75" w:type="dxa"/>
          <w:trHeight w:val="1220"/>
        </w:trPr>
        <w:tc>
          <w:tcPr>
            <w:tcW w:w="2977" w:type="dxa"/>
          </w:tcPr>
          <w:p w14:paraId="576A5F06"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Przerwa planowana</w:t>
            </w:r>
          </w:p>
        </w:tc>
        <w:tc>
          <w:tcPr>
            <w:tcW w:w="6144" w:type="dxa"/>
            <w:gridSpan w:val="2"/>
          </w:tcPr>
          <w:p w14:paraId="26CC5228" w14:textId="62F31926"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Przerwa w dostarczaniu energii elektrycznej wynikająca z</w:t>
            </w:r>
            <w:r w:rsidR="00D91C88" w:rsidRPr="00EB2E7B">
              <w:rPr>
                <w:rFonts w:asciiTheme="minorHAnsi" w:hAnsiTheme="minorHAnsi" w:cstheme="minorHAnsi"/>
                <w:sz w:val="20"/>
                <w:szCs w:val="20"/>
              </w:rPr>
              <w:t> </w:t>
            </w:r>
            <w:r w:rsidRPr="00EB2E7B">
              <w:rPr>
                <w:rFonts w:asciiTheme="minorHAnsi" w:hAnsiTheme="minorHAnsi" w:cstheme="minorHAnsi"/>
                <w:sz w:val="20"/>
                <w:szCs w:val="20"/>
              </w:rPr>
              <w:t>programu prac eksploatacyjnych sieci elektroenergetycznej; czas trwania tej przerwy jest liczony od chwili otwarcia wyłącznika do czasu wznowienia dostarczania energii elektrycznej.</w:t>
            </w:r>
          </w:p>
        </w:tc>
      </w:tr>
      <w:tr w:rsidR="00CD7B36" w:rsidRPr="00EB2E7B" w14:paraId="1217F952" w14:textId="77777777" w:rsidTr="00780901">
        <w:trPr>
          <w:gridAfter w:val="4"/>
          <w:wAfter w:w="75" w:type="dxa"/>
          <w:trHeight w:val="1220"/>
        </w:trPr>
        <w:tc>
          <w:tcPr>
            <w:tcW w:w="2977" w:type="dxa"/>
          </w:tcPr>
          <w:p w14:paraId="36FA6AB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Przerwa nieplanowana</w:t>
            </w:r>
          </w:p>
        </w:tc>
        <w:tc>
          <w:tcPr>
            <w:tcW w:w="6144" w:type="dxa"/>
            <w:gridSpan w:val="2"/>
          </w:tcPr>
          <w:p w14:paraId="3FDCBBA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Przerwa w dostarczaniu energii elektrycznej spowodowana wystąpieniem awarii w sieci elektroenergetycznej, przy czym czas trwania tej przerwy jest liczony od chwili uzyskania przez przedsiębiorstwo energetyczne zajmujące się dystrybucją energii elektrycznej informacji o jej wystąpieniu do czasu wznowienia dostarczania energii elektrycznej.</w:t>
            </w:r>
          </w:p>
        </w:tc>
      </w:tr>
      <w:tr w:rsidR="00CD7B36" w:rsidRPr="00EB2E7B" w14:paraId="1B3EAA49" w14:textId="77777777" w:rsidTr="00780901">
        <w:trPr>
          <w:gridAfter w:val="4"/>
          <w:wAfter w:w="75" w:type="dxa"/>
          <w:trHeight w:val="1227"/>
        </w:trPr>
        <w:tc>
          <w:tcPr>
            <w:tcW w:w="2977" w:type="dxa"/>
          </w:tcPr>
          <w:p w14:paraId="3CC477B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Przesyłanie - transport energii elektrycznej </w:t>
            </w:r>
          </w:p>
        </w:tc>
        <w:tc>
          <w:tcPr>
            <w:tcW w:w="6144" w:type="dxa"/>
            <w:gridSpan w:val="2"/>
          </w:tcPr>
          <w:p w14:paraId="583242E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Przesyłanie-transport energii elektrycznej sieciami przesyłowymi w celu jej dostarczania do sieci dystrybucyjnych lub odbiorcom końcowym przyłączonym do sieci przesyłowych, z wyłączeniem sprzedaży energii. </w:t>
            </w:r>
          </w:p>
        </w:tc>
      </w:tr>
      <w:tr w:rsidR="00CD7B36" w:rsidRPr="00EB2E7B" w14:paraId="7684C220" w14:textId="77777777" w:rsidTr="00780901">
        <w:trPr>
          <w:gridAfter w:val="4"/>
          <w:wAfter w:w="75" w:type="dxa"/>
          <w:trHeight w:val="1500"/>
        </w:trPr>
        <w:tc>
          <w:tcPr>
            <w:tcW w:w="2977" w:type="dxa"/>
          </w:tcPr>
          <w:p w14:paraId="4E1775B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Przyłącze </w:t>
            </w:r>
          </w:p>
        </w:tc>
        <w:tc>
          <w:tcPr>
            <w:tcW w:w="6144" w:type="dxa"/>
            <w:gridSpan w:val="2"/>
          </w:tcPr>
          <w:p w14:paraId="750C5E2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Odcinek lub element sieci służące do połączenia urządzeń, instalacji lub sieci podmiotu, dostosowane do mocy przyłączeniowej, z pozostałą częścią sieci przedsiębiorstwa energetycznego świadczącego na rzecz podmiotu przyłączanego usługę przesyłania lub dystrybucji energii elektrycznej.</w:t>
            </w:r>
          </w:p>
        </w:tc>
      </w:tr>
      <w:tr w:rsidR="00CD7B36" w:rsidRPr="00EB2E7B" w14:paraId="3C6AD231" w14:textId="77777777" w:rsidTr="00780901">
        <w:trPr>
          <w:gridAfter w:val="4"/>
          <w:wAfter w:w="75" w:type="dxa"/>
          <w:trHeight w:val="1221"/>
        </w:trPr>
        <w:tc>
          <w:tcPr>
            <w:tcW w:w="2977" w:type="dxa"/>
          </w:tcPr>
          <w:p w14:paraId="5E183C3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Punkt Dostarczania Energii </w:t>
            </w:r>
          </w:p>
        </w:tc>
        <w:tc>
          <w:tcPr>
            <w:tcW w:w="6144" w:type="dxa"/>
            <w:gridSpan w:val="2"/>
          </w:tcPr>
          <w:p w14:paraId="62CBB85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Miejsce przyłączenia URD do sieci dystrybucyjnej poza obszarem Rynku Bilansującego, obejmujące jeden lub więcej fizycznych punktów przyłączenia do sieci, dla których realizowany jest proces bilansowania handlowego. </w:t>
            </w:r>
          </w:p>
        </w:tc>
      </w:tr>
      <w:tr w:rsidR="00CD7B36" w:rsidRPr="00EB2E7B" w14:paraId="6AB3AD9D" w14:textId="77777777" w:rsidTr="00780901">
        <w:trPr>
          <w:gridAfter w:val="4"/>
          <w:wAfter w:w="75" w:type="dxa"/>
          <w:trHeight w:val="2075"/>
        </w:trPr>
        <w:tc>
          <w:tcPr>
            <w:tcW w:w="2977" w:type="dxa"/>
          </w:tcPr>
          <w:p w14:paraId="690E88A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Punkt Poboru Energii </w:t>
            </w:r>
          </w:p>
        </w:tc>
        <w:tc>
          <w:tcPr>
            <w:tcW w:w="6144" w:type="dxa"/>
            <w:gridSpan w:val="2"/>
          </w:tcPr>
          <w:p w14:paraId="6D9E3DB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Punkt pomiarowy w instalacji lub sieci, dla którego dokonuje się rozliczeń oraz dla którego może nastąpić zmiana sprzedawcy. </w:t>
            </w:r>
          </w:p>
        </w:tc>
      </w:tr>
      <w:tr w:rsidR="00CD7B36" w:rsidRPr="00EB2E7B" w14:paraId="13D0BF72" w14:textId="77777777" w:rsidTr="00780901">
        <w:trPr>
          <w:gridAfter w:val="4"/>
          <w:wAfter w:w="75" w:type="dxa"/>
          <w:trHeight w:val="2075"/>
        </w:trPr>
        <w:tc>
          <w:tcPr>
            <w:tcW w:w="2977" w:type="dxa"/>
          </w:tcPr>
          <w:p w14:paraId="0A18492A"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Punkt pomiarowy (PP)</w:t>
            </w:r>
          </w:p>
        </w:tc>
        <w:tc>
          <w:tcPr>
            <w:tcW w:w="6144" w:type="dxa"/>
            <w:gridSpan w:val="2"/>
          </w:tcPr>
          <w:p w14:paraId="60BB7DA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Miejsce w urządzeniu, instalacji lub sieci elektroenergetycznej, w którym dokonuje się pomiaru lub wyznaczenia wielkości fizycznych dotyczących energii elektrycznej.</w:t>
            </w:r>
          </w:p>
        </w:tc>
      </w:tr>
      <w:tr w:rsidR="00D95C4D" w:rsidRPr="00EB2E7B" w14:paraId="332898D3" w14:textId="77777777" w:rsidTr="00780901">
        <w:trPr>
          <w:gridAfter w:val="4"/>
          <w:wAfter w:w="75" w:type="dxa"/>
          <w:trHeight w:val="2075"/>
        </w:trPr>
        <w:tc>
          <w:tcPr>
            <w:tcW w:w="2977" w:type="dxa"/>
          </w:tcPr>
          <w:p w14:paraId="4715D038" w14:textId="7EB2E491" w:rsidR="00D95C4D" w:rsidRPr="00EB2E7B" w:rsidRDefault="00D95C4D" w:rsidP="00D95C4D">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Punkt pomiarowy - inny (PPI)</w:t>
            </w:r>
          </w:p>
        </w:tc>
        <w:tc>
          <w:tcPr>
            <w:tcW w:w="6144" w:type="dxa"/>
            <w:gridSpan w:val="2"/>
          </w:tcPr>
          <w:p w14:paraId="2AE1CAAA" w14:textId="2FF7989F" w:rsidR="00D95C4D" w:rsidRPr="00EB2E7B" w:rsidRDefault="00D95C4D" w:rsidP="00D95C4D">
            <w:pPr>
              <w:ind w:left="70" w:firstLine="0"/>
              <w:rPr>
                <w:rFonts w:asciiTheme="minorHAnsi" w:hAnsiTheme="minorHAnsi" w:cstheme="minorHAnsi"/>
                <w:sz w:val="20"/>
                <w:szCs w:val="20"/>
              </w:rPr>
            </w:pPr>
            <w:r w:rsidRPr="00EB2E7B">
              <w:rPr>
                <w:rFonts w:asciiTheme="minorHAnsi" w:hAnsiTheme="minorHAnsi" w:cstheme="minorHAnsi"/>
                <w:sz w:val="20"/>
                <w:szCs w:val="20"/>
              </w:rPr>
              <w:t>Punkt pomiarowy w urządzeniu, instalacji lub sieci, w którym dokonuje się pomiaru lub wyznaczenia wielkości fizycznych dotyczących energii elektrycznej, niebędący PPB albo PPE albo PPW.</w:t>
            </w:r>
          </w:p>
        </w:tc>
      </w:tr>
      <w:tr w:rsidR="00CD7B36" w:rsidRPr="00EB2E7B" w14:paraId="68075A4B" w14:textId="77777777" w:rsidTr="00780901">
        <w:trPr>
          <w:gridAfter w:val="4"/>
          <w:wAfter w:w="75" w:type="dxa"/>
          <w:trHeight w:val="2075"/>
        </w:trPr>
        <w:tc>
          <w:tcPr>
            <w:tcW w:w="2977" w:type="dxa"/>
          </w:tcPr>
          <w:p w14:paraId="4A4D465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Punkt pomiarowy - licznik bilansujący (PPB)</w:t>
            </w:r>
          </w:p>
        </w:tc>
        <w:tc>
          <w:tcPr>
            <w:tcW w:w="6144" w:type="dxa"/>
            <w:gridSpan w:val="2"/>
          </w:tcPr>
          <w:p w14:paraId="11904DDA" w14:textId="12B3D5FD" w:rsidR="00CD7B36" w:rsidRPr="00EB2E7B" w:rsidRDefault="003215C2">
            <w:pPr>
              <w:ind w:left="70" w:firstLine="0"/>
              <w:rPr>
                <w:rFonts w:asciiTheme="minorHAnsi" w:hAnsiTheme="minorHAnsi" w:cstheme="minorHAnsi"/>
                <w:sz w:val="20"/>
                <w:szCs w:val="20"/>
              </w:rPr>
            </w:pPr>
            <w:r w:rsidRPr="00EB2E7B">
              <w:rPr>
                <w:rFonts w:asciiTheme="minorHAnsi" w:hAnsiTheme="minorHAnsi" w:cstheme="minorHAnsi"/>
                <w:sz w:val="20"/>
                <w:szCs w:val="20"/>
              </w:rPr>
              <w:t>Punkt pomiarowy obejmujący stację elektroenergetyczną transformującą średnie napięcie na niskie napięcie (SN/</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stanowiącą element sieci dystrybucyjnej OSD</w:t>
            </w:r>
            <w:r w:rsidR="00CD7B36" w:rsidRPr="00EB2E7B">
              <w:rPr>
                <w:rFonts w:asciiTheme="minorHAnsi" w:hAnsiTheme="minorHAnsi" w:cstheme="minorHAnsi"/>
                <w:sz w:val="20"/>
                <w:szCs w:val="20"/>
              </w:rPr>
              <w:t>.</w:t>
            </w:r>
          </w:p>
        </w:tc>
      </w:tr>
      <w:tr w:rsidR="00CD7B36" w:rsidRPr="00EB2E7B" w14:paraId="6103490E" w14:textId="77777777" w:rsidTr="00780901">
        <w:trPr>
          <w:gridAfter w:val="4"/>
          <w:wAfter w:w="75" w:type="dxa"/>
          <w:trHeight w:val="2075"/>
        </w:trPr>
        <w:tc>
          <w:tcPr>
            <w:tcW w:w="2977" w:type="dxa"/>
          </w:tcPr>
          <w:p w14:paraId="7D1FCEA0" w14:textId="697C48DD" w:rsidR="00CD7B36" w:rsidRPr="00EB2E7B" w:rsidRDefault="00CD7B36">
            <w:pPr>
              <w:spacing w:after="0"/>
              <w:ind w:left="70" w:firstLine="0"/>
              <w:jc w:val="left"/>
              <w:rPr>
                <w:rFonts w:asciiTheme="minorHAnsi" w:hAnsiTheme="minorHAnsi" w:cstheme="minorHAnsi"/>
                <w:b/>
                <w:bCs/>
                <w:sz w:val="20"/>
                <w:szCs w:val="20"/>
              </w:rPr>
            </w:pPr>
          </w:p>
        </w:tc>
        <w:tc>
          <w:tcPr>
            <w:tcW w:w="6144" w:type="dxa"/>
            <w:gridSpan w:val="2"/>
          </w:tcPr>
          <w:p w14:paraId="4846D918" w14:textId="600426F1" w:rsidR="00CD7B36" w:rsidRPr="00EB2E7B" w:rsidRDefault="00CD7B36">
            <w:pPr>
              <w:ind w:left="70" w:firstLine="0"/>
              <w:rPr>
                <w:rFonts w:asciiTheme="minorHAnsi" w:hAnsiTheme="minorHAnsi" w:cstheme="minorHAnsi"/>
                <w:sz w:val="20"/>
                <w:szCs w:val="20"/>
              </w:rPr>
            </w:pPr>
          </w:p>
        </w:tc>
      </w:tr>
      <w:tr w:rsidR="00CD7B36" w:rsidRPr="00EB2E7B" w14:paraId="3BF89D73" w14:textId="77777777" w:rsidTr="00780901">
        <w:trPr>
          <w:gridAfter w:val="4"/>
          <w:wAfter w:w="75" w:type="dxa"/>
          <w:trHeight w:val="2075"/>
        </w:trPr>
        <w:tc>
          <w:tcPr>
            <w:tcW w:w="2977" w:type="dxa"/>
          </w:tcPr>
          <w:p w14:paraId="5616880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Punkt pomiarowy - Punkt wymiany (PPW)</w:t>
            </w:r>
          </w:p>
        </w:tc>
        <w:tc>
          <w:tcPr>
            <w:tcW w:w="6144" w:type="dxa"/>
            <w:gridSpan w:val="2"/>
          </w:tcPr>
          <w:p w14:paraId="396D94F7" w14:textId="10A59BB6" w:rsidR="00CD7B36" w:rsidRPr="00EB2E7B" w:rsidRDefault="003215C2">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Punkt pomiarowy na granicy obszarów sieci elektroenergetycznych </w:t>
            </w:r>
            <w:proofErr w:type="spellStart"/>
            <w:r w:rsidRPr="00EB2E7B">
              <w:rPr>
                <w:rFonts w:asciiTheme="minorHAnsi" w:hAnsiTheme="minorHAnsi" w:cstheme="minorHAnsi"/>
                <w:sz w:val="20"/>
                <w:szCs w:val="20"/>
              </w:rPr>
              <w:t>OSDp</w:t>
            </w:r>
            <w:proofErr w:type="spellEnd"/>
            <w:r w:rsidR="00CD7B36" w:rsidRPr="00EB2E7B">
              <w:rPr>
                <w:rFonts w:asciiTheme="minorHAnsi" w:hAnsiTheme="minorHAnsi" w:cstheme="minorHAnsi"/>
                <w:sz w:val="20"/>
                <w:szCs w:val="20"/>
              </w:rPr>
              <w:t>.</w:t>
            </w:r>
          </w:p>
        </w:tc>
      </w:tr>
      <w:tr w:rsidR="00CD7B36" w:rsidRPr="00EB2E7B" w14:paraId="0E33384E" w14:textId="77777777" w:rsidTr="00780901">
        <w:trPr>
          <w:gridAfter w:val="4"/>
          <w:wAfter w:w="75" w:type="dxa"/>
          <w:trHeight w:val="859"/>
        </w:trPr>
        <w:tc>
          <w:tcPr>
            <w:tcW w:w="2977" w:type="dxa"/>
          </w:tcPr>
          <w:p w14:paraId="4BBD16D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Regulacyjne usługi systemowe </w:t>
            </w:r>
          </w:p>
        </w:tc>
        <w:tc>
          <w:tcPr>
            <w:tcW w:w="6144" w:type="dxa"/>
            <w:gridSpan w:val="2"/>
          </w:tcPr>
          <w:p w14:paraId="3021728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Usługi świadczone przez podmioty na rzecz operatora systemu przesyłowego, umożliwiające operatorowi systemu przesyłowego świadczenie usług systemowych, niezbędne do prawidłowego funkcjonowania KSE, zapewniające zachowanie określonych wartości parametrów niezawodnościowych i jakościowych dostaw energii elektrycznej.</w:t>
            </w:r>
          </w:p>
        </w:tc>
      </w:tr>
      <w:tr w:rsidR="00CD7B36" w:rsidRPr="00EB2E7B" w14:paraId="61C62702" w14:textId="77777777" w:rsidTr="00780901">
        <w:trPr>
          <w:trHeight w:val="604"/>
        </w:trPr>
        <w:tc>
          <w:tcPr>
            <w:tcW w:w="2977" w:type="dxa"/>
          </w:tcPr>
          <w:p w14:paraId="5E03AF9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Rejestrator zakłóceń </w:t>
            </w:r>
          </w:p>
        </w:tc>
        <w:tc>
          <w:tcPr>
            <w:tcW w:w="6219" w:type="dxa"/>
            <w:gridSpan w:val="6"/>
          </w:tcPr>
          <w:p w14:paraId="4E74615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Rejestrator zapisujący przebiegi chwilowe napięć, prądów i sygnałów logicznych. </w:t>
            </w:r>
          </w:p>
        </w:tc>
      </w:tr>
      <w:tr w:rsidR="00CD7B36" w:rsidRPr="00EB2E7B" w14:paraId="0300FAD2" w14:textId="77777777" w:rsidTr="00780901">
        <w:trPr>
          <w:trHeight w:val="948"/>
        </w:trPr>
        <w:tc>
          <w:tcPr>
            <w:tcW w:w="2977" w:type="dxa"/>
          </w:tcPr>
          <w:p w14:paraId="09D3559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Rejestrator zdarzeń </w:t>
            </w:r>
          </w:p>
        </w:tc>
        <w:tc>
          <w:tcPr>
            <w:tcW w:w="6219" w:type="dxa"/>
            <w:gridSpan w:val="6"/>
          </w:tcPr>
          <w:p w14:paraId="0B88325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Rejestrator zapisujący czasy wystąpienia i opisy znakowe zmian stanów urządzeń pola, w którym jest zainstalowany, w tym układów EAZ. </w:t>
            </w:r>
          </w:p>
        </w:tc>
      </w:tr>
      <w:tr w:rsidR="00CD7B36" w:rsidRPr="00EB2E7B" w14:paraId="2D052832" w14:textId="77777777" w:rsidTr="00780901">
        <w:trPr>
          <w:trHeight w:val="948"/>
        </w:trPr>
        <w:tc>
          <w:tcPr>
            <w:tcW w:w="2977" w:type="dxa"/>
          </w:tcPr>
          <w:p w14:paraId="57A3066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Reprezentant prosumentów</w:t>
            </w:r>
          </w:p>
        </w:tc>
        <w:tc>
          <w:tcPr>
            <w:tcW w:w="6219" w:type="dxa"/>
            <w:gridSpan w:val="6"/>
          </w:tcPr>
          <w:p w14:paraId="2438AB0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Osoba fizyczna, osoba prawna lub jednostka organizacyjna niebędąca osobą prawną, której ustawa przyznaje zdolność prawną, uprawnioną na podstawie umowy, o której mowa w art. 4a ust. 1 Ustawy OZE, do reprezentacji prosumentów wirtualnych energii odnawialnej lub prosumentów zbiorowych energii odnawialnej, w szczególności w relacjach z operatorem systemu dystrybucyjnego elektroenergetycznego, zarządcą budynku wielolokalowego lub organami administracji architektoniczno-budowlanej, a w przypadku prosumenta wirtualnego energii odnawialnej – także podmiotem odpowiedzialnym za bilansowanie.</w:t>
            </w:r>
          </w:p>
        </w:tc>
      </w:tr>
      <w:tr w:rsidR="00CD7B36" w:rsidRPr="00EB2E7B" w14:paraId="6B490FF2" w14:textId="77777777" w:rsidTr="00780901">
        <w:trPr>
          <w:trHeight w:val="949"/>
        </w:trPr>
        <w:tc>
          <w:tcPr>
            <w:tcW w:w="2977" w:type="dxa"/>
          </w:tcPr>
          <w:p w14:paraId="39E3D00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Rezerwa mocy </w:t>
            </w:r>
          </w:p>
        </w:tc>
        <w:tc>
          <w:tcPr>
            <w:tcW w:w="6219" w:type="dxa"/>
            <w:gridSpan w:val="6"/>
          </w:tcPr>
          <w:p w14:paraId="73B1139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Możliwa do wykorzystania w danym okresie, zdolność jednostek wytwórczych do wytwarzania energii elektrycznej i dostarczania jej do sieci. </w:t>
            </w:r>
          </w:p>
        </w:tc>
      </w:tr>
      <w:tr w:rsidR="00CD7B36" w:rsidRPr="00EB2E7B" w14:paraId="126E46CF" w14:textId="77777777" w:rsidTr="00780901">
        <w:trPr>
          <w:trHeight w:val="672"/>
        </w:trPr>
        <w:tc>
          <w:tcPr>
            <w:tcW w:w="2977" w:type="dxa"/>
          </w:tcPr>
          <w:p w14:paraId="6CF5A86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Rezerwowa umowa kompleksowa </w:t>
            </w:r>
          </w:p>
        </w:tc>
        <w:tc>
          <w:tcPr>
            <w:tcW w:w="6219" w:type="dxa"/>
            <w:gridSpan w:val="6"/>
          </w:tcPr>
          <w:p w14:paraId="274B64F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Umowa kompleksowa zawierająca postanowienia umowy sprzedaży rezerwowej. </w:t>
            </w:r>
          </w:p>
        </w:tc>
      </w:tr>
      <w:tr w:rsidR="00CD7B36" w:rsidRPr="00EB2E7B" w14:paraId="1254462E" w14:textId="77777777" w:rsidTr="00780901">
        <w:trPr>
          <w:trHeight w:val="672"/>
        </w:trPr>
        <w:tc>
          <w:tcPr>
            <w:tcW w:w="2977" w:type="dxa"/>
          </w:tcPr>
          <w:p w14:paraId="2B9F2135" w14:textId="77777777" w:rsidR="00CD7B36" w:rsidRPr="00EB2E7B" w:rsidRDefault="00CD7B36">
            <w:pPr>
              <w:rPr>
                <w:rFonts w:asciiTheme="minorHAnsi" w:hAnsiTheme="minorHAnsi" w:cstheme="minorHAnsi"/>
                <w:b/>
                <w:bCs/>
                <w:sz w:val="20"/>
                <w:szCs w:val="20"/>
              </w:rPr>
            </w:pPr>
            <w:r w:rsidRPr="00EB2E7B">
              <w:rPr>
                <w:rFonts w:asciiTheme="minorHAnsi" w:hAnsiTheme="minorHAnsi" w:cstheme="minorHAnsi"/>
                <w:b/>
                <w:bCs/>
                <w:sz w:val="20"/>
                <w:szCs w:val="20"/>
              </w:rPr>
              <w:t>Rozporządzenie pomiarowe</w:t>
            </w:r>
          </w:p>
          <w:p w14:paraId="12C9B5F7" w14:textId="77777777" w:rsidR="00CD7B36" w:rsidRPr="00EB2E7B" w:rsidRDefault="00CD7B36">
            <w:pPr>
              <w:spacing w:after="0"/>
              <w:ind w:left="70" w:firstLine="0"/>
              <w:jc w:val="left"/>
              <w:rPr>
                <w:rFonts w:asciiTheme="minorHAnsi" w:hAnsiTheme="minorHAnsi" w:cstheme="minorHAnsi"/>
                <w:b/>
                <w:bCs/>
                <w:sz w:val="20"/>
                <w:szCs w:val="20"/>
              </w:rPr>
            </w:pPr>
          </w:p>
        </w:tc>
        <w:tc>
          <w:tcPr>
            <w:tcW w:w="6219" w:type="dxa"/>
            <w:gridSpan w:val="6"/>
          </w:tcPr>
          <w:p w14:paraId="5F5671B0" w14:textId="30C61696"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Rozporządzenie Ministra Klimatu i Środowiska z dnia 22 marca 2022 r. w sprawie systemu pomiarowego (Dz.U. z 2022 r. poz. 788</w:t>
            </w:r>
            <w:r w:rsidR="00A16D86" w:rsidRPr="00EB2E7B">
              <w:rPr>
                <w:rFonts w:asciiTheme="minorHAnsi" w:hAnsiTheme="minorHAnsi" w:cstheme="minorHAnsi"/>
                <w:sz w:val="20"/>
                <w:szCs w:val="20"/>
              </w:rPr>
              <w:t xml:space="preserve"> z </w:t>
            </w:r>
            <w:proofErr w:type="spellStart"/>
            <w:r w:rsidR="00A16D86" w:rsidRPr="00EB2E7B">
              <w:rPr>
                <w:rFonts w:asciiTheme="minorHAnsi" w:hAnsiTheme="minorHAnsi" w:cstheme="minorHAnsi"/>
                <w:sz w:val="20"/>
                <w:szCs w:val="20"/>
              </w:rPr>
              <w:t>późn</w:t>
            </w:r>
            <w:proofErr w:type="spellEnd"/>
            <w:r w:rsidR="00A16D86" w:rsidRPr="00EB2E7B">
              <w:rPr>
                <w:rFonts w:asciiTheme="minorHAnsi" w:hAnsiTheme="minorHAnsi" w:cstheme="minorHAnsi"/>
                <w:sz w:val="20"/>
                <w:szCs w:val="20"/>
              </w:rPr>
              <w:t>. zm.</w:t>
            </w:r>
            <w:r w:rsidRPr="00EB2E7B">
              <w:rPr>
                <w:rFonts w:asciiTheme="minorHAnsi" w:hAnsiTheme="minorHAnsi" w:cstheme="minorHAnsi"/>
                <w:sz w:val="20"/>
                <w:szCs w:val="20"/>
              </w:rPr>
              <w:t>).</w:t>
            </w:r>
          </w:p>
        </w:tc>
      </w:tr>
      <w:tr w:rsidR="00CD7B36" w:rsidRPr="00EB2E7B" w14:paraId="18C093DE" w14:textId="77777777" w:rsidTr="00780901">
        <w:trPr>
          <w:trHeight w:val="672"/>
        </w:trPr>
        <w:tc>
          <w:tcPr>
            <w:tcW w:w="2977" w:type="dxa"/>
          </w:tcPr>
          <w:p w14:paraId="46151300" w14:textId="77777777" w:rsidR="00CD7B36" w:rsidRPr="00EB2E7B" w:rsidRDefault="00CD7B36">
            <w:pPr>
              <w:rPr>
                <w:rFonts w:asciiTheme="minorHAnsi" w:hAnsiTheme="minorHAnsi" w:cstheme="minorHAnsi"/>
                <w:b/>
                <w:bCs/>
                <w:sz w:val="20"/>
                <w:szCs w:val="20"/>
              </w:rPr>
            </w:pPr>
            <w:r w:rsidRPr="00EB2E7B">
              <w:rPr>
                <w:rFonts w:asciiTheme="minorHAnsi" w:hAnsiTheme="minorHAnsi" w:cstheme="minorHAnsi"/>
                <w:b/>
                <w:bCs/>
                <w:sz w:val="20"/>
                <w:szCs w:val="20"/>
              </w:rPr>
              <w:t>Rozporządzenie systemowe</w:t>
            </w:r>
          </w:p>
        </w:tc>
        <w:tc>
          <w:tcPr>
            <w:tcW w:w="6219" w:type="dxa"/>
            <w:gridSpan w:val="6"/>
          </w:tcPr>
          <w:p w14:paraId="3186BAF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Rozporządzenie Ministra Klimatu i Środowiska z dnia 22 marca 2023 r. w sprawie szczegółowych warunków funkcjonowania systemu elektroenergetycznego (Dz. U. z 2023 r. poz. 819)., z późniejszymi zmianami).</w:t>
            </w:r>
          </w:p>
        </w:tc>
      </w:tr>
      <w:tr w:rsidR="00CD7B36" w:rsidRPr="00EB2E7B" w14:paraId="704CA071" w14:textId="77777777" w:rsidTr="00780901">
        <w:trPr>
          <w:trHeight w:val="672"/>
        </w:trPr>
        <w:tc>
          <w:tcPr>
            <w:tcW w:w="2977" w:type="dxa"/>
          </w:tcPr>
          <w:p w14:paraId="2EF56D36" w14:textId="77777777" w:rsidR="00CD7B36" w:rsidRPr="00EB2E7B" w:rsidRDefault="00CD7B36">
            <w:pPr>
              <w:rPr>
                <w:rFonts w:asciiTheme="minorHAnsi" w:hAnsiTheme="minorHAnsi" w:cstheme="minorHAnsi"/>
                <w:b/>
                <w:bCs/>
                <w:sz w:val="20"/>
                <w:szCs w:val="20"/>
              </w:rPr>
            </w:pPr>
            <w:r w:rsidRPr="00EB2E7B">
              <w:rPr>
                <w:rFonts w:asciiTheme="minorHAnsi" w:hAnsiTheme="minorHAnsi" w:cstheme="minorHAnsi"/>
                <w:b/>
                <w:bCs/>
                <w:sz w:val="20"/>
                <w:szCs w:val="20"/>
              </w:rPr>
              <w:t>Rozporządzenie taryfowe</w:t>
            </w:r>
          </w:p>
        </w:tc>
        <w:tc>
          <w:tcPr>
            <w:tcW w:w="6219" w:type="dxa"/>
            <w:gridSpan w:val="6"/>
          </w:tcPr>
          <w:p w14:paraId="186B87F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Rozporządzenie Ministra Klimatu i Środowiska z dnia 29 listopada 2022 r. w sprawie sposobu kształtowania i kalkulacji taryf oraz sposobu rozliczeń w obrocie energią elektryczną (</w:t>
            </w:r>
            <w:proofErr w:type="spellStart"/>
            <w:r w:rsidRPr="00EB2E7B">
              <w:rPr>
                <w:rFonts w:asciiTheme="minorHAnsi" w:hAnsiTheme="minorHAnsi" w:cstheme="minorHAnsi"/>
                <w:sz w:val="20"/>
                <w:szCs w:val="20"/>
              </w:rPr>
              <w:t>Dz</w:t>
            </w:r>
            <w:proofErr w:type="spellEnd"/>
            <w:r w:rsidRPr="00EB2E7B">
              <w:rPr>
                <w:rFonts w:asciiTheme="minorHAnsi" w:hAnsiTheme="minorHAnsi" w:cstheme="minorHAnsi"/>
                <w:sz w:val="20"/>
                <w:szCs w:val="20"/>
              </w:rPr>
              <w:t>  U. z 2022 r., poz. 2505 z późniejszymi zmianami).</w:t>
            </w:r>
          </w:p>
        </w:tc>
      </w:tr>
      <w:tr w:rsidR="00CD7B36" w:rsidRPr="00EB2E7B" w14:paraId="7B39A80A" w14:textId="77777777" w:rsidTr="00780901">
        <w:trPr>
          <w:trHeight w:val="946"/>
        </w:trPr>
        <w:tc>
          <w:tcPr>
            <w:tcW w:w="2977" w:type="dxa"/>
          </w:tcPr>
          <w:p w14:paraId="46B3FD5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Ruch próbny </w:t>
            </w:r>
          </w:p>
        </w:tc>
        <w:tc>
          <w:tcPr>
            <w:tcW w:w="6219" w:type="dxa"/>
            <w:gridSpan w:val="6"/>
          </w:tcPr>
          <w:p w14:paraId="020B0133" w14:textId="1A906CBB"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Nieprzerwana praca uruchamianych urządzeń, instalacji lub sieci, przez okres co najmniej 72 godzin, z parametrami pracy określonymi przez operatora systemu dystrybucyjnego. </w:t>
            </w:r>
          </w:p>
        </w:tc>
      </w:tr>
      <w:tr w:rsidR="00CD7B36" w:rsidRPr="00EB2E7B" w14:paraId="5869D1E9" w14:textId="77777777" w:rsidTr="00780901">
        <w:trPr>
          <w:trHeight w:val="398"/>
        </w:trPr>
        <w:tc>
          <w:tcPr>
            <w:tcW w:w="2977" w:type="dxa"/>
          </w:tcPr>
          <w:p w14:paraId="6DF06F6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Ruch sieciowy </w:t>
            </w:r>
          </w:p>
        </w:tc>
        <w:tc>
          <w:tcPr>
            <w:tcW w:w="6219" w:type="dxa"/>
            <w:gridSpan w:val="6"/>
          </w:tcPr>
          <w:p w14:paraId="3BEEEF9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Sterowanie pracą sieci. </w:t>
            </w:r>
          </w:p>
        </w:tc>
      </w:tr>
      <w:tr w:rsidR="00CD7B36" w:rsidRPr="00EB2E7B" w14:paraId="3634412F" w14:textId="77777777" w:rsidTr="00780901">
        <w:trPr>
          <w:trHeight w:val="1498"/>
        </w:trPr>
        <w:tc>
          <w:tcPr>
            <w:tcW w:w="2977" w:type="dxa"/>
          </w:tcPr>
          <w:p w14:paraId="6EA6CCF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Rynek bilansujący </w:t>
            </w:r>
          </w:p>
        </w:tc>
        <w:tc>
          <w:tcPr>
            <w:tcW w:w="6219" w:type="dxa"/>
            <w:gridSpan w:val="6"/>
          </w:tcPr>
          <w:p w14:paraId="1012A44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Rynek bilansujący w rozumieniu art. 2 pkt 2 EB GL. </w:t>
            </w:r>
          </w:p>
        </w:tc>
      </w:tr>
      <w:tr w:rsidR="00CD7B36" w:rsidRPr="00EB2E7B" w14:paraId="24338FAC" w14:textId="77777777" w:rsidTr="00780901">
        <w:trPr>
          <w:trHeight w:val="672"/>
        </w:trPr>
        <w:tc>
          <w:tcPr>
            <w:tcW w:w="2977" w:type="dxa"/>
          </w:tcPr>
          <w:p w14:paraId="0DB56D5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Rynek detaliczny </w:t>
            </w:r>
          </w:p>
        </w:tc>
        <w:tc>
          <w:tcPr>
            <w:tcW w:w="6219" w:type="dxa"/>
            <w:gridSpan w:val="6"/>
          </w:tcPr>
          <w:p w14:paraId="042F434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Obszar sieci dystrybucyjnej zarządzanej przez OSD, która nie jest objęta obszarem Rynku Bilansującego. </w:t>
            </w:r>
          </w:p>
        </w:tc>
      </w:tr>
      <w:tr w:rsidR="00CD7B36" w:rsidRPr="00EB2E7B" w14:paraId="4AFF335E" w14:textId="77777777" w:rsidTr="00780901">
        <w:trPr>
          <w:trHeight w:val="672"/>
        </w:trPr>
        <w:tc>
          <w:tcPr>
            <w:tcW w:w="2977" w:type="dxa"/>
          </w:tcPr>
          <w:p w14:paraId="691B6D6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Rzeczywiste miejsce dostarczania energii elektrycznej</w:t>
            </w:r>
          </w:p>
        </w:tc>
        <w:tc>
          <w:tcPr>
            <w:tcW w:w="6219" w:type="dxa"/>
            <w:gridSpan w:val="6"/>
          </w:tcPr>
          <w:p w14:paraId="5C412A4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Miejsce dostarczania energii elektrycznej, w którym jest realizowana dostawa tej energii powiązana bezpośrednio z jej fizycznymi przepływami, której ilość jest wyznaczana za pomocą układu pomiarowo-rozliczeniowego, będące jednocześnie rzeczywistym miejscem odbioru tej energii.</w:t>
            </w:r>
          </w:p>
        </w:tc>
      </w:tr>
      <w:tr w:rsidR="00CD7B36" w:rsidRPr="00EB2E7B" w14:paraId="075E0E30" w14:textId="77777777" w:rsidTr="00780901">
        <w:trPr>
          <w:trHeight w:val="1010"/>
        </w:trPr>
        <w:tc>
          <w:tcPr>
            <w:tcW w:w="2977" w:type="dxa"/>
          </w:tcPr>
          <w:p w14:paraId="3B626D9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Saldo dekrementujące </w:t>
            </w:r>
          </w:p>
        </w:tc>
        <w:tc>
          <w:tcPr>
            <w:tcW w:w="6219" w:type="dxa"/>
            <w:gridSpan w:val="6"/>
          </w:tcPr>
          <w:p w14:paraId="4A1449BF" w14:textId="15DB5EAE"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Liczb</w:t>
            </w:r>
            <w:r w:rsidR="00532A0B" w:rsidRPr="00EB2E7B">
              <w:rPr>
                <w:rFonts w:asciiTheme="minorHAnsi" w:hAnsiTheme="minorHAnsi" w:cstheme="minorHAnsi"/>
                <w:sz w:val="20"/>
                <w:szCs w:val="20"/>
              </w:rPr>
              <w:t>a</w:t>
            </w:r>
            <w:r w:rsidRPr="00EB2E7B">
              <w:rPr>
                <w:rFonts w:asciiTheme="minorHAnsi" w:hAnsiTheme="minorHAnsi" w:cstheme="minorHAnsi"/>
                <w:sz w:val="20"/>
                <w:szCs w:val="20"/>
              </w:rPr>
              <w:t xml:space="preserve"> wyrażon</w:t>
            </w:r>
            <w:r w:rsidR="001E290F" w:rsidRPr="00EB2E7B">
              <w:rPr>
                <w:rFonts w:asciiTheme="minorHAnsi" w:hAnsiTheme="minorHAnsi" w:cstheme="minorHAnsi"/>
                <w:sz w:val="20"/>
                <w:szCs w:val="20"/>
              </w:rPr>
              <w:t>a</w:t>
            </w:r>
            <w:r w:rsidRPr="00EB2E7B">
              <w:rPr>
                <w:rFonts w:asciiTheme="minorHAnsi" w:hAnsiTheme="minorHAnsi" w:cstheme="minorHAnsi"/>
                <w:sz w:val="20"/>
                <w:szCs w:val="20"/>
              </w:rPr>
              <w:t xml:space="preserve"> w ilości energii elektrycznej lub jednostkach pieniężnych, pozostał</w:t>
            </w:r>
            <w:r w:rsidR="00532A0B" w:rsidRPr="00EB2E7B">
              <w:rPr>
                <w:rFonts w:asciiTheme="minorHAnsi" w:hAnsiTheme="minorHAnsi" w:cstheme="minorHAnsi"/>
                <w:sz w:val="20"/>
                <w:szCs w:val="20"/>
              </w:rPr>
              <w:t>a</w:t>
            </w:r>
            <w:r w:rsidRPr="00EB2E7B">
              <w:rPr>
                <w:rFonts w:asciiTheme="minorHAnsi" w:hAnsiTheme="minorHAnsi" w:cstheme="minorHAnsi"/>
                <w:sz w:val="20"/>
                <w:szCs w:val="20"/>
              </w:rPr>
              <w:t xml:space="preserve"> do wykorzystania przez URD</w:t>
            </w:r>
            <w:r w:rsidRPr="00EB2E7B">
              <w:rPr>
                <w:rFonts w:asciiTheme="minorHAnsi" w:hAnsiTheme="minorHAnsi" w:cstheme="minorHAnsi"/>
                <w:sz w:val="20"/>
                <w:szCs w:val="20"/>
                <w:vertAlign w:val="subscript"/>
              </w:rPr>
              <w:t>O</w:t>
            </w:r>
            <w:r w:rsidRPr="00EB2E7B">
              <w:rPr>
                <w:rFonts w:asciiTheme="minorHAnsi" w:hAnsiTheme="minorHAnsi" w:cstheme="minorHAnsi"/>
                <w:sz w:val="20"/>
                <w:szCs w:val="20"/>
              </w:rPr>
              <w:t xml:space="preserve"> dla przedpłatowej formy rozliczeń w ramach umowy kompleksowej.</w:t>
            </w:r>
          </w:p>
        </w:tc>
      </w:tr>
      <w:tr w:rsidR="00CD7B36" w:rsidRPr="00EB2E7B" w14:paraId="69ED3DEC" w14:textId="77777777" w:rsidTr="00780901">
        <w:trPr>
          <w:trHeight w:val="1285"/>
        </w:trPr>
        <w:tc>
          <w:tcPr>
            <w:tcW w:w="2977" w:type="dxa"/>
          </w:tcPr>
          <w:p w14:paraId="3E530D3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Samoczynne częstotliwościowe odciążanie – SCO </w:t>
            </w:r>
          </w:p>
        </w:tc>
        <w:tc>
          <w:tcPr>
            <w:tcW w:w="6219" w:type="dxa"/>
            <w:gridSpan w:val="6"/>
          </w:tcPr>
          <w:p w14:paraId="132E152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Samoczynne wyłączanie zdefiniowanych grup odbiorców w przypadku obniżenia się częstotliwości do określonej wielkości (automatyczne odłączenie odbioru przy niskiej częstotliwości w rozumieniu NC ER), spowodowanego deficytem mocy w systemie elektroenergetycznym.</w:t>
            </w:r>
          </w:p>
        </w:tc>
      </w:tr>
      <w:tr w:rsidR="00CD7B36" w:rsidRPr="00EB2E7B" w14:paraId="76F5DCCE" w14:textId="77777777" w:rsidTr="00780901">
        <w:trPr>
          <w:trHeight w:val="1498"/>
        </w:trPr>
        <w:tc>
          <w:tcPr>
            <w:tcW w:w="2977" w:type="dxa"/>
          </w:tcPr>
          <w:p w14:paraId="4D6D63A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Samoczynne ponowne załączanie - SPZ </w:t>
            </w:r>
          </w:p>
        </w:tc>
        <w:tc>
          <w:tcPr>
            <w:tcW w:w="6219" w:type="dxa"/>
            <w:gridSpan w:val="6"/>
          </w:tcPr>
          <w:p w14:paraId="789493C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Automatyka elektroenergetyczna, której działanie polega na samoczynnym podaniu impulsu załączającego wyłącznik linii po upływie odpowiednio dobranego czasu, po przejściu tego wyłącznika w stan otwarcia z powodu zadziałania zabezpieczenia. </w:t>
            </w:r>
          </w:p>
        </w:tc>
      </w:tr>
      <w:tr w:rsidR="00CD7B36" w:rsidRPr="00EB2E7B" w14:paraId="4A64BBE9" w14:textId="77777777" w:rsidTr="00780901">
        <w:trPr>
          <w:trHeight w:val="881"/>
        </w:trPr>
        <w:tc>
          <w:tcPr>
            <w:tcW w:w="2977" w:type="dxa"/>
          </w:tcPr>
          <w:p w14:paraId="5124CEE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Sieci </w:t>
            </w:r>
          </w:p>
        </w:tc>
        <w:tc>
          <w:tcPr>
            <w:tcW w:w="6219" w:type="dxa"/>
            <w:gridSpan w:val="6"/>
          </w:tcPr>
          <w:p w14:paraId="0C2389A8" w14:textId="1BCBF76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Instalacje połączone i współpracujące ze sobą, służące do przesyłania lub dystrybucji energii elektrycznej, należące do przedsiębiorstwa energetycznego</w:t>
            </w:r>
            <w:r w:rsidR="0001794B" w:rsidRPr="00EB2E7B">
              <w:rPr>
                <w:rFonts w:asciiTheme="minorHAnsi" w:hAnsiTheme="minorHAnsi" w:cstheme="minorHAnsi"/>
                <w:sz w:val="20"/>
                <w:szCs w:val="20"/>
              </w:rPr>
              <w:t>.</w:t>
            </w:r>
            <w:r w:rsidRPr="00EB2E7B">
              <w:rPr>
                <w:rFonts w:asciiTheme="minorHAnsi" w:hAnsiTheme="minorHAnsi" w:cstheme="minorHAnsi"/>
                <w:sz w:val="20"/>
                <w:szCs w:val="20"/>
              </w:rPr>
              <w:t xml:space="preserve"> </w:t>
            </w:r>
          </w:p>
        </w:tc>
      </w:tr>
      <w:tr w:rsidR="00CD7B36" w:rsidRPr="00EB2E7B" w14:paraId="47B9B3C4" w14:textId="77777777" w:rsidTr="00780901">
        <w:trPr>
          <w:trHeight w:val="880"/>
        </w:trPr>
        <w:tc>
          <w:tcPr>
            <w:tcW w:w="2977" w:type="dxa"/>
          </w:tcPr>
          <w:p w14:paraId="1589B73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Sieć przesyłowa </w:t>
            </w:r>
          </w:p>
        </w:tc>
        <w:tc>
          <w:tcPr>
            <w:tcW w:w="6219" w:type="dxa"/>
            <w:gridSpan w:val="6"/>
          </w:tcPr>
          <w:p w14:paraId="5F47274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Sieć elektroenergetyczna najwyższych lub wysokich napięć, za której ruch sieciowy jest odpowiedzialny operator systemu przesyłowego. </w:t>
            </w:r>
          </w:p>
        </w:tc>
      </w:tr>
      <w:tr w:rsidR="00CD7B36" w:rsidRPr="00EB2E7B" w14:paraId="0BE74021" w14:textId="77777777" w:rsidTr="00780901">
        <w:trPr>
          <w:trHeight w:val="946"/>
        </w:trPr>
        <w:tc>
          <w:tcPr>
            <w:tcW w:w="2977" w:type="dxa"/>
          </w:tcPr>
          <w:p w14:paraId="3A32472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Sieć dystrybucyjna </w:t>
            </w:r>
          </w:p>
        </w:tc>
        <w:tc>
          <w:tcPr>
            <w:tcW w:w="6219" w:type="dxa"/>
            <w:gridSpan w:val="6"/>
          </w:tcPr>
          <w:p w14:paraId="35E0CB6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Sieć elektroenergetyczna wysokich, średnich i niskich napięć, za której ruch sieciowy jest odpowiedzialny operator systemu dystrybucyjnego. </w:t>
            </w:r>
          </w:p>
        </w:tc>
      </w:tr>
      <w:tr w:rsidR="00CD7B36" w:rsidRPr="00EB2E7B" w14:paraId="5556274D" w14:textId="77777777" w:rsidTr="00780901">
        <w:trPr>
          <w:trHeight w:val="946"/>
        </w:trPr>
        <w:tc>
          <w:tcPr>
            <w:tcW w:w="2977" w:type="dxa"/>
          </w:tcPr>
          <w:p w14:paraId="4193D714"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Skorygowane dane pomiarowe</w:t>
            </w:r>
          </w:p>
        </w:tc>
        <w:tc>
          <w:tcPr>
            <w:tcW w:w="6219" w:type="dxa"/>
            <w:gridSpan w:val="6"/>
          </w:tcPr>
          <w:p w14:paraId="5FAEF0B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Dane pomiarowe wyznaczone w przypadku, gdy dane pomiarowe pozyskane z licznika konwencjonalnego lub z licznika zdalnego odczytu są błędne.</w:t>
            </w:r>
          </w:p>
        </w:tc>
      </w:tr>
      <w:tr w:rsidR="00DB2BAC" w:rsidRPr="00EB2E7B" w14:paraId="0290AD3A" w14:textId="77777777" w:rsidTr="00780901">
        <w:trPr>
          <w:trHeight w:val="946"/>
        </w:trPr>
        <w:tc>
          <w:tcPr>
            <w:tcW w:w="2977" w:type="dxa"/>
          </w:tcPr>
          <w:p w14:paraId="0AA9F092" w14:textId="77777777" w:rsidR="00422406" w:rsidRPr="00EB2E7B" w:rsidRDefault="00422406" w:rsidP="00422406">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lastRenderedPageBreak/>
              <w:t>Służba dyspozytorska</w:t>
            </w:r>
          </w:p>
          <w:p w14:paraId="1354A33F" w14:textId="347ECC62" w:rsidR="00DB2BAC" w:rsidRPr="00EB2E7B" w:rsidRDefault="00422406" w:rsidP="00422406">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lub ruchowa</w:t>
            </w:r>
          </w:p>
        </w:tc>
        <w:tc>
          <w:tcPr>
            <w:tcW w:w="6219" w:type="dxa"/>
            <w:gridSpan w:val="6"/>
          </w:tcPr>
          <w:p w14:paraId="31075D3D" w14:textId="7F0B2CBD" w:rsidR="00DB2BAC" w:rsidRPr="00EB2E7B" w:rsidRDefault="001223AE">
            <w:pPr>
              <w:ind w:left="70" w:firstLine="0"/>
              <w:rPr>
                <w:rFonts w:asciiTheme="minorHAnsi" w:hAnsiTheme="minorHAnsi" w:cstheme="minorHAnsi"/>
                <w:sz w:val="20"/>
                <w:szCs w:val="20"/>
              </w:rPr>
            </w:pPr>
            <w:r w:rsidRPr="00EB2E7B">
              <w:rPr>
                <w:rFonts w:asciiTheme="minorHAnsi" w:hAnsiTheme="minorHAnsi" w:cstheme="minorHAnsi"/>
                <w:sz w:val="20"/>
                <w:szCs w:val="20"/>
              </w:rPr>
              <w:t>Komórka organizacyjna przedsiębiorstwa elektroenergetycznego uprawniona do prowadzenia ruchu sieci i kierowania pracą jednostek wytwórczych.</w:t>
            </w:r>
          </w:p>
        </w:tc>
      </w:tr>
      <w:tr w:rsidR="00CD7B36" w:rsidRPr="00EB2E7B" w14:paraId="10FA9A24" w14:textId="77777777" w:rsidTr="00780901">
        <w:trPr>
          <w:trHeight w:val="946"/>
        </w:trPr>
        <w:tc>
          <w:tcPr>
            <w:tcW w:w="2977" w:type="dxa"/>
          </w:tcPr>
          <w:p w14:paraId="652E87F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Spółdzielnia energetyczna</w:t>
            </w:r>
          </w:p>
        </w:tc>
        <w:tc>
          <w:tcPr>
            <w:tcW w:w="6219" w:type="dxa"/>
            <w:gridSpan w:val="6"/>
          </w:tcPr>
          <w:p w14:paraId="4523FF01" w14:textId="7ADEFB1D"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Spółdzielni</w:t>
            </w:r>
            <w:r w:rsidR="00A2026B" w:rsidRPr="00EB2E7B">
              <w:rPr>
                <w:rFonts w:asciiTheme="minorHAnsi" w:hAnsiTheme="minorHAnsi" w:cstheme="minorHAnsi"/>
                <w:sz w:val="20"/>
                <w:szCs w:val="20"/>
              </w:rPr>
              <w:t>a</w:t>
            </w:r>
            <w:r w:rsidRPr="00EB2E7B">
              <w:rPr>
                <w:rFonts w:asciiTheme="minorHAnsi" w:hAnsiTheme="minorHAnsi" w:cstheme="minorHAnsi"/>
                <w:sz w:val="20"/>
                <w:szCs w:val="20"/>
              </w:rPr>
              <w:t xml:space="preserve"> w rozumieniu ustawy z dnia 16 września 1982 r. – Prawo spółdzielcze (Dz. U. z 2021 r. poz. 648) lub ustawy z dnia 4 października 2018 r. o spółdzielniach rolników (Dz. U. poz. 2073), której przedmiotem działalności jest wytwarzanie energii elektrycznej lub biogazu, lub ciepła, w instalacjach odnawialnego źródła energii i równoważenie zapotrzebowania energii elektrycznej lub biogazu, lub ciepła, wyłącznie na potrzeby własne spółdzielni energetycznej i jej członków, przyłączonych do zdefiniowanej obszarowo sieci dystrybucyjnej elektroenergetycznej o napięciu znamionowym niższym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lub sieci dystrybucyjnej gazowej, lub sieci ciepłowniczej.</w:t>
            </w:r>
          </w:p>
        </w:tc>
      </w:tr>
      <w:tr w:rsidR="00CD7B36" w:rsidRPr="00EB2E7B" w14:paraId="5F5D2314" w14:textId="77777777" w:rsidTr="00780901">
        <w:trPr>
          <w:trHeight w:val="1501"/>
        </w:trPr>
        <w:tc>
          <w:tcPr>
            <w:tcW w:w="2977" w:type="dxa"/>
          </w:tcPr>
          <w:p w14:paraId="78F8033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Sprzedawca </w:t>
            </w:r>
          </w:p>
        </w:tc>
        <w:tc>
          <w:tcPr>
            <w:tcW w:w="6219" w:type="dxa"/>
            <w:gridSpan w:val="6"/>
          </w:tcPr>
          <w:p w14:paraId="5DA007E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Przedsiębiorstwo energetyczne prowadzące działalność gospodarczą polegającą na sprzedaży energii elektrycznej przez niego wytworzonej lub przedsiębiorstwo energetyczne prowadzące działalność gospodarczą polegającą na obrocie energią elektryczną. </w:t>
            </w:r>
          </w:p>
        </w:tc>
      </w:tr>
      <w:tr w:rsidR="00CC371B" w:rsidRPr="00EB2E7B" w14:paraId="6B3D2E7E" w14:textId="77777777" w:rsidTr="00780901">
        <w:trPr>
          <w:trHeight w:val="1501"/>
        </w:trPr>
        <w:tc>
          <w:tcPr>
            <w:tcW w:w="2977" w:type="dxa"/>
          </w:tcPr>
          <w:p w14:paraId="40D2064A" w14:textId="1687C0D9" w:rsidR="00CC371B" w:rsidRPr="00EB2E7B" w:rsidRDefault="004C679F">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Sprzedawca Macierzysty</w:t>
            </w:r>
          </w:p>
        </w:tc>
        <w:tc>
          <w:tcPr>
            <w:tcW w:w="6219" w:type="dxa"/>
            <w:gridSpan w:val="6"/>
          </w:tcPr>
          <w:p w14:paraId="54480D90" w14:textId="7D13FCDE" w:rsidR="00CC371B" w:rsidRPr="00EB2E7B" w:rsidRDefault="006E36D9">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sprzedający energię elektryczną odbiorcom niekorzystającym z prawa wyboru sprzedawcy, pełniący jednocześnie na obszarze sieci OSD funkcję Sprzedawcy z </w:t>
            </w:r>
            <w:r w:rsidR="007427D9" w:rsidRPr="00EB2E7B">
              <w:rPr>
                <w:rFonts w:asciiTheme="minorHAnsi" w:hAnsiTheme="minorHAnsi" w:cstheme="minorHAnsi"/>
                <w:sz w:val="20"/>
                <w:szCs w:val="20"/>
              </w:rPr>
              <w:t>u</w:t>
            </w:r>
            <w:r w:rsidRPr="00EB2E7B">
              <w:rPr>
                <w:rFonts w:asciiTheme="minorHAnsi" w:hAnsiTheme="minorHAnsi" w:cstheme="minorHAnsi"/>
                <w:sz w:val="20"/>
                <w:szCs w:val="20"/>
              </w:rPr>
              <w:t>rzędu.</w:t>
            </w:r>
          </w:p>
        </w:tc>
      </w:tr>
      <w:tr w:rsidR="00CD7B36" w:rsidRPr="00EB2E7B" w14:paraId="061C65A3" w14:textId="77777777" w:rsidTr="00780901">
        <w:trPr>
          <w:trHeight w:val="972"/>
        </w:trPr>
        <w:tc>
          <w:tcPr>
            <w:tcW w:w="2977" w:type="dxa"/>
          </w:tcPr>
          <w:p w14:paraId="1317AC8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Sprzedawca rezerwowy </w:t>
            </w:r>
          </w:p>
        </w:tc>
        <w:tc>
          <w:tcPr>
            <w:tcW w:w="6219" w:type="dxa"/>
            <w:gridSpan w:val="6"/>
          </w:tcPr>
          <w:p w14:paraId="0E419C78"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Przedsiębiorstwo energetyczne wyznaczone zgodnie z art. 40 ust. 3 pkt 1 Ustawy OZE na sprzedawcę zobowiązanego na obszarze działania OSD, zapewniające URD przyłączonym do danego systemu elektroenergetycznego sprzedaż rezerwową.</w:t>
            </w:r>
          </w:p>
        </w:tc>
      </w:tr>
      <w:tr w:rsidR="00CD7B36" w:rsidRPr="00EB2E7B" w14:paraId="54BF3F8A" w14:textId="77777777" w:rsidTr="00780901">
        <w:trPr>
          <w:trHeight w:val="927"/>
        </w:trPr>
        <w:tc>
          <w:tcPr>
            <w:tcW w:w="2977" w:type="dxa"/>
          </w:tcPr>
          <w:p w14:paraId="0A73E0F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Sprzedaż energii elektrycznej </w:t>
            </w:r>
          </w:p>
        </w:tc>
        <w:tc>
          <w:tcPr>
            <w:tcW w:w="6219" w:type="dxa"/>
            <w:gridSpan w:val="6"/>
          </w:tcPr>
          <w:p w14:paraId="1A8AAA9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Bezpośrednia sprzedaż energii przez podmiot zajmujący się jej wytwarzaniem lub odsprzedaż energii przez podmiot zajmujący się jej obrotem. </w:t>
            </w:r>
          </w:p>
        </w:tc>
      </w:tr>
      <w:tr w:rsidR="00CD7B36" w:rsidRPr="00EB2E7B" w14:paraId="148A44AD" w14:textId="77777777" w:rsidTr="00780901">
        <w:trPr>
          <w:trHeight w:val="972"/>
        </w:trPr>
        <w:tc>
          <w:tcPr>
            <w:tcW w:w="2977" w:type="dxa"/>
          </w:tcPr>
          <w:p w14:paraId="3F27B6E1" w14:textId="77777777" w:rsidR="00CD7B36" w:rsidRPr="00EB2E7B" w:rsidRDefault="00CD7B36">
            <w:pPr>
              <w:spacing w:after="0"/>
              <w:ind w:left="70" w:firstLine="0"/>
              <w:jc w:val="left"/>
              <w:rPr>
                <w:rFonts w:asciiTheme="minorHAnsi" w:hAnsiTheme="minorHAnsi" w:cstheme="minorHAnsi"/>
                <w:b/>
                <w:bCs/>
                <w:sz w:val="20"/>
                <w:szCs w:val="20"/>
              </w:rPr>
            </w:pPr>
            <w:r>
              <w:rPr>
                <w:rFonts w:asciiTheme="minorHAnsi" w:hAnsiTheme="minorHAnsi" w:cstheme="minorHAnsi"/>
                <w:b/>
                <w:bCs/>
                <w:sz w:val="20"/>
                <w:szCs w:val="20"/>
              </w:rPr>
              <w:t>Sprzedawca zobowiązany</w:t>
            </w:r>
          </w:p>
        </w:tc>
        <w:tc>
          <w:tcPr>
            <w:tcW w:w="6219" w:type="dxa"/>
            <w:gridSpan w:val="6"/>
          </w:tcPr>
          <w:p w14:paraId="719FA502"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Sprzedawca energii elektrycznej, o którym mowa w art. 40 ust. 1 Ustawy OZE, tj. przedsiębiorstwo energetyczne wyznaczone zgodnie z art. 40 ust. 3 pkt 1 Ustawy OZE przez Prezesa URE na obszarze działania OSD (albo w przypadku braku możliwości realizacji obowiązków przez tego sprzedawcę – wyznaczone dla obszaru działania OSP) i zobowiązane do zakupu energii elektrycznej wytworzonej w instalacji OZE, zgodnie z Ustawą OZE.</w:t>
            </w:r>
          </w:p>
        </w:tc>
      </w:tr>
      <w:tr w:rsidR="00CD7B36" w:rsidRPr="00EB2E7B" w14:paraId="415E62C8" w14:textId="77777777" w:rsidTr="00780901">
        <w:trPr>
          <w:trHeight w:val="1686"/>
        </w:trPr>
        <w:tc>
          <w:tcPr>
            <w:tcW w:w="2977" w:type="dxa"/>
          </w:tcPr>
          <w:p w14:paraId="47F5856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Sprzedaż rezerwowa </w:t>
            </w:r>
          </w:p>
        </w:tc>
        <w:tc>
          <w:tcPr>
            <w:tcW w:w="6219" w:type="dxa"/>
            <w:gridSpan w:val="6"/>
          </w:tcPr>
          <w:p w14:paraId="310C567A"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 xml:space="preserve">Sprzedaż energii elektrycznej URD przyłączonemu do sieci dystrybucyjnej OSD dokonywana przez sprzedawcę rezerwowego, w przypadku, gdy nie jest realizowana umowa sprzedaży albo umowa kompleksowa dla danego PPE przez dotychczasowego sprzedawcę. Od dnia przystąpienia ACPRO do CSIRE — sprzedaż energii elektrycznej URD przyłączonemu do sieci dystrybucyjnej elektroenergetycznej dokonywana przez sprzedawcę rezerwowego w </w:t>
            </w:r>
            <w:r>
              <w:rPr>
                <w:rFonts w:asciiTheme="minorHAnsi" w:hAnsiTheme="minorHAnsi" w:cstheme="minorHAnsi"/>
                <w:sz w:val="20"/>
                <w:szCs w:val="20"/>
              </w:rPr>
              <w:lastRenderedPageBreak/>
              <w:t>przypadku nieprzekazania do CSIRE informacji o zawarciu umowy sprzedaży albo umowy kompleksowej dla danego PPE.</w:t>
            </w:r>
          </w:p>
        </w:tc>
      </w:tr>
      <w:tr w:rsidR="00CD7B36" w:rsidRPr="00EB2E7B" w14:paraId="5B351CA2" w14:textId="77777777" w:rsidTr="00780901">
        <w:trPr>
          <w:trHeight w:val="1686"/>
        </w:trPr>
        <w:tc>
          <w:tcPr>
            <w:tcW w:w="2977" w:type="dxa"/>
          </w:tcPr>
          <w:p w14:paraId="5D00720A"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Stacja ładowania</w:t>
            </w:r>
          </w:p>
        </w:tc>
        <w:tc>
          <w:tcPr>
            <w:tcW w:w="6219" w:type="dxa"/>
            <w:gridSpan w:val="6"/>
          </w:tcPr>
          <w:p w14:paraId="7523CC3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a) urządzenie budowlane obejmujące punkt ładowania o normalnej mocy lub punkt ładowania o dużej mocy, związane z obiektem budowlanym, lub</w:t>
            </w:r>
          </w:p>
          <w:p w14:paraId="795F1B7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b) wolnostojący obiekt budowlany z zainstalowanym co najmniej jednym punktem ładowania o normalnej mocy lub punktem ładowania o dużej mocy</w:t>
            </w:r>
          </w:p>
          <w:p w14:paraId="50AEC12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wyposażone w oprogramowanie umożliwiające świadczenie usług ładowania, wraz ze stanowiskiem postojowym oraz, w przypadku gdy stacja ładowania jest podłączona do sieci dystrybucyjnej w rozumieniu ustawy z dnia 10 kwietnia 1997 r. – Prawo energetyczne, instalacją prowadzącą od punktu ładowania do przyłącza elektroenergetycznego.</w:t>
            </w:r>
          </w:p>
        </w:tc>
      </w:tr>
      <w:tr w:rsidR="00CD7B36" w:rsidRPr="00EB2E7B" w14:paraId="6F6968B4" w14:textId="77777777" w:rsidTr="00780901">
        <w:trPr>
          <w:trHeight w:val="1686"/>
        </w:trPr>
        <w:tc>
          <w:tcPr>
            <w:tcW w:w="2977" w:type="dxa"/>
          </w:tcPr>
          <w:p w14:paraId="1F984B6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Stan odbudowy systemu</w:t>
            </w:r>
          </w:p>
        </w:tc>
        <w:tc>
          <w:tcPr>
            <w:tcW w:w="6219" w:type="dxa"/>
            <w:gridSpan w:val="6"/>
          </w:tcPr>
          <w:p w14:paraId="3092162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Stan odbudowy systemu , o którym mowa w art. 3 ust. 2 pkt 38 SO GL.</w:t>
            </w:r>
          </w:p>
        </w:tc>
      </w:tr>
      <w:tr w:rsidR="00CD7B36" w:rsidRPr="00EB2E7B" w14:paraId="38335F54" w14:textId="77777777" w:rsidTr="00780901">
        <w:trPr>
          <w:trHeight w:val="1686"/>
        </w:trPr>
        <w:tc>
          <w:tcPr>
            <w:tcW w:w="2977" w:type="dxa"/>
          </w:tcPr>
          <w:p w14:paraId="39E2AF9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Stan zagrożenia</w:t>
            </w:r>
          </w:p>
        </w:tc>
        <w:tc>
          <w:tcPr>
            <w:tcW w:w="6219" w:type="dxa"/>
            <w:gridSpan w:val="6"/>
          </w:tcPr>
          <w:p w14:paraId="4877D50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Stan zagrożenia, o którym mowa w art. 3 ust. 2 pkt 37 SO GL.</w:t>
            </w:r>
          </w:p>
        </w:tc>
      </w:tr>
      <w:tr w:rsidR="00891A2A" w:rsidRPr="00EB2E7B" w14:paraId="21482D86" w14:textId="77777777" w:rsidTr="00780901">
        <w:trPr>
          <w:trHeight w:val="1686"/>
        </w:trPr>
        <w:tc>
          <w:tcPr>
            <w:tcW w:w="2977" w:type="dxa"/>
          </w:tcPr>
          <w:p w14:paraId="41469801" w14:textId="23E48FDF" w:rsidR="00891A2A" w:rsidRPr="00EB2E7B" w:rsidRDefault="00286E70">
            <w:pPr>
              <w:spacing w:after="0"/>
              <w:ind w:left="70" w:firstLine="0"/>
              <w:jc w:val="left"/>
              <w:rPr>
                <w:rFonts w:asciiTheme="minorHAnsi" w:hAnsiTheme="minorHAnsi" w:cstheme="minorHAnsi"/>
                <w:sz w:val="20"/>
                <w:szCs w:val="20"/>
              </w:rPr>
            </w:pPr>
            <w:r w:rsidRPr="00EB2E7B">
              <w:rPr>
                <w:rFonts w:asciiTheme="minorHAnsi" w:hAnsiTheme="minorHAnsi" w:cstheme="minorHAnsi"/>
                <w:b/>
                <w:sz w:val="20"/>
                <w:szCs w:val="20"/>
              </w:rPr>
              <w:t>Stan zagrożenia KSE</w:t>
            </w:r>
          </w:p>
        </w:tc>
        <w:tc>
          <w:tcPr>
            <w:tcW w:w="6219" w:type="dxa"/>
            <w:gridSpan w:val="6"/>
          </w:tcPr>
          <w:p w14:paraId="4C4229BE" w14:textId="7CBCE997" w:rsidR="00891A2A" w:rsidRPr="00EB2E7B" w:rsidRDefault="006C46F6">
            <w:pPr>
              <w:ind w:left="70" w:firstLine="0"/>
              <w:rPr>
                <w:rFonts w:asciiTheme="minorHAnsi" w:hAnsiTheme="minorHAnsi" w:cstheme="minorHAnsi"/>
                <w:sz w:val="20"/>
                <w:szCs w:val="20"/>
              </w:rPr>
            </w:pPr>
            <w:r w:rsidRPr="00EB2E7B">
              <w:rPr>
                <w:rFonts w:asciiTheme="minorHAnsi" w:hAnsiTheme="minorHAnsi" w:cstheme="minorHAnsi"/>
                <w:sz w:val="20"/>
                <w:szCs w:val="20"/>
              </w:rPr>
              <w:t>Warunki pracy, w których istnieje niebezpieczeństwo wystąpienia: niestabilności systemu, podziału sieci przesyłowej lub ograniczenia dostaw energii elektrycznej do odbiorców.</w:t>
            </w:r>
          </w:p>
        </w:tc>
      </w:tr>
      <w:tr w:rsidR="00CD7B36" w:rsidRPr="00EB2E7B" w14:paraId="4E86EC8C" w14:textId="77777777" w:rsidTr="00780901">
        <w:trPr>
          <w:trHeight w:val="1686"/>
        </w:trPr>
        <w:tc>
          <w:tcPr>
            <w:tcW w:w="2977" w:type="dxa"/>
          </w:tcPr>
          <w:p w14:paraId="25DCFCCC"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Stan zaniku zasilania</w:t>
            </w:r>
          </w:p>
        </w:tc>
        <w:tc>
          <w:tcPr>
            <w:tcW w:w="6219" w:type="dxa"/>
            <w:gridSpan w:val="6"/>
          </w:tcPr>
          <w:p w14:paraId="29DAEB7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Stan zaniku zasilania, o którym mowa w art. 3 ust. 2 pkt 22 SO GL.</w:t>
            </w:r>
          </w:p>
        </w:tc>
      </w:tr>
      <w:tr w:rsidR="00CD7B36" w:rsidRPr="00EB2E7B" w14:paraId="52CF0276" w14:textId="77777777" w:rsidTr="00780901">
        <w:trPr>
          <w:trHeight w:val="1686"/>
        </w:trPr>
        <w:tc>
          <w:tcPr>
            <w:tcW w:w="2977" w:type="dxa"/>
          </w:tcPr>
          <w:p w14:paraId="292D8DEE" w14:textId="77777777" w:rsidR="00CD7B36" w:rsidRPr="00EB2E7B" w:rsidRDefault="00CD7B36">
            <w:pPr>
              <w:spacing w:after="0"/>
              <w:ind w:left="70" w:firstLine="0"/>
              <w:jc w:val="left"/>
              <w:rPr>
                <w:rFonts w:asciiTheme="minorHAnsi" w:hAnsiTheme="minorHAnsi" w:cstheme="minorHAnsi"/>
                <w:b/>
                <w:bCs/>
                <w:sz w:val="20"/>
                <w:szCs w:val="20"/>
              </w:rPr>
            </w:pPr>
            <w:proofErr w:type="spellStart"/>
            <w:r w:rsidRPr="00EB2E7B">
              <w:rPr>
                <w:rFonts w:asciiTheme="minorHAnsi" w:hAnsiTheme="minorHAnsi" w:cstheme="minorHAnsi"/>
                <w:b/>
                <w:bCs/>
                <w:sz w:val="20"/>
                <w:szCs w:val="20"/>
              </w:rPr>
              <w:lastRenderedPageBreak/>
              <w:t>Statyzm</w:t>
            </w:r>
            <w:proofErr w:type="spellEnd"/>
          </w:p>
        </w:tc>
        <w:tc>
          <w:tcPr>
            <w:tcW w:w="6219" w:type="dxa"/>
            <w:gridSpan w:val="6"/>
          </w:tcPr>
          <w:p w14:paraId="53AA997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Oznacza wyrażany w procentach współczynnik quasi-stacjonarnego odchylenia częstotliwości do wynikającej z tego odchylenia zmiany generowanej mocy czynnej w stanie ustalonym. Zmianę częstotliwości wyraża się jako stosunek do częstotliwości znamionowej, a zmianę mocy czynnej jako stosunek do mocy maksymalnej lub rzeczywistej mocy czynnej w momencie wystąpienia tego odchylenia.</w:t>
            </w:r>
          </w:p>
        </w:tc>
      </w:tr>
      <w:tr w:rsidR="00CD7B36" w:rsidRPr="00EB2E7B" w14:paraId="48B0B32E" w14:textId="77777777" w:rsidTr="00780901">
        <w:trPr>
          <w:trHeight w:val="1686"/>
        </w:trPr>
        <w:tc>
          <w:tcPr>
            <w:tcW w:w="2977" w:type="dxa"/>
          </w:tcPr>
          <w:p w14:paraId="6A9E4F9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Sterowany odbiór</w:t>
            </w:r>
          </w:p>
        </w:tc>
        <w:tc>
          <w:tcPr>
            <w:tcW w:w="6219" w:type="dxa"/>
            <w:gridSpan w:val="6"/>
          </w:tcPr>
          <w:p w14:paraId="5660552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Instalacja odbiorcza lub jednostka odbiorcza posiadające zdolność do czasowego ograniczenia lub zwiększenia poboru energii elektrycznej z sieci w wyniku zmiany zużycia energii elektrycznej przez tę instalację lub tę jednostkę.</w:t>
            </w:r>
          </w:p>
        </w:tc>
      </w:tr>
      <w:tr w:rsidR="00CD7B36" w:rsidRPr="00EB2E7B" w14:paraId="3B97967B" w14:textId="77777777" w:rsidTr="00780901">
        <w:trPr>
          <w:trHeight w:val="968"/>
        </w:trPr>
        <w:tc>
          <w:tcPr>
            <w:tcW w:w="2977" w:type="dxa"/>
          </w:tcPr>
          <w:p w14:paraId="3DD6D40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Sterownik polowy </w:t>
            </w:r>
          </w:p>
        </w:tc>
        <w:tc>
          <w:tcPr>
            <w:tcW w:w="6219" w:type="dxa"/>
            <w:gridSpan w:val="6"/>
          </w:tcPr>
          <w:p w14:paraId="75904AE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Terminal polowy, który posiada wbudowane przyciski lub ekran dotykowy do sterowania łącznikami oraz umożliwia wizualizację aktualnego stanu łączników w tym polu. </w:t>
            </w:r>
          </w:p>
        </w:tc>
      </w:tr>
      <w:tr w:rsidR="00CD7B36" w:rsidRPr="00EB2E7B" w14:paraId="05CD613C" w14:textId="77777777" w:rsidTr="00780901">
        <w:trPr>
          <w:trHeight w:val="672"/>
        </w:trPr>
        <w:tc>
          <w:tcPr>
            <w:tcW w:w="2977" w:type="dxa"/>
          </w:tcPr>
          <w:p w14:paraId="4174B6A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System </w:t>
            </w:r>
          </w:p>
          <w:p w14:paraId="358F6FC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elektroenergetyczny </w:t>
            </w:r>
          </w:p>
        </w:tc>
        <w:tc>
          <w:tcPr>
            <w:tcW w:w="6219" w:type="dxa"/>
            <w:gridSpan w:val="6"/>
          </w:tcPr>
          <w:p w14:paraId="5ABFA94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Sieci elektroenergetyczne oraz przyłączone do nich urządzenia i instalacje, współpracujące z siecią. </w:t>
            </w:r>
          </w:p>
        </w:tc>
      </w:tr>
      <w:tr w:rsidR="00CD7B36" w:rsidRPr="00EB2E7B" w14:paraId="6FF62A96" w14:textId="77777777" w:rsidTr="00780901">
        <w:trPr>
          <w:trHeight w:val="672"/>
        </w:trPr>
        <w:tc>
          <w:tcPr>
            <w:tcW w:w="2977" w:type="dxa"/>
          </w:tcPr>
          <w:p w14:paraId="3317F1D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System informacyjny</w:t>
            </w:r>
          </w:p>
        </w:tc>
        <w:tc>
          <w:tcPr>
            <w:tcW w:w="6219" w:type="dxa"/>
            <w:gridSpan w:val="6"/>
          </w:tcPr>
          <w:p w14:paraId="38A6BEE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System informacyjny w rozumieniu art. 2 pkt 14 ustawy z dnia 5 lipca 2018 r. o krajowym systemie </w:t>
            </w:r>
            <w:proofErr w:type="spellStart"/>
            <w:r w:rsidRPr="00EB2E7B">
              <w:rPr>
                <w:rFonts w:asciiTheme="minorHAnsi" w:hAnsiTheme="minorHAnsi" w:cstheme="minorHAnsi"/>
                <w:sz w:val="20"/>
                <w:szCs w:val="20"/>
              </w:rPr>
              <w:t>cyberbezpieczeństwa</w:t>
            </w:r>
            <w:proofErr w:type="spellEnd"/>
            <w:r w:rsidRPr="00EB2E7B">
              <w:rPr>
                <w:rFonts w:asciiTheme="minorHAnsi" w:hAnsiTheme="minorHAnsi" w:cstheme="minorHAnsi"/>
                <w:sz w:val="20"/>
                <w:szCs w:val="20"/>
              </w:rPr>
              <w:t xml:space="preserve"> (Dz.U. z 2020 r. poz. 1369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zm.).</w:t>
            </w:r>
          </w:p>
        </w:tc>
      </w:tr>
      <w:tr w:rsidR="003215C2" w:rsidRPr="00EB2E7B" w14:paraId="7B01A7B4" w14:textId="77777777" w:rsidTr="00780901">
        <w:trPr>
          <w:trHeight w:val="672"/>
        </w:trPr>
        <w:tc>
          <w:tcPr>
            <w:tcW w:w="2977" w:type="dxa"/>
          </w:tcPr>
          <w:p w14:paraId="72CD0A49" w14:textId="23669A17" w:rsidR="003215C2" w:rsidRPr="00EB2E7B" w:rsidRDefault="003215C2">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System IP DSR</w:t>
            </w:r>
          </w:p>
        </w:tc>
        <w:tc>
          <w:tcPr>
            <w:tcW w:w="6219" w:type="dxa"/>
            <w:gridSpan w:val="6"/>
          </w:tcPr>
          <w:p w14:paraId="3F109A71" w14:textId="56493A7C" w:rsidR="003215C2" w:rsidRPr="00EB2E7B" w:rsidRDefault="003215C2">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System informatyczny dedykowany interwencyjnej ofertowej redukcji poboru mocy przez odbiorców (usługa IRP i interwencyjnemu ofertowemu zwiększeniu poboru mocy przez odbiorców (usługa IZP), zarządzany przez OSP i udostępniany dostawcom tych usług w celu wsparcia realizacji tych usług oraz komunikacji z nimi związanej, oraz udostępniany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celu wsparcia procesu certyfikacji obiektów redukcji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w:t>
            </w:r>
          </w:p>
        </w:tc>
      </w:tr>
      <w:tr w:rsidR="00CD7B36" w:rsidRPr="00EB2E7B" w14:paraId="0A3F7F52" w14:textId="77777777" w:rsidTr="00780901">
        <w:trPr>
          <w:trHeight w:val="672"/>
        </w:trPr>
        <w:tc>
          <w:tcPr>
            <w:tcW w:w="2977" w:type="dxa"/>
          </w:tcPr>
          <w:p w14:paraId="51CC9CB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System pomiarowy</w:t>
            </w:r>
          </w:p>
        </w:tc>
        <w:tc>
          <w:tcPr>
            <w:tcW w:w="6219" w:type="dxa"/>
            <w:gridSpan w:val="6"/>
          </w:tcPr>
          <w:p w14:paraId="31A4618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System zdalnego odczytu, liczniki zdalnego odczytu wraz z niezbędną infrastrukturą techniczną skomunikowane z tym systemem zdalnego odczytu oraz liczniki konwencjonalne, służący do przetwarzania danych pomiarowych, w celu ich przekazania do Centralnego systemu informacji rynku energii.</w:t>
            </w:r>
          </w:p>
        </w:tc>
      </w:tr>
      <w:tr w:rsidR="00CD7B36" w:rsidRPr="00EB2E7B" w14:paraId="22E3C4BF" w14:textId="77777777" w:rsidTr="00780901">
        <w:trPr>
          <w:trHeight w:val="672"/>
        </w:trPr>
        <w:tc>
          <w:tcPr>
            <w:tcW w:w="2977" w:type="dxa"/>
          </w:tcPr>
          <w:p w14:paraId="4104347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System zdalnego odczytu</w:t>
            </w:r>
          </w:p>
        </w:tc>
        <w:tc>
          <w:tcPr>
            <w:tcW w:w="6219" w:type="dxa"/>
            <w:gridSpan w:val="6"/>
          </w:tcPr>
          <w:p w14:paraId="595EBF7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System informacyjny służący do pozyskiwania danych pomiarowych z liczników zdalnego odczytu i informacji o zdarzeniach rejestrowanych przez te liczniki oraz służący do wysyłania poleceń do liczników zdalnego odczytu.</w:t>
            </w:r>
          </w:p>
        </w:tc>
      </w:tr>
      <w:tr w:rsidR="00CD7B36" w:rsidRPr="00EB2E7B" w14:paraId="23F254B3" w14:textId="77777777" w:rsidTr="00780901">
        <w:trPr>
          <w:trHeight w:val="396"/>
        </w:trPr>
        <w:tc>
          <w:tcPr>
            <w:tcW w:w="2977" w:type="dxa"/>
          </w:tcPr>
          <w:p w14:paraId="16FF93A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Średnie napięcie </w:t>
            </w:r>
          </w:p>
        </w:tc>
        <w:tc>
          <w:tcPr>
            <w:tcW w:w="6219" w:type="dxa"/>
            <w:gridSpan w:val="6"/>
          </w:tcPr>
          <w:p w14:paraId="65D127D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Napięcie wyższe od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i niższe od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w:t>
            </w:r>
          </w:p>
        </w:tc>
      </w:tr>
      <w:tr w:rsidR="00591E57" w:rsidRPr="00EB2E7B" w14:paraId="5E4C9AB8" w14:textId="77777777" w:rsidTr="00780901">
        <w:trPr>
          <w:trHeight w:val="396"/>
        </w:trPr>
        <w:tc>
          <w:tcPr>
            <w:tcW w:w="2977" w:type="dxa"/>
          </w:tcPr>
          <w:p w14:paraId="3266FF2A" w14:textId="05D3FC7B" w:rsidR="00591E57" w:rsidRPr="00EB2E7B" w:rsidRDefault="00591E57" w:rsidP="00591E57">
            <w:pPr>
              <w:spacing w:after="115" w:line="238" w:lineRule="auto"/>
              <w:ind w:left="38" w:firstLine="0"/>
              <w:jc w:val="left"/>
              <w:rPr>
                <w:rFonts w:asciiTheme="minorHAnsi" w:hAnsiTheme="minorHAnsi" w:cstheme="minorHAnsi"/>
                <w:sz w:val="20"/>
                <w:szCs w:val="20"/>
              </w:rPr>
            </w:pPr>
            <w:r w:rsidRPr="00EB2E7B">
              <w:rPr>
                <w:rFonts w:asciiTheme="minorHAnsi" w:hAnsiTheme="minorHAnsi" w:cstheme="minorHAnsi"/>
                <w:b/>
                <w:sz w:val="20"/>
                <w:szCs w:val="20"/>
              </w:rPr>
              <w:t>Taryfa OSD</w:t>
            </w:r>
          </w:p>
          <w:p w14:paraId="11466C29" w14:textId="3457CDB8" w:rsidR="00591E57" w:rsidRPr="00EB2E7B" w:rsidRDefault="00591E57" w:rsidP="00591E57">
            <w:pPr>
              <w:spacing w:after="0"/>
              <w:ind w:left="70" w:firstLine="0"/>
              <w:jc w:val="left"/>
              <w:rPr>
                <w:rFonts w:asciiTheme="minorHAnsi" w:hAnsiTheme="minorHAnsi" w:cstheme="minorHAnsi"/>
                <w:b/>
                <w:sz w:val="20"/>
                <w:szCs w:val="20"/>
              </w:rPr>
            </w:pPr>
            <w:r w:rsidRPr="00EB2E7B">
              <w:rPr>
                <w:rFonts w:asciiTheme="minorHAnsi" w:hAnsiTheme="minorHAnsi" w:cstheme="minorHAnsi"/>
                <w:sz w:val="20"/>
                <w:szCs w:val="20"/>
              </w:rPr>
              <w:t xml:space="preserve"> </w:t>
            </w:r>
          </w:p>
        </w:tc>
        <w:tc>
          <w:tcPr>
            <w:tcW w:w="6219" w:type="dxa"/>
            <w:gridSpan w:val="6"/>
          </w:tcPr>
          <w:p w14:paraId="55B00F6D" w14:textId="0EE28793" w:rsidR="00591E57" w:rsidRPr="00EB2E7B" w:rsidRDefault="00591E57" w:rsidP="00591E57">
            <w:pPr>
              <w:ind w:left="70" w:firstLine="0"/>
              <w:rPr>
                <w:rFonts w:asciiTheme="minorHAnsi" w:hAnsiTheme="minorHAnsi" w:cstheme="minorHAnsi"/>
                <w:sz w:val="20"/>
                <w:szCs w:val="20"/>
              </w:rPr>
            </w:pPr>
            <w:r w:rsidRPr="00EB2E7B">
              <w:rPr>
                <w:rFonts w:asciiTheme="minorHAnsi" w:hAnsiTheme="minorHAnsi" w:cstheme="minorHAnsi"/>
                <w:sz w:val="20"/>
                <w:szCs w:val="20"/>
              </w:rPr>
              <w:t>Zbiór cen i stawek opłat oraz warunków ich stosowania, opracowany przez OSD i wprowadzany jako obowiązujący dla określonych w nim odbiorców w trybie określonym ustawą Prawo energetyczne.</w:t>
            </w:r>
          </w:p>
        </w:tc>
      </w:tr>
      <w:tr w:rsidR="00CD7B36" w:rsidRPr="00EB2E7B" w14:paraId="727ACC9A" w14:textId="77777777" w:rsidTr="00780901">
        <w:trPr>
          <w:trHeight w:val="3154"/>
        </w:trPr>
        <w:tc>
          <w:tcPr>
            <w:tcW w:w="2977" w:type="dxa"/>
          </w:tcPr>
          <w:p w14:paraId="22A8189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TCM </w:t>
            </w:r>
          </w:p>
        </w:tc>
        <w:tc>
          <w:tcPr>
            <w:tcW w:w="6219" w:type="dxa"/>
            <w:gridSpan w:val="6"/>
          </w:tcPr>
          <w:p w14:paraId="25C4303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Metody, warunki, wymogi i zasady (ang. „</w:t>
            </w:r>
            <w:proofErr w:type="spellStart"/>
            <w:r w:rsidRPr="00EB2E7B">
              <w:rPr>
                <w:rFonts w:asciiTheme="minorHAnsi" w:hAnsiTheme="minorHAnsi" w:cstheme="minorHAnsi"/>
                <w:sz w:val="20"/>
                <w:szCs w:val="20"/>
              </w:rPr>
              <w:t>terms</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conditions</w:t>
            </w:r>
            <w:proofErr w:type="spellEnd"/>
            <w:r w:rsidRPr="00EB2E7B">
              <w:rPr>
                <w:rFonts w:asciiTheme="minorHAnsi" w:hAnsiTheme="minorHAnsi" w:cstheme="minorHAnsi"/>
                <w:sz w:val="20"/>
                <w:szCs w:val="20"/>
              </w:rPr>
              <w:t xml:space="preserve"> and </w:t>
            </w:r>
            <w:proofErr w:type="spellStart"/>
            <w:r w:rsidRPr="00EB2E7B">
              <w:rPr>
                <w:rFonts w:asciiTheme="minorHAnsi" w:hAnsiTheme="minorHAnsi" w:cstheme="minorHAnsi"/>
                <w:sz w:val="20"/>
                <w:szCs w:val="20"/>
              </w:rPr>
              <w:t>methodologies</w:t>
            </w:r>
            <w:proofErr w:type="spellEnd"/>
            <w:r w:rsidRPr="00EB2E7B">
              <w:rPr>
                <w:rFonts w:asciiTheme="minorHAnsi" w:hAnsiTheme="minorHAnsi" w:cstheme="minorHAnsi"/>
                <w:sz w:val="20"/>
                <w:szCs w:val="20"/>
              </w:rPr>
              <w:t xml:space="preserve">”) przyjęte na podstawie rozporządzenia Parlamentu Europejskiego i Rady (UE) 2019/943 z dnia 5 czerwca 2019 r. w sprawie rynku wewnętrznego energii elektrycznej (Dz. Urz. UE L 158/54 z 14.06.2019 r. z </w:t>
            </w:r>
            <w:proofErr w:type="spellStart"/>
            <w:r w:rsidRPr="00EB2E7B">
              <w:rPr>
                <w:rFonts w:asciiTheme="minorHAnsi" w:hAnsiTheme="minorHAnsi" w:cstheme="minorHAnsi"/>
                <w:sz w:val="20"/>
                <w:szCs w:val="20"/>
              </w:rPr>
              <w:t>późn</w:t>
            </w:r>
            <w:proofErr w:type="spellEnd"/>
            <w:r w:rsidRPr="00EB2E7B">
              <w:rPr>
                <w:rFonts w:asciiTheme="minorHAnsi" w:hAnsiTheme="minorHAnsi" w:cstheme="minorHAnsi"/>
                <w:sz w:val="20"/>
                <w:szCs w:val="20"/>
              </w:rPr>
              <w:t xml:space="preserve">. zmianami) lub Kodeksów sieci. </w:t>
            </w:r>
          </w:p>
        </w:tc>
      </w:tr>
      <w:tr w:rsidR="00CD7B36" w:rsidRPr="00EB2E7B" w14:paraId="08822315" w14:textId="77777777" w:rsidTr="00780901">
        <w:trPr>
          <w:trHeight w:val="607"/>
        </w:trPr>
        <w:tc>
          <w:tcPr>
            <w:tcW w:w="2977" w:type="dxa"/>
          </w:tcPr>
          <w:p w14:paraId="2A4AFF11" w14:textId="77777777" w:rsidR="00CD7B36" w:rsidRPr="00EB2E7B" w:rsidRDefault="00CD7B36">
            <w:pPr>
              <w:spacing w:after="0"/>
              <w:ind w:left="70" w:firstLine="0"/>
              <w:jc w:val="left"/>
              <w:rPr>
                <w:rFonts w:asciiTheme="minorHAnsi" w:hAnsiTheme="minorHAnsi" w:cstheme="minorHAnsi"/>
                <w:b/>
                <w:bCs/>
                <w:sz w:val="20"/>
                <w:szCs w:val="20"/>
              </w:rPr>
            </w:pPr>
            <w:r>
              <w:rPr>
                <w:rFonts w:asciiTheme="minorHAnsi" w:hAnsiTheme="minorHAnsi" w:cstheme="minorHAnsi"/>
                <w:b/>
                <w:bCs/>
                <w:sz w:val="20"/>
                <w:szCs w:val="20"/>
              </w:rPr>
              <w:t>Techniczne Standardy Komunikacji Biznesowej</w:t>
            </w:r>
          </w:p>
        </w:tc>
        <w:tc>
          <w:tcPr>
            <w:tcW w:w="6219" w:type="dxa"/>
            <w:gridSpan w:val="6"/>
          </w:tcPr>
          <w:p w14:paraId="1A27EB7F"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 xml:space="preserve">Dokument opracowany przez OIRE na potrzeby funkcjonowania CSIRE, który nie jest elementem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w:t>
            </w:r>
          </w:p>
        </w:tc>
      </w:tr>
      <w:tr w:rsidR="00CD7B36" w:rsidRPr="00EB2E7B" w14:paraId="6A6B8CEA" w14:textId="77777777" w:rsidTr="00780901">
        <w:trPr>
          <w:trHeight w:val="607"/>
        </w:trPr>
        <w:tc>
          <w:tcPr>
            <w:tcW w:w="2977" w:type="dxa"/>
          </w:tcPr>
          <w:p w14:paraId="6C081E3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Terminal polowy </w:t>
            </w:r>
          </w:p>
        </w:tc>
        <w:tc>
          <w:tcPr>
            <w:tcW w:w="6219" w:type="dxa"/>
            <w:gridSpan w:val="6"/>
          </w:tcPr>
          <w:p w14:paraId="0E7CF26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Mikroprocesorowe urządzenie posiadające przynajmniej jedno łącze cyfrowe z systemem nadzoru (komputerem nadrzędnym), które realizuje  zadania w zakresie obsługi wydzielonego pola elementu systemu elektroenergetycznego (linii, transformatora, łącznika szyn, itp.) związane z EAZ eliminacyjną, prewencyjną lub restytucyjną oraz dodatkowo w zakresie pomiarów wielkości elektrycznych, sterowania łącznikami, rejestracji zdarzeń i zakłóceń, lokalizacji miejsca zwarcia lub inne.</w:t>
            </w:r>
          </w:p>
        </w:tc>
      </w:tr>
      <w:tr w:rsidR="00E6374F" w:rsidRPr="00EB2E7B" w14:paraId="0F2B364A" w14:textId="77777777" w:rsidTr="00780901">
        <w:trPr>
          <w:trHeight w:val="607"/>
        </w:trPr>
        <w:tc>
          <w:tcPr>
            <w:tcW w:w="2977" w:type="dxa"/>
          </w:tcPr>
          <w:p w14:paraId="60133319" w14:textId="44FDE74F" w:rsidR="00E6374F" w:rsidRPr="00EB2E7B" w:rsidRDefault="00E6374F" w:rsidP="00E6374F">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 xml:space="preserve">THFF </w:t>
            </w:r>
          </w:p>
        </w:tc>
        <w:tc>
          <w:tcPr>
            <w:tcW w:w="6219" w:type="dxa"/>
            <w:gridSpan w:val="6"/>
          </w:tcPr>
          <w:p w14:paraId="5B9C1DAC" w14:textId="5B9F8908" w:rsidR="00E6374F" w:rsidRPr="00EB2E7B" w:rsidRDefault="00E6374F" w:rsidP="00E6374F">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Współczynnik zakłóceń harmonicznych telefonii. </w:t>
            </w:r>
          </w:p>
        </w:tc>
      </w:tr>
      <w:tr w:rsidR="00CD7B36" w:rsidRPr="00EB2E7B" w14:paraId="2FF449C0" w14:textId="77777777" w:rsidTr="00780901">
        <w:trPr>
          <w:trHeight w:val="607"/>
        </w:trPr>
        <w:tc>
          <w:tcPr>
            <w:tcW w:w="2977" w:type="dxa"/>
          </w:tcPr>
          <w:p w14:paraId="3B09DBC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Tryb LFSM-O</w:t>
            </w:r>
          </w:p>
        </w:tc>
        <w:tc>
          <w:tcPr>
            <w:tcW w:w="6219" w:type="dxa"/>
            <w:gridSpan w:val="6"/>
          </w:tcPr>
          <w:p w14:paraId="0440406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Oznacza tryb pracy modułu wytwarzania energii lub systemu HVDC, w którym generowana moc czynna zmniejsza się w odpowiedzi na wzrost częstotliwości systemu powyżej określonej wartości.</w:t>
            </w:r>
          </w:p>
        </w:tc>
      </w:tr>
      <w:tr w:rsidR="00CD7B36" w:rsidRPr="00EB2E7B" w14:paraId="5B6152CB" w14:textId="77777777" w:rsidTr="00780901">
        <w:trPr>
          <w:trHeight w:val="607"/>
        </w:trPr>
        <w:tc>
          <w:tcPr>
            <w:tcW w:w="2977" w:type="dxa"/>
          </w:tcPr>
          <w:p w14:paraId="49BE0E6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Tryb LFSM-U</w:t>
            </w:r>
          </w:p>
        </w:tc>
        <w:tc>
          <w:tcPr>
            <w:tcW w:w="6219" w:type="dxa"/>
            <w:gridSpan w:val="6"/>
          </w:tcPr>
          <w:p w14:paraId="1B3BACCF"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Oznacza tryb pracy modułu wytwarzania energii lub systemu HVDC, w którym generowana moc czynna zwiększa się w następstwie spadku częstotliwości systemu poniżej określonej wartości.</w:t>
            </w:r>
          </w:p>
        </w:tc>
      </w:tr>
      <w:tr w:rsidR="00CD7B36" w:rsidRPr="00EB2E7B" w14:paraId="63941D45" w14:textId="77777777" w:rsidTr="00780901">
        <w:trPr>
          <w:gridAfter w:val="2"/>
          <w:wAfter w:w="37" w:type="dxa"/>
          <w:trHeight w:val="1990"/>
        </w:trPr>
        <w:tc>
          <w:tcPr>
            <w:tcW w:w="2977" w:type="dxa"/>
          </w:tcPr>
          <w:p w14:paraId="3FB22E8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Uczestnik Rynku </w:t>
            </w:r>
          </w:p>
          <w:p w14:paraId="31AFE9C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Bilansującego</w:t>
            </w:r>
          </w:p>
        </w:tc>
        <w:tc>
          <w:tcPr>
            <w:tcW w:w="6182" w:type="dxa"/>
            <w:gridSpan w:val="4"/>
          </w:tcPr>
          <w:p w14:paraId="44A75C7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który ma zawartą Umowę o świadczenie usług przesyłania z OSP, na mocy której, w celu zapewnienia sobie zbilansowania handlowego, realizuje dostawy energii poprzez obszar Rynku Bilansującego oraz podlega rozliczeniom  z tytułu działań obejmujących bilansowanie energii  i zarządzanie ograniczeniami systemowymi, zgodnie  z zasadami określonymi w WDB; </w:t>
            </w:r>
          </w:p>
        </w:tc>
      </w:tr>
      <w:tr w:rsidR="00CD7B36" w:rsidRPr="00EB2E7B" w14:paraId="42486DAF" w14:textId="77777777" w:rsidTr="00780901">
        <w:trPr>
          <w:gridAfter w:val="2"/>
          <w:wAfter w:w="37" w:type="dxa"/>
          <w:trHeight w:val="1500"/>
        </w:trPr>
        <w:tc>
          <w:tcPr>
            <w:tcW w:w="2977" w:type="dxa"/>
          </w:tcPr>
          <w:p w14:paraId="4433D58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Uczestnik Rynku Detalicznego </w:t>
            </w:r>
          </w:p>
        </w:tc>
        <w:tc>
          <w:tcPr>
            <w:tcW w:w="6182" w:type="dxa"/>
            <w:gridSpan w:val="4"/>
          </w:tcPr>
          <w:p w14:paraId="13947B3C" w14:textId="5754796D"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którego urządzenia lub instalacje są przyłączone do sieci dystrybucyjnej OSD nie objętej obszarem rynku bilansującego oraz który zawarł umowę o świadczenie usług dystrybucji z OSD lub umowę kompleksową ze sprzedawcą posiadającym zawartą z OSD GUD. </w:t>
            </w:r>
          </w:p>
        </w:tc>
      </w:tr>
      <w:tr w:rsidR="00CD7B36" w:rsidRPr="00EB2E7B" w14:paraId="4EFDAABB" w14:textId="77777777" w:rsidTr="00780901">
        <w:trPr>
          <w:gridAfter w:val="2"/>
          <w:wAfter w:w="37" w:type="dxa"/>
          <w:trHeight w:val="670"/>
        </w:trPr>
        <w:tc>
          <w:tcPr>
            <w:tcW w:w="2977" w:type="dxa"/>
          </w:tcPr>
          <w:p w14:paraId="3A5DA8E6"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Układ ARNE </w:t>
            </w:r>
          </w:p>
        </w:tc>
        <w:tc>
          <w:tcPr>
            <w:tcW w:w="6182" w:type="dxa"/>
            <w:gridSpan w:val="4"/>
          </w:tcPr>
          <w:p w14:paraId="3625461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Układ automatycznej regulacji napięcia i mocy biernej w węźle wytwórczym. </w:t>
            </w:r>
          </w:p>
        </w:tc>
      </w:tr>
      <w:tr w:rsidR="00CD7B36" w:rsidRPr="00EB2E7B" w14:paraId="04D0E01C" w14:textId="77777777" w:rsidTr="00780901">
        <w:trPr>
          <w:gridAfter w:val="2"/>
          <w:wAfter w:w="37" w:type="dxa"/>
          <w:trHeight w:val="1774"/>
        </w:trPr>
        <w:tc>
          <w:tcPr>
            <w:tcW w:w="2977" w:type="dxa"/>
          </w:tcPr>
          <w:p w14:paraId="748B966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Układ pomiarowo-rozliczeniowy </w:t>
            </w:r>
          </w:p>
        </w:tc>
        <w:tc>
          <w:tcPr>
            <w:tcW w:w="6182" w:type="dxa"/>
            <w:gridSpan w:val="4"/>
          </w:tcPr>
          <w:p w14:paraId="2A150E43" w14:textId="30365BC8"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Urządzenia pomiarowo-rozliczeniowe, liczniki i inne przyrządy pomiarowe, a także układy połączeń między nimi, służące bezpośrednio lub pośrednio do pomiarów ilości energii elektrycznej i rozliczeń za tę energię, w szczególności liczniki energii czynnej i liczniki energii biernej, w tym takie liczniki wraz z przekładni</w:t>
            </w:r>
            <w:r w:rsidR="00965E41" w:rsidRPr="00EB2E7B">
              <w:rPr>
                <w:rFonts w:asciiTheme="minorHAnsi" w:hAnsiTheme="minorHAnsi" w:cstheme="minorHAnsi"/>
                <w:sz w:val="20"/>
                <w:szCs w:val="20"/>
              </w:rPr>
              <w:t>k</w:t>
            </w:r>
            <w:r w:rsidRPr="00EB2E7B">
              <w:rPr>
                <w:rFonts w:asciiTheme="minorHAnsi" w:hAnsiTheme="minorHAnsi" w:cstheme="minorHAnsi"/>
                <w:sz w:val="20"/>
                <w:szCs w:val="20"/>
              </w:rPr>
              <w:t xml:space="preserve">ami prądowymi i napięciowymi. </w:t>
            </w:r>
          </w:p>
        </w:tc>
      </w:tr>
      <w:tr w:rsidR="00CD7B36" w:rsidRPr="00EB2E7B" w14:paraId="4DB44BD7" w14:textId="77777777" w:rsidTr="00780901">
        <w:trPr>
          <w:gridAfter w:val="2"/>
          <w:wAfter w:w="37" w:type="dxa"/>
          <w:trHeight w:val="948"/>
        </w:trPr>
        <w:tc>
          <w:tcPr>
            <w:tcW w:w="2977" w:type="dxa"/>
          </w:tcPr>
          <w:p w14:paraId="5C32356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Układ pomiarowo-rozliczeniowy podstawowy </w:t>
            </w:r>
          </w:p>
        </w:tc>
        <w:tc>
          <w:tcPr>
            <w:tcW w:w="6182" w:type="dxa"/>
            <w:gridSpan w:val="4"/>
          </w:tcPr>
          <w:p w14:paraId="11E307F0" w14:textId="42448810"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Układ pomiarowo-rozliczeniowy, którego wskazania stanowią podstawę do rozliczeń ilościowych i wartościowych (finansowych) mocy i energii elektrycznej. </w:t>
            </w:r>
          </w:p>
        </w:tc>
      </w:tr>
      <w:tr w:rsidR="00CD7B36" w:rsidRPr="00EB2E7B" w14:paraId="27F9D3F1" w14:textId="77777777" w:rsidTr="00780901">
        <w:trPr>
          <w:gridAfter w:val="2"/>
          <w:wAfter w:w="37" w:type="dxa"/>
          <w:trHeight w:val="1224"/>
        </w:trPr>
        <w:tc>
          <w:tcPr>
            <w:tcW w:w="2977" w:type="dxa"/>
          </w:tcPr>
          <w:p w14:paraId="18CE662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Układ pomiarowo-rozliczeniowy rezerwowy </w:t>
            </w:r>
          </w:p>
        </w:tc>
        <w:tc>
          <w:tcPr>
            <w:tcW w:w="6182" w:type="dxa"/>
            <w:gridSpan w:val="4"/>
          </w:tcPr>
          <w:p w14:paraId="4131A0FD" w14:textId="5553431B"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Układ pomiarowo-rozliczeniowy, którego wskazania stanowią podstawę do rozliczeń ilościowych i wartościowych, w przypadku nieprawidłowego działania układu pomiarowo</w:t>
            </w:r>
            <w:r w:rsidR="005F7BDB" w:rsidRPr="00EB2E7B">
              <w:rPr>
                <w:rFonts w:asciiTheme="minorHAnsi" w:hAnsiTheme="minorHAnsi" w:cstheme="minorHAnsi"/>
                <w:sz w:val="20"/>
                <w:szCs w:val="20"/>
              </w:rPr>
              <w:t>-</w:t>
            </w:r>
            <w:r w:rsidRPr="00EB2E7B">
              <w:rPr>
                <w:rFonts w:asciiTheme="minorHAnsi" w:hAnsiTheme="minorHAnsi" w:cstheme="minorHAnsi"/>
                <w:sz w:val="20"/>
                <w:szCs w:val="20"/>
              </w:rPr>
              <w:t xml:space="preserve">rozliczeniowego podstawowego. </w:t>
            </w:r>
          </w:p>
        </w:tc>
      </w:tr>
      <w:tr w:rsidR="00E55F0C" w:rsidRPr="00EB2E7B" w14:paraId="6A9B57AD" w14:textId="77777777" w:rsidTr="00780901">
        <w:trPr>
          <w:gridAfter w:val="2"/>
          <w:wAfter w:w="37" w:type="dxa"/>
          <w:trHeight w:val="1224"/>
        </w:trPr>
        <w:tc>
          <w:tcPr>
            <w:tcW w:w="2977" w:type="dxa"/>
          </w:tcPr>
          <w:p w14:paraId="0389DC1D" w14:textId="77777777" w:rsidR="006B21DD" w:rsidRPr="00EB2E7B" w:rsidRDefault="006B21DD" w:rsidP="006B21DD">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Układ pomiarowy</w:t>
            </w:r>
          </w:p>
          <w:p w14:paraId="612D73F1" w14:textId="5ACDFC35" w:rsidR="00E55F0C" w:rsidRPr="00EB2E7B" w:rsidRDefault="006B21DD" w:rsidP="006B21DD">
            <w:pPr>
              <w:spacing w:after="0"/>
              <w:ind w:left="70" w:firstLine="0"/>
              <w:jc w:val="left"/>
              <w:rPr>
                <w:rFonts w:asciiTheme="minorHAnsi" w:hAnsiTheme="minorHAnsi" w:cstheme="minorHAnsi"/>
                <w:b/>
                <w:sz w:val="20"/>
                <w:szCs w:val="20"/>
              </w:rPr>
            </w:pPr>
            <w:r w:rsidRPr="00EB2E7B">
              <w:rPr>
                <w:rFonts w:asciiTheme="minorHAnsi" w:hAnsiTheme="minorHAnsi" w:cstheme="minorHAnsi"/>
                <w:b/>
                <w:sz w:val="20"/>
                <w:szCs w:val="20"/>
              </w:rPr>
              <w:t>bilansowo-kontrolny</w:t>
            </w:r>
          </w:p>
        </w:tc>
        <w:tc>
          <w:tcPr>
            <w:tcW w:w="6182" w:type="dxa"/>
            <w:gridSpan w:val="4"/>
          </w:tcPr>
          <w:p w14:paraId="27C5CECD" w14:textId="2C629FED" w:rsidR="00E55F0C" w:rsidRPr="00EB2E7B" w:rsidRDefault="00575499">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Układ pomiarowy, którego wskazania stanowią podstawę do monitorowania prawidłowości wskazań układów </w:t>
            </w:r>
            <w:r w:rsidRPr="00EB2E7B">
              <w:rPr>
                <w:rFonts w:asciiTheme="minorHAnsi" w:hAnsiTheme="minorHAnsi" w:cstheme="minorHAnsi"/>
                <w:sz w:val="20"/>
                <w:szCs w:val="20"/>
              </w:rPr>
              <w:tab/>
              <w:t>pomiarowo- rozliczeniowych poprzez porównywanie zmierzonych wielkości i/lub bilansowanie obiektów elektroenergetycznych lub obszarów sieci</w:t>
            </w:r>
          </w:p>
        </w:tc>
      </w:tr>
      <w:tr w:rsidR="00CD7B36" w:rsidRPr="00EB2E7B" w14:paraId="57569391" w14:textId="77777777" w:rsidTr="00780901">
        <w:trPr>
          <w:gridAfter w:val="4"/>
          <w:wAfter w:w="75" w:type="dxa"/>
          <w:trHeight w:val="1432"/>
        </w:trPr>
        <w:tc>
          <w:tcPr>
            <w:tcW w:w="2977" w:type="dxa"/>
          </w:tcPr>
          <w:p w14:paraId="364489B6"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Układ SCO</w:t>
            </w:r>
          </w:p>
        </w:tc>
        <w:tc>
          <w:tcPr>
            <w:tcW w:w="6144" w:type="dxa"/>
            <w:gridSpan w:val="2"/>
          </w:tcPr>
          <w:p w14:paraId="7E63D7B1" w14:textId="07AD1221"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Zespół urządzeń wykonujących pomiar częstotliwości za pomocą przekaźnika SCO, dystrybucję sygnałów sterujących i wyłączenie odbioru za pomocą wyłączników.</w:t>
            </w:r>
          </w:p>
        </w:tc>
      </w:tr>
      <w:tr w:rsidR="00CD7B36" w:rsidRPr="00EB2E7B" w14:paraId="6B324F4B" w14:textId="77777777" w:rsidTr="00780901">
        <w:trPr>
          <w:gridAfter w:val="4"/>
          <w:wAfter w:w="75" w:type="dxa"/>
          <w:trHeight w:val="1224"/>
        </w:trPr>
        <w:tc>
          <w:tcPr>
            <w:tcW w:w="2977" w:type="dxa"/>
          </w:tcPr>
          <w:p w14:paraId="2F67FBAA"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Układ zabezpieczeniowy </w:t>
            </w:r>
          </w:p>
        </w:tc>
        <w:tc>
          <w:tcPr>
            <w:tcW w:w="6144" w:type="dxa"/>
            <w:gridSpan w:val="2"/>
          </w:tcPr>
          <w:p w14:paraId="432E885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Zespół złożony z jednego lub kilku urządzeń zabezpieczeniowych i innych urządzeń współpracujących przeznaczony do spełniania jednej lub wielu określonych funkcji zabezpieczeniowych. </w:t>
            </w:r>
          </w:p>
        </w:tc>
      </w:tr>
      <w:tr w:rsidR="00CD7B36" w:rsidRPr="00EB2E7B" w14:paraId="25DF03C4" w14:textId="77777777" w:rsidTr="00780901">
        <w:trPr>
          <w:gridAfter w:val="4"/>
          <w:wAfter w:w="75" w:type="dxa"/>
          <w:trHeight w:val="1224"/>
        </w:trPr>
        <w:tc>
          <w:tcPr>
            <w:tcW w:w="2977" w:type="dxa"/>
          </w:tcPr>
          <w:p w14:paraId="0418E596"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Umowa dystrybucji</w:t>
            </w:r>
          </w:p>
        </w:tc>
        <w:tc>
          <w:tcPr>
            <w:tcW w:w="6144" w:type="dxa"/>
            <w:gridSpan w:val="2"/>
          </w:tcPr>
          <w:p w14:paraId="4A2C705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Umowa o świadczenie usług dystrybucji energii elektrycznej, w rozumieniu art. 5 ust. 2 pkt 2 Ustawy.</w:t>
            </w:r>
          </w:p>
        </w:tc>
      </w:tr>
      <w:tr w:rsidR="003215C2" w:rsidRPr="00EB2E7B" w14:paraId="3AFE3253" w14:textId="77777777" w:rsidTr="00780901">
        <w:trPr>
          <w:gridAfter w:val="4"/>
          <w:wAfter w:w="75" w:type="dxa"/>
          <w:trHeight w:val="1224"/>
        </w:trPr>
        <w:tc>
          <w:tcPr>
            <w:tcW w:w="2977" w:type="dxa"/>
          </w:tcPr>
          <w:p w14:paraId="17801763" w14:textId="7943B5CF" w:rsidR="003215C2" w:rsidRPr="00EB2E7B" w:rsidRDefault="003215C2">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Umowa kompleksowa</w:t>
            </w:r>
          </w:p>
        </w:tc>
        <w:tc>
          <w:tcPr>
            <w:tcW w:w="6144" w:type="dxa"/>
            <w:gridSpan w:val="2"/>
          </w:tcPr>
          <w:p w14:paraId="280DF860" w14:textId="5AD8802E" w:rsidR="003215C2" w:rsidRPr="00EB2E7B" w:rsidRDefault="003215C2">
            <w:pPr>
              <w:ind w:left="70" w:firstLine="0"/>
              <w:rPr>
                <w:rFonts w:asciiTheme="minorHAnsi" w:hAnsiTheme="minorHAnsi" w:cstheme="minorHAnsi"/>
                <w:sz w:val="20"/>
                <w:szCs w:val="20"/>
              </w:rPr>
            </w:pPr>
            <w:r w:rsidRPr="00EB2E7B">
              <w:rPr>
                <w:rFonts w:asciiTheme="minorHAnsi" w:hAnsiTheme="minorHAnsi" w:cstheme="minorHAnsi"/>
                <w:sz w:val="20"/>
                <w:szCs w:val="20"/>
              </w:rPr>
              <w:t>Umowa, na podstawie której odbywa się dostarczanie energii elektrycznej, zawierająca postanowienia umowy sprzedaży i umowy dystrybucji (o której mowa w art. 5 ust. 3 Ustawy).</w:t>
            </w:r>
          </w:p>
        </w:tc>
      </w:tr>
      <w:tr w:rsidR="00CD7B36" w:rsidRPr="00EB2E7B" w14:paraId="6598CF94" w14:textId="77777777" w:rsidTr="00780901">
        <w:trPr>
          <w:gridAfter w:val="4"/>
          <w:wAfter w:w="75" w:type="dxa"/>
          <w:trHeight w:val="1224"/>
        </w:trPr>
        <w:tc>
          <w:tcPr>
            <w:tcW w:w="2977" w:type="dxa"/>
          </w:tcPr>
          <w:p w14:paraId="03889C19" w14:textId="77777777" w:rsidR="00CD7B36" w:rsidRPr="00EB2E7B" w:rsidRDefault="00CD7B36">
            <w:pPr>
              <w:spacing w:after="0"/>
              <w:ind w:left="70" w:firstLine="0"/>
              <w:jc w:val="left"/>
              <w:rPr>
                <w:rFonts w:asciiTheme="minorHAnsi" w:hAnsiTheme="minorHAnsi" w:cstheme="minorHAnsi"/>
                <w:b/>
                <w:bCs/>
                <w:sz w:val="20"/>
                <w:szCs w:val="20"/>
              </w:rPr>
            </w:pPr>
            <w:r>
              <w:rPr>
                <w:rFonts w:asciiTheme="minorHAnsi" w:hAnsiTheme="minorHAnsi" w:cstheme="minorHAnsi"/>
                <w:b/>
                <w:bCs/>
                <w:sz w:val="20"/>
                <w:szCs w:val="20"/>
              </w:rPr>
              <w:t>Umowa kompleksowa rezerwowa</w:t>
            </w:r>
          </w:p>
        </w:tc>
        <w:tc>
          <w:tcPr>
            <w:tcW w:w="6144" w:type="dxa"/>
            <w:gridSpan w:val="2"/>
          </w:tcPr>
          <w:p w14:paraId="2AD918CA"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Umowa kompleksowa zawierająca postanowienia umowy sprzedaży rezerwowej zawarta przez URD ze sprzedawcą rezerwowym.</w:t>
            </w:r>
          </w:p>
        </w:tc>
      </w:tr>
      <w:tr w:rsidR="00CD7B36" w:rsidRPr="00EB2E7B" w14:paraId="2586CCC7" w14:textId="77777777" w:rsidTr="00780901">
        <w:trPr>
          <w:gridAfter w:val="4"/>
          <w:wAfter w:w="75" w:type="dxa"/>
          <w:trHeight w:val="1224"/>
        </w:trPr>
        <w:tc>
          <w:tcPr>
            <w:tcW w:w="2977" w:type="dxa"/>
          </w:tcPr>
          <w:p w14:paraId="77A02C39"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Umowa przesyłowa</w:t>
            </w:r>
          </w:p>
        </w:tc>
        <w:tc>
          <w:tcPr>
            <w:tcW w:w="6144" w:type="dxa"/>
            <w:gridSpan w:val="2"/>
          </w:tcPr>
          <w:p w14:paraId="56CD857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Umowa o świadczenie usług przesyłania energii elektrycznej zawarta z OSP.</w:t>
            </w:r>
          </w:p>
        </w:tc>
      </w:tr>
      <w:tr w:rsidR="00CD7B36" w:rsidRPr="00EB2E7B" w14:paraId="5B1735E9" w14:textId="77777777" w:rsidTr="00780901">
        <w:trPr>
          <w:gridAfter w:val="4"/>
          <w:wAfter w:w="75" w:type="dxa"/>
          <w:trHeight w:val="946"/>
        </w:trPr>
        <w:tc>
          <w:tcPr>
            <w:tcW w:w="2977" w:type="dxa"/>
          </w:tcPr>
          <w:p w14:paraId="3F6AA2E5"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Umowa sieciowa </w:t>
            </w:r>
          </w:p>
        </w:tc>
        <w:tc>
          <w:tcPr>
            <w:tcW w:w="6144" w:type="dxa"/>
            <w:gridSpan w:val="2"/>
          </w:tcPr>
          <w:p w14:paraId="78F7F24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Umowa na podstawie której OSD świadczy usługi dystrybucji dla URD tj. umowa kompleksowa lub umowa o świadczenie usług dystrybucji. </w:t>
            </w:r>
          </w:p>
        </w:tc>
      </w:tr>
      <w:tr w:rsidR="003215C2" w:rsidRPr="00EB2E7B" w14:paraId="694FB518" w14:textId="77777777" w:rsidTr="00780901">
        <w:trPr>
          <w:gridAfter w:val="4"/>
          <w:wAfter w:w="75" w:type="dxa"/>
          <w:trHeight w:val="946"/>
        </w:trPr>
        <w:tc>
          <w:tcPr>
            <w:tcW w:w="2977" w:type="dxa"/>
          </w:tcPr>
          <w:p w14:paraId="1E5B27D8" w14:textId="02DEA10C" w:rsidR="003215C2" w:rsidRPr="00EB2E7B" w:rsidRDefault="003215C2">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Umowa sprzedaży</w:t>
            </w:r>
          </w:p>
        </w:tc>
        <w:tc>
          <w:tcPr>
            <w:tcW w:w="6144" w:type="dxa"/>
            <w:gridSpan w:val="2"/>
          </w:tcPr>
          <w:p w14:paraId="2A1456B9" w14:textId="0252CBE0" w:rsidR="003215C2" w:rsidRPr="00EB2E7B" w:rsidRDefault="003215C2">
            <w:pPr>
              <w:ind w:left="70" w:firstLine="0"/>
              <w:rPr>
                <w:rFonts w:asciiTheme="minorHAnsi" w:hAnsiTheme="minorHAnsi" w:cstheme="minorHAnsi"/>
                <w:sz w:val="20"/>
                <w:szCs w:val="20"/>
              </w:rPr>
            </w:pPr>
            <w:r w:rsidRPr="00EB2E7B">
              <w:rPr>
                <w:rFonts w:asciiTheme="minorHAnsi" w:hAnsiTheme="minorHAnsi" w:cstheme="minorHAnsi"/>
                <w:sz w:val="20"/>
                <w:szCs w:val="20"/>
              </w:rPr>
              <w:t>Umowa sprzedaży energii elektrycznej, o której mowa w art. 5 ust. 1 Ustawy.</w:t>
            </w:r>
          </w:p>
        </w:tc>
      </w:tr>
      <w:tr w:rsidR="00CD7B36" w:rsidRPr="00EB2E7B" w14:paraId="79E10307" w14:textId="77777777" w:rsidTr="00780901">
        <w:trPr>
          <w:gridAfter w:val="4"/>
          <w:wAfter w:w="75" w:type="dxa"/>
          <w:trHeight w:val="401"/>
        </w:trPr>
        <w:tc>
          <w:tcPr>
            <w:tcW w:w="2977" w:type="dxa"/>
          </w:tcPr>
          <w:p w14:paraId="32604492" w14:textId="77777777" w:rsidR="00CD7B36" w:rsidRPr="00EB2E7B" w:rsidRDefault="00CD7B36">
            <w:pPr>
              <w:spacing w:after="0"/>
              <w:ind w:left="70" w:firstLine="0"/>
              <w:jc w:val="left"/>
              <w:rPr>
                <w:rFonts w:asciiTheme="minorHAnsi" w:hAnsiTheme="minorHAnsi" w:cstheme="minorHAnsi"/>
                <w:b/>
                <w:bCs/>
                <w:sz w:val="20"/>
                <w:szCs w:val="20"/>
              </w:rPr>
            </w:pPr>
            <w:r>
              <w:rPr>
                <w:rFonts w:asciiTheme="minorHAnsi" w:hAnsiTheme="minorHAnsi" w:cstheme="minorHAnsi"/>
                <w:b/>
                <w:bCs/>
                <w:sz w:val="20"/>
                <w:szCs w:val="20"/>
              </w:rPr>
              <w:t>Umowa sprzedaży rezerwowej</w:t>
            </w:r>
          </w:p>
        </w:tc>
        <w:tc>
          <w:tcPr>
            <w:tcW w:w="6144" w:type="dxa"/>
            <w:gridSpan w:val="2"/>
          </w:tcPr>
          <w:p w14:paraId="32336CC8" w14:textId="77777777" w:rsidR="00CD7B36" w:rsidRPr="00EB2E7B" w:rsidRDefault="00CD7B36">
            <w:pPr>
              <w:ind w:left="70" w:firstLine="0"/>
              <w:rPr>
                <w:rFonts w:asciiTheme="minorHAnsi" w:hAnsiTheme="minorHAnsi" w:cstheme="minorHAnsi"/>
                <w:sz w:val="20"/>
                <w:szCs w:val="20"/>
              </w:rPr>
            </w:pPr>
            <w:r>
              <w:rPr>
                <w:rFonts w:asciiTheme="minorHAnsi" w:hAnsiTheme="minorHAnsi" w:cstheme="minorHAnsi"/>
                <w:sz w:val="20"/>
                <w:szCs w:val="20"/>
              </w:rPr>
              <w:t>Umowa sprzedaży zawarta przez URD ze sprzedawcą rezerwowym.</w:t>
            </w:r>
          </w:p>
        </w:tc>
      </w:tr>
      <w:tr w:rsidR="00CD7B36" w:rsidRPr="00EB2E7B" w14:paraId="0786FD64" w14:textId="77777777" w:rsidTr="00780901">
        <w:trPr>
          <w:gridAfter w:val="4"/>
          <w:wAfter w:w="75" w:type="dxa"/>
          <w:trHeight w:val="401"/>
        </w:trPr>
        <w:tc>
          <w:tcPr>
            <w:tcW w:w="2977" w:type="dxa"/>
          </w:tcPr>
          <w:p w14:paraId="1779599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Uruchomienie produkcyjne CSIRE</w:t>
            </w:r>
          </w:p>
        </w:tc>
        <w:tc>
          <w:tcPr>
            <w:tcW w:w="6144" w:type="dxa"/>
            <w:gridSpan w:val="2"/>
          </w:tcPr>
          <w:p w14:paraId="256DFCC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Data określona w Ustawie OIRE, od której OSD rozpoczyna realizację zadań, o których mowa w rozdziale 2d Ustawy.</w:t>
            </w:r>
          </w:p>
        </w:tc>
      </w:tr>
      <w:tr w:rsidR="00CD7B36" w:rsidRPr="00EB2E7B" w14:paraId="18C44FFC" w14:textId="77777777" w:rsidTr="00780901">
        <w:trPr>
          <w:gridAfter w:val="4"/>
          <w:wAfter w:w="75" w:type="dxa"/>
          <w:trHeight w:val="401"/>
        </w:trPr>
        <w:tc>
          <w:tcPr>
            <w:tcW w:w="2977" w:type="dxa"/>
          </w:tcPr>
          <w:p w14:paraId="247BFF7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Urządzenia </w:t>
            </w:r>
          </w:p>
        </w:tc>
        <w:tc>
          <w:tcPr>
            <w:tcW w:w="6144" w:type="dxa"/>
            <w:gridSpan w:val="2"/>
          </w:tcPr>
          <w:p w14:paraId="4405421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Urządzenia techniczne stosowane w procesach energetycznych. </w:t>
            </w:r>
          </w:p>
        </w:tc>
      </w:tr>
      <w:tr w:rsidR="00CD7B36" w:rsidRPr="00EB2E7B" w14:paraId="4E873049" w14:textId="77777777" w:rsidTr="00780901">
        <w:trPr>
          <w:gridAfter w:val="4"/>
          <w:wAfter w:w="75" w:type="dxa"/>
          <w:trHeight w:val="401"/>
        </w:trPr>
        <w:tc>
          <w:tcPr>
            <w:tcW w:w="2977" w:type="dxa"/>
          </w:tcPr>
          <w:p w14:paraId="3E3D26C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Usługa IRP</w:t>
            </w:r>
          </w:p>
        </w:tc>
        <w:tc>
          <w:tcPr>
            <w:tcW w:w="6144" w:type="dxa"/>
            <w:gridSpan w:val="2"/>
          </w:tcPr>
          <w:p w14:paraId="4B065F6A" w14:textId="02EEEF5C" w:rsidR="00CD7B36" w:rsidRPr="00EB2E7B" w:rsidRDefault="003215C2">
            <w:pPr>
              <w:ind w:left="70" w:firstLine="0"/>
              <w:rPr>
                <w:rFonts w:asciiTheme="minorHAnsi" w:hAnsiTheme="minorHAnsi" w:cstheme="minorHAnsi"/>
                <w:sz w:val="20"/>
                <w:szCs w:val="20"/>
              </w:rPr>
            </w:pPr>
            <w:r w:rsidRPr="00EB2E7B">
              <w:rPr>
                <w:rFonts w:asciiTheme="minorHAnsi" w:hAnsiTheme="minorHAnsi" w:cstheme="minorHAnsi"/>
                <w:sz w:val="20"/>
                <w:szCs w:val="20"/>
              </w:rPr>
              <w:t>Usługa w zakresie interwencyjnej dostawy mocy czynnej świadczona na polecenie OSP polegająca na interwencyjnej ofertowej redukcji poboru mocy przez odbiorców</w:t>
            </w:r>
            <w:r w:rsidR="00CD7B36" w:rsidRPr="00EB2E7B">
              <w:rPr>
                <w:rFonts w:asciiTheme="minorHAnsi" w:hAnsiTheme="minorHAnsi" w:cstheme="minorHAnsi"/>
                <w:sz w:val="20"/>
                <w:szCs w:val="20"/>
              </w:rPr>
              <w:t>.</w:t>
            </w:r>
          </w:p>
        </w:tc>
      </w:tr>
      <w:tr w:rsidR="003215C2" w:rsidRPr="00EB2E7B" w14:paraId="3C321DD6" w14:textId="77777777" w:rsidTr="00780901">
        <w:trPr>
          <w:gridAfter w:val="4"/>
          <w:wAfter w:w="75" w:type="dxa"/>
          <w:trHeight w:val="401"/>
        </w:trPr>
        <w:tc>
          <w:tcPr>
            <w:tcW w:w="2977" w:type="dxa"/>
          </w:tcPr>
          <w:p w14:paraId="4D2DD3CA" w14:textId="7806D822" w:rsidR="003215C2" w:rsidRPr="00EB2E7B" w:rsidRDefault="003215C2">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Usługa IZP</w:t>
            </w:r>
          </w:p>
        </w:tc>
        <w:tc>
          <w:tcPr>
            <w:tcW w:w="6144" w:type="dxa"/>
            <w:gridSpan w:val="2"/>
          </w:tcPr>
          <w:p w14:paraId="7222CD7D" w14:textId="36D286D4" w:rsidR="003215C2" w:rsidRPr="00EB2E7B" w:rsidRDefault="003215C2">
            <w:pPr>
              <w:ind w:left="70" w:firstLine="0"/>
              <w:rPr>
                <w:rFonts w:asciiTheme="minorHAnsi" w:hAnsiTheme="minorHAnsi" w:cstheme="minorHAnsi"/>
                <w:sz w:val="20"/>
                <w:szCs w:val="20"/>
              </w:rPr>
            </w:pPr>
            <w:r w:rsidRPr="00EB2E7B">
              <w:rPr>
                <w:rFonts w:asciiTheme="minorHAnsi" w:hAnsiTheme="minorHAnsi" w:cstheme="minorHAnsi"/>
                <w:sz w:val="20"/>
                <w:szCs w:val="20"/>
              </w:rPr>
              <w:t>Usługa w zakresie interwencyjnej dostawy mocy czynnej świadczona na polecenie OSP polegająca na interwencyjnym ofertowym zwiększeniu poboru mocy przez odbiorców.</w:t>
            </w:r>
          </w:p>
        </w:tc>
      </w:tr>
      <w:tr w:rsidR="00CD7B36" w:rsidRPr="00EB2E7B" w14:paraId="53BF0795" w14:textId="77777777" w:rsidTr="00780901">
        <w:trPr>
          <w:gridAfter w:val="4"/>
          <w:wAfter w:w="75" w:type="dxa"/>
          <w:trHeight w:val="401"/>
        </w:trPr>
        <w:tc>
          <w:tcPr>
            <w:tcW w:w="2977" w:type="dxa"/>
          </w:tcPr>
          <w:p w14:paraId="3354450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Usługi bilansujące</w:t>
            </w:r>
          </w:p>
        </w:tc>
        <w:tc>
          <w:tcPr>
            <w:tcW w:w="6144" w:type="dxa"/>
            <w:gridSpan w:val="2"/>
          </w:tcPr>
          <w:p w14:paraId="42E7DABB"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Usługi bilansujące w rozumieniu art. 2 pkt 3 EB GL.</w:t>
            </w:r>
          </w:p>
        </w:tc>
      </w:tr>
      <w:tr w:rsidR="00CD7B36" w:rsidRPr="00EB2E7B" w14:paraId="6C72A8E4" w14:textId="77777777" w:rsidTr="00780901">
        <w:trPr>
          <w:gridAfter w:val="4"/>
          <w:wAfter w:w="75" w:type="dxa"/>
          <w:trHeight w:val="1219"/>
        </w:trPr>
        <w:tc>
          <w:tcPr>
            <w:tcW w:w="2977" w:type="dxa"/>
          </w:tcPr>
          <w:p w14:paraId="6292BC30"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Usługi systemowe </w:t>
            </w:r>
          </w:p>
        </w:tc>
        <w:tc>
          <w:tcPr>
            <w:tcW w:w="6144" w:type="dxa"/>
            <w:gridSpan w:val="2"/>
          </w:tcPr>
          <w:p w14:paraId="324A6E35"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Usługi świadczone na rzecz OSP, niezbędne do zapewnienia przez OSP prawidłowego funkcjonowania KSE, niezawodności jego pracy i utrzymywania parametrów jakościowych energii elektrycznej. </w:t>
            </w:r>
          </w:p>
        </w:tc>
      </w:tr>
      <w:tr w:rsidR="00CD7B36" w:rsidRPr="00EB2E7B" w14:paraId="38C76F72" w14:textId="77777777" w:rsidTr="00780901">
        <w:trPr>
          <w:gridAfter w:val="4"/>
          <w:wAfter w:w="75" w:type="dxa"/>
          <w:trHeight w:val="675"/>
        </w:trPr>
        <w:tc>
          <w:tcPr>
            <w:tcW w:w="2977" w:type="dxa"/>
          </w:tcPr>
          <w:p w14:paraId="05C6112B"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Ustawa </w:t>
            </w:r>
          </w:p>
        </w:tc>
        <w:tc>
          <w:tcPr>
            <w:tcW w:w="6144" w:type="dxa"/>
            <w:gridSpan w:val="2"/>
          </w:tcPr>
          <w:p w14:paraId="1A8D461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Ustawa z dnia 10.04.1997r. – Prawo energetyczne z późniejszymi zmianami. </w:t>
            </w:r>
          </w:p>
        </w:tc>
      </w:tr>
      <w:tr w:rsidR="00CD7B36" w:rsidRPr="00EB2E7B" w14:paraId="2CD5C912" w14:textId="77777777" w:rsidTr="00780901">
        <w:trPr>
          <w:gridAfter w:val="4"/>
          <w:wAfter w:w="75" w:type="dxa"/>
          <w:trHeight w:val="670"/>
        </w:trPr>
        <w:tc>
          <w:tcPr>
            <w:tcW w:w="2977" w:type="dxa"/>
          </w:tcPr>
          <w:p w14:paraId="560B48F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Użytkownik systemu </w:t>
            </w:r>
          </w:p>
        </w:tc>
        <w:tc>
          <w:tcPr>
            <w:tcW w:w="6144" w:type="dxa"/>
            <w:gridSpan w:val="2"/>
          </w:tcPr>
          <w:p w14:paraId="09FC3DA6"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Podmiot dostarczający energię elektryczną do systemu elektroenergetycznego lub zaopatrywany z tego systemu, </w:t>
            </w:r>
          </w:p>
        </w:tc>
      </w:tr>
      <w:tr w:rsidR="00CD7B36" w:rsidRPr="00EB2E7B" w14:paraId="47918CC3" w14:textId="77777777" w:rsidTr="00780901">
        <w:trPr>
          <w:gridAfter w:val="4"/>
          <w:wAfter w:w="75" w:type="dxa"/>
          <w:trHeight w:val="1502"/>
        </w:trPr>
        <w:tc>
          <w:tcPr>
            <w:tcW w:w="2977" w:type="dxa"/>
          </w:tcPr>
          <w:p w14:paraId="208F811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Warunki dotyczące bilansowania </w:t>
            </w:r>
          </w:p>
        </w:tc>
        <w:tc>
          <w:tcPr>
            <w:tcW w:w="6144" w:type="dxa"/>
            <w:gridSpan w:val="2"/>
          </w:tcPr>
          <w:p w14:paraId="3C5943F9"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Dokument opracowany przez OSP na podstawie art. 18 rozporządzenia Komisji (UE) 2017/2195 z dnia 23 listopada 2017 r. ustanawiającym wytyczne dotyczące bilansowania (Dz. Urz. UE L 312/6 z 28.11.2017 r.) - EB GL, zatwierdzony decyzją Prezesa URE. </w:t>
            </w:r>
          </w:p>
        </w:tc>
      </w:tr>
      <w:tr w:rsidR="00CD7B36" w:rsidRPr="00EB2E7B" w14:paraId="6CCA750D" w14:textId="77777777" w:rsidTr="00780901">
        <w:trPr>
          <w:gridAfter w:val="4"/>
          <w:wAfter w:w="75" w:type="dxa"/>
          <w:trHeight w:val="2071"/>
        </w:trPr>
        <w:tc>
          <w:tcPr>
            <w:tcW w:w="2977" w:type="dxa"/>
          </w:tcPr>
          <w:p w14:paraId="35D1DE7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Wirtualne Miejsce </w:t>
            </w:r>
          </w:p>
          <w:p w14:paraId="4F5176D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Dostarczenia Energii Rynku Bilansującego </w:t>
            </w:r>
          </w:p>
          <w:p w14:paraId="0348111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(WMB) </w:t>
            </w:r>
          </w:p>
        </w:tc>
        <w:tc>
          <w:tcPr>
            <w:tcW w:w="6144" w:type="dxa"/>
            <w:gridSpan w:val="2"/>
          </w:tcPr>
          <w:p w14:paraId="7EC5293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Miejsce Dostarczenia Energii Rynku Bilansującego, w którym jest realizowana dostawa energii niepowiązana bezpośrednio z fizycznymi przepływami energii (punkt „ponad siecią”). Ilość energii elektrycznej dostarczonej albo odebranej w WMB jest wyznaczana na podstawie wielkości energii wynikających z Umów Sprzedaży Energii oraz odpowiednich algorytmów obliczeniowych. </w:t>
            </w:r>
          </w:p>
        </w:tc>
      </w:tr>
      <w:tr w:rsidR="00CD7B36" w:rsidRPr="00EB2E7B" w14:paraId="520B3F6F" w14:textId="77777777" w:rsidTr="00780901">
        <w:trPr>
          <w:gridAfter w:val="4"/>
          <w:wAfter w:w="75" w:type="dxa"/>
          <w:trHeight w:val="1753"/>
        </w:trPr>
        <w:tc>
          <w:tcPr>
            <w:tcW w:w="2977" w:type="dxa"/>
          </w:tcPr>
          <w:p w14:paraId="2DF9574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 xml:space="preserve">Współczynnik </w:t>
            </w:r>
          </w:p>
          <w:p w14:paraId="51970E3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bezpieczeństwa przyrządu </w:t>
            </w:r>
          </w:p>
          <w:p w14:paraId="2B0A6898"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 FS </w:t>
            </w:r>
          </w:p>
        </w:tc>
        <w:tc>
          <w:tcPr>
            <w:tcW w:w="6144" w:type="dxa"/>
            <w:gridSpan w:val="2"/>
          </w:tcPr>
          <w:p w14:paraId="495B63AA"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Stosunek znamionowego prądu bezpiecznego przyrządu do znamionowego prądu pierwotnego. Przy czym znamionowy prąd bezpieczny przyrządu określa się jako wartość skuteczną minimalnego prądu pierwotnego, przy którym błąd całkowity przekładnika prądowego do pomiarów jest równy lub większy niż 10 % przy obciążeniu znamionowym. </w:t>
            </w:r>
          </w:p>
        </w:tc>
      </w:tr>
      <w:tr w:rsidR="00CD7B36" w:rsidRPr="00EB2E7B" w14:paraId="7F5D8A5F" w14:textId="77777777" w:rsidTr="00780901">
        <w:trPr>
          <w:gridAfter w:val="4"/>
          <w:wAfter w:w="75" w:type="dxa"/>
          <w:trHeight w:val="1159"/>
        </w:trPr>
        <w:tc>
          <w:tcPr>
            <w:tcW w:w="2977" w:type="dxa"/>
          </w:tcPr>
          <w:p w14:paraId="148D548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Wyłączenie awaryjne </w:t>
            </w:r>
          </w:p>
        </w:tc>
        <w:tc>
          <w:tcPr>
            <w:tcW w:w="6144" w:type="dxa"/>
            <w:gridSpan w:val="2"/>
          </w:tcPr>
          <w:p w14:paraId="0CF0724C"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Wyłączenie urządzeń automatyczne lub ręczne, w przypadku zagrożenia bezpieczeństwa tego urządzenia lub innych urządzeń, instalacji i sieci albo zagrożenia bezpieczeństwa osób, mienia lub środowiska. </w:t>
            </w:r>
          </w:p>
        </w:tc>
      </w:tr>
      <w:tr w:rsidR="00CD7B36" w:rsidRPr="00EB2E7B" w14:paraId="65F889EA" w14:textId="77777777" w:rsidTr="00780901">
        <w:trPr>
          <w:gridAfter w:val="4"/>
          <w:wAfter w:w="75" w:type="dxa"/>
          <w:trHeight w:val="677"/>
        </w:trPr>
        <w:tc>
          <w:tcPr>
            <w:tcW w:w="2977" w:type="dxa"/>
          </w:tcPr>
          <w:p w14:paraId="42926AA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Wymiana międzysystemowa </w:t>
            </w:r>
          </w:p>
        </w:tc>
        <w:tc>
          <w:tcPr>
            <w:tcW w:w="6144" w:type="dxa"/>
            <w:gridSpan w:val="2"/>
          </w:tcPr>
          <w:p w14:paraId="06116FBE"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Wymiana mocy i energii elektrycznej pomiędzy KSE i innymi systemami elektroenergetycznymi.  </w:t>
            </w:r>
          </w:p>
        </w:tc>
      </w:tr>
      <w:tr w:rsidR="00CD7B36" w:rsidRPr="00EB2E7B" w14:paraId="58934549" w14:textId="77777777" w:rsidTr="00780901">
        <w:trPr>
          <w:gridAfter w:val="4"/>
          <w:wAfter w:w="75" w:type="dxa"/>
          <w:trHeight w:val="1774"/>
        </w:trPr>
        <w:tc>
          <w:tcPr>
            <w:tcW w:w="2977" w:type="dxa"/>
          </w:tcPr>
          <w:p w14:paraId="0ACFB133"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Wyprowadzenie URD  z PPE </w:t>
            </w:r>
          </w:p>
        </w:tc>
        <w:tc>
          <w:tcPr>
            <w:tcW w:w="6144" w:type="dxa"/>
            <w:gridSpan w:val="2"/>
          </w:tcPr>
          <w:p w14:paraId="5CCDA72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Zakończenie na wniosek URD świadczenia usług dystrybucji lub usługi kompleksowej, które obejmuje odłączenie zasilania w danym PPE, tj. stworzenie fizycznej przerwy w torze prądowym (np. demontaż układu pomiarowo-rozliczeniowego, demontaż fragmentu przyłącza, wyjęcie wkładki bezpiecznikowej itp.). </w:t>
            </w:r>
          </w:p>
        </w:tc>
      </w:tr>
      <w:tr w:rsidR="00CD7B36" w:rsidRPr="00EB2E7B" w14:paraId="1A73D138" w14:textId="77777777" w:rsidTr="00780901">
        <w:trPr>
          <w:gridAfter w:val="4"/>
          <w:wAfter w:w="75" w:type="dxa"/>
          <w:trHeight w:val="948"/>
        </w:trPr>
        <w:tc>
          <w:tcPr>
            <w:tcW w:w="2977" w:type="dxa"/>
          </w:tcPr>
          <w:p w14:paraId="24D5D67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Wytwórca </w:t>
            </w:r>
          </w:p>
        </w:tc>
        <w:tc>
          <w:tcPr>
            <w:tcW w:w="6144" w:type="dxa"/>
            <w:gridSpan w:val="2"/>
          </w:tcPr>
          <w:p w14:paraId="3A925280"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Przedsiębiorstwo energetyczne zajmujące się wytwarzaniem energii elektrycznej. </w:t>
            </w:r>
          </w:p>
        </w:tc>
      </w:tr>
      <w:tr w:rsidR="00CD7B36" w:rsidRPr="00EB2E7B" w14:paraId="17009C43" w14:textId="77777777" w:rsidTr="00780901">
        <w:trPr>
          <w:gridAfter w:val="4"/>
          <w:wAfter w:w="75" w:type="dxa"/>
          <w:trHeight w:val="1224"/>
        </w:trPr>
        <w:tc>
          <w:tcPr>
            <w:tcW w:w="2977" w:type="dxa"/>
          </w:tcPr>
          <w:p w14:paraId="682E0737"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Zabezpieczenia </w:t>
            </w:r>
          </w:p>
        </w:tc>
        <w:tc>
          <w:tcPr>
            <w:tcW w:w="6144" w:type="dxa"/>
            <w:gridSpan w:val="2"/>
          </w:tcPr>
          <w:p w14:paraId="48D7B9D2"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Część EAZ służąca do wykrywania i lokalizacji zakłóceń oraz wyłączenia elementów nimi dotkniętych. W pewnych przypadkach zabezpieczenia mogą tylko sygnalizować powstanie zakłócenia i jego miejsce. </w:t>
            </w:r>
          </w:p>
        </w:tc>
      </w:tr>
      <w:tr w:rsidR="00CD7B36" w:rsidRPr="00EB2E7B" w14:paraId="4105006D" w14:textId="77777777" w:rsidTr="00780901">
        <w:trPr>
          <w:gridAfter w:val="4"/>
          <w:wAfter w:w="75" w:type="dxa"/>
          <w:trHeight w:val="946"/>
        </w:trPr>
        <w:tc>
          <w:tcPr>
            <w:tcW w:w="2977" w:type="dxa"/>
          </w:tcPr>
          <w:p w14:paraId="0D776A3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Zabezpieczenie nadprądowe zwłoczne </w:t>
            </w:r>
          </w:p>
        </w:tc>
        <w:tc>
          <w:tcPr>
            <w:tcW w:w="6144" w:type="dxa"/>
            <w:gridSpan w:val="2"/>
          </w:tcPr>
          <w:p w14:paraId="3931A7F4"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Zabezpieczenie nadprądowe, którego nastawa prądowa jest zasadniczo odstrojona od prądów roboczych zabezpieczanego urządzenia. </w:t>
            </w:r>
          </w:p>
        </w:tc>
      </w:tr>
      <w:tr w:rsidR="00CD7B36" w:rsidRPr="00EB2E7B" w14:paraId="6DABB606" w14:textId="77777777" w:rsidTr="00780901">
        <w:trPr>
          <w:gridAfter w:val="4"/>
          <w:wAfter w:w="75" w:type="dxa"/>
          <w:trHeight w:val="1224"/>
        </w:trPr>
        <w:tc>
          <w:tcPr>
            <w:tcW w:w="2977" w:type="dxa"/>
          </w:tcPr>
          <w:p w14:paraId="77EE25B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Zabezpieczenie nadprądowe zwarciowe </w:t>
            </w:r>
          </w:p>
        </w:tc>
        <w:tc>
          <w:tcPr>
            <w:tcW w:w="6144" w:type="dxa"/>
            <w:gridSpan w:val="2"/>
          </w:tcPr>
          <w:p w14:paraId="0628FE2D"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Zabezpieczenie nadprądowe, którego opóźnienie czasowe jest mniejsze od 0,4 s, a nastawa prądowa wynika z oceny prądów zwarciowych w otoczeniu miejsca jego zainstalowania z pominięciem wpływu prądów roboczych. </w:t>
            </w:r>
          </w:p>
        </w:tc>
      </w:tr>
      <w:tr w:rsidR="00CD7B36" w:rsidRPr="00EB2E7B" w14:paraId="39EBE5AC" w14:textId="77777777" w:rsidTr="00780901">
        <w:trPr>
          <w:gridAfter w:val="4"/>
          <w:wAfter w:w="75" w:type="dxa"/>
          <w:trHeight w:val="1224"/>
        </w:trPr>
        <w:tc>
          <w:tcPr>
            <w:tcW w:w="2977" w:type="dxa"/>
          </w:tcPr>
          <w:p w14:paraId="6F72EE6D"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Zagregowane dane pomiarowe</w:t>
            </w:r>
          </w:p>
        </w:tc>
        <w:tc>
          <w:tcPr>
            <w:tcW w:w="6144" w:type="dxa"/>
            <w:gridSpan w:val="2"/>
          </w:tcPr>
          <w:p w14:paraId="2731BB51"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Dane pomiarowe dla zbioru punktów pomiarowych, dla których nie jest możliwe przypisanie ich do danego użytkownika systemu elektroenergetycznego.</w:t>
            </w:r>
          </w:p>
        </w:tc>
      </w:tr>
      <w:tr w:rsidR="00CD7B36" w:rsidRPr="00EB2E7B" w14:paraId="122E6717" w14:textId="77777777" w:rsidTr="00780901">
        <w:trPr>
          <w:gridAfter w:val="4"/>
          <w:wAfter w:w="75" w:type="dxa"/>
          <w:trHeight w:val="1224"/>
        </w:trPr>
        <w:tc>
          <w:tcPr>
            <w:tcW w:w="2977" w:type="dxa"/>
          </w:tcPr>
          <w:p w14:paraId="29D6C9C2"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Zakład wytwarzania energii</w:t>
            </w:r>
          </w:p>
        </w:tc>
        <w:tc>
          <w:tcPr>
            <w:tcW w:w="6144" w:type="dxa"/>
            <w:gridSpan w:val="2"/>
          </w:tcPr>
          <w:p w14:paraId="3006DBE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Zakład wytwarzania energii w rozumieniu art. 2 pkt 6 NC </w:t>
            </w:r>
            <w:proofErr w:type="spellStart"/>
            <w:r w:rsidRPr="00EB2E7B">
              <w:rPr>
                <w:rFonts w:asciiTheme="minorHAnsi" w:hAnsiTheme="minorHAnsi" w:cstheme="minorHAnsi"/>
                <w:sz w:val="20"/>
                <w:szCs w:val="20"/>
              </w:rPr>
              <w:t>RfG</w:t>
            </w:r>
            <w:proofErr w:type="spellEnd"/>
            <w:r w:rsidRPr="00EB2E7B">
              <w:rPr>
                <w:rFonts w:asciiTheme="minorHAnsi" w:hAnsiTheme="minorHAnsi" w:cstheme="minorHAnsi"/>
                <w:sz w:val="20"/>
                <w:szCs w:val="20"/>
              </w:rPr>
              <w:t>.</w:t>
            </w:r>
          </w:p>
        </w:tc>
      </w:tr>
      <w:tr w:rsidR="00CD7B36" w:rsidRPr="00EB2E7B" w14:paraId="24064D4C" w14:textId="77777777" w:rsidTr="00780901">
        <w:trPr>
          <w:gridAfter w:val="4"/>
          <w:wAfter w:w="75" w:type="dxa"/>
          <w:trHeight w:val="1224"/>
        </w:trPr>
        <w:tc>
          <w:tcPr>
            <w:tcW w:w="2977" w:type="dxa"/>
          </w:tcPr>
          <w:p w14:paraId="193585B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lastRenderedPageBreak/>
              <w:t>Zapotrzebowanie sieci</w:t>
            </w:r>
          </w:p>
        </w:tc>
        <w:tc>
          <w:tcPr>
            <w:tcW w:w="6144" w:type="dxa"/>
            <w:gridSpan w:val="2"/>
          </w:tcPr>
          <w:p w14:paraId="3558A031" w14:textId="5A24B656"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Zapotrzebowanie na moc odbiorców przyłączonych do sieci przesyłowej i dystrybucyjnej oraz bezpośrednio do urządzeń, instalacji lub sieci innych przedsiębiorstw energetycznych, powiększone o straty w sieci przesyłowej i dystrybucyjnej, pomniejszone o moc bezpośrednio dostarczan</w:t>
            </w:r>
            <w:r w:rsidR="00A903C9" w:rsidRPr="00EB2E7B">
              <w:rPr>
                <w:rFonts w:asciiTheme="minorHAnsi" w:hAnsiTheme="minorHAnsi" w:cstheme="minorHAnsi"/>
                <w:sz w:val="20"/>
                <w:szCs w:val="20"/>
              </w:rPr>
              <w:t>ą</w:t>
            </w:r>
            <w:r w:rsidRPr="00EB2E7B">
              <w:rPr>
                <w:rFonts w:asciiTheme="minorHAnsi" w:hAnsiTheme="minorHAnsi" w:cstheme="minorHAnsi"/>
                <w:sz w:val="20"/>
                <w:szCs w:val="20"/>
              </w:rPr>
              <w:t xml:space="preserve"> prze</w:t>
            </w:r>
            <w:r w:rsidR="00A903C9" w:rsidRPr="00EB2E7B">
              <w:rPr>
                <w:rFonts w:asciiTheme="minorHAnsi" w:hAnsiTheme="minorHAnsi" w:cstheme="minorHAnsi"/>
                <w:sz w:val="20"/>
                <w:szCs w:val="20"/>
              </w:rPr>
              <w:t>z</w:t>
            </w:r>
            <w:r w:rsidRPr="00EB2E7B">
              <w:rPr>
                <w:rFonts w:asciiTheme="minorHAnsi" w:hAnsiTheme="minorHAnsi" w:cstheme="minorHAnsi"/>
                <w:sz w:val="20"/>
                <w:szCs w:val="20"/>
              </w:rPr>
              <w:t xml:space="preserve"> źródła wytwórcze do odbiorców z pominięciem sieci należącej do innych przedsiębiorstw energetycznych.</w:t>
            </w:r>
          </w:p>
        </w:tc>
      </w:tr>
      <w:tr w:rsidR="00CD7B36" w:rsidRPr="00EB2E7B" w14:paraId="34F6C80B" w14:textId="77777777" w:rsidTr="00780901">
        <w:trPr>
          <w:gridAfter w:val="4"/>
          <w:wAfter w:w="75" w:type="dxa"/>
          <w:trHeight w:val="1798"/>
        </w:trPr>
        <w:tc>
          <w:tcPr>
            <w:tcW w:w="2977" w:type="dxa"/>
          </w:tcPr>
          <w:p w14:paraId="20D019C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Zaprzestanie dostarczania energii elektrycznej </w:t>
            </w:r>
          </w:p>
        </w:tc>
        <w:tc>
          <w:tcPr>
            <w:tcW w:w="6144" w:type="dxa"/>
            <w:gridSpan w:val="2"/>
          </w:tcPr>
          <w:p w14:paraId="6A78BCFB" w14:textId="4D73E9FE"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Niedostarczanie energii elektrycznej do przyłączonego obiektu bez dokonania trwałego demontażu elementów przyłącza, z powodu rozwiązania lub wygaśnięcia umowy o świadczenie usług dystrybucji lub umowy sprzedaży, w tym umowy sprzedaży rezerwowej lub umowy kompleksowej, w tym rezerwowej umowy kompleksowej, lub z powodu zgłoszenia/powiadomienia przez sprzedawcę umowy kompleksowej niezgodnie z przedmiotem GUD. </w:t>
            </w:r>
          </w:p>
        </w:tc>
      </w:tr>
      <w:tr w:rsidR="00CD7B36" w:rsidRPr="00EB2E7B" w14:paraId="0A46B84E" w14:textId="77777777" w:rsidTr="00780901">
        <w:trPr>
          <w:gridAfter w:val="4"/>
          <w:wAfter w:w="75" w:type="dxa"/>
          <w:trHeight w:val="1964"/>
        </w:trPr>
        <w:tc>
          <w:tcPr>
            <w:tcW w:w="2977" w:type="dxa"/>
          </w:tcPr>
          <w:p w14:paraId="7A65262F"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 xml:space="preserve">Zarządzanie ograniczeniami systemowymi </w:t>
            </w:r>
          </w:p>
        </w:tc>
        <w:tc>
          <w:tcPr>
            <w:tcW w:w="6144" w:type="dxa"/>
            <w:gridSpan w:val="2"/>
          </w:tcPr>
          <w:p w14:paraId="1576D143"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Działalność gospodarcza wykonywana przez operatora systemu przesyłowego lub dystrybucyjnego w ramach świadczonych usług przesyłania lub dystrybucji w celu zapewnienia bezpiecznego funkcjonowania systemu elektroenergetycznego oraz zapewnienia, zgodnie z przepisami wydanymi na podstawie ustawy Prawo energetyczne, wymaganych parametrów technicznych energii elektrycznej w przypadku wystąpienia ograniczeń technicznych w przepustowości tych systemów.</w:t>
            </w:r>
          </w:p>
        </w:tc>
      </w:tr>
      <w:tr w:rsidR="00CD7B36" w:rsidRPr="00EB2E7B" w14:paraId="26ED3E2F" w14:textId="77777777" w:rsidTr="00780901">
        <w:trPr>
          <w:gridAfter w:val="4"/>
          <w:wAfter w:w="75" w:type="dxa"/>
          <w:trHeight w:val="1964"/>
        </w:trPr>
        <w:tc>
          <w:tcPr>
            <w:tcW w:w="2977" w:type="dxa"/>
          </w:tcPr>
          <w:p w14:paraId="56194E51"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Zasilenie inicjalne</w:t>
            </w:r>
          </w:p>
        </w:tc>
        <w:tc>
          <w:tcPr>
            <w:tcW w:w="6144" w:type="dxa"/>
            <w:gridSpan w:val="2"/>
          </w:tcPr>
          <w:p w14:paraId="23DE6C4B" w14:textId="248EAB4E" w:rsidR="00CD7B36" w:rsidRPr="00EB2E7B" w:rsidRDefault="003215C2">
            <w:pPr>
              <w:ind w:left="70" w:firstLine="0"/>
              <w:rPr>
                <w:rFonts w:asciiTheme="minorHAnsi" w:hAnsiTheme="minorHAnsi" w:cstheme="minorHAnsi"/>
                <w:sz w:val="20"/>
                <w:szCs w:val="20"/>
              </w:rPr>
            </w:pPr>
            <w:r w:rsidRPr="00EB2E7B">
              <w:rPr>
                <w:rFonts w:asciiTheme="minorHAnsi" w:hAnsiTheme="minorHAnsi" w:cstheme="minorHAnsi"/>
                <w:sz w:val="20"/>
                <w:szCs w:val="20"/>
              </w:rPr>
              <w:t>Przekazanie przez OSD</w:t>
            </w:r>
            <w:r w:rsidR="00B01D85" w:rsidRPr="00EB2E7B">
              <w:rPr>
                <w:rFonts w:asciiTheme="minorHAnsi" w:hAnsiTheme="minorHAnsi" w:cstheme="minorHAnsi"/>
                <w:sz w:val="20"/>
                <w:szCs w:val="20"/>
              </w:rPr>
              <w:t>, OSDn,</w:t>
            </w:r>
            <w:r w:rsidRPr="00EB2E7B">
              <w:rPr>
                <w:rFonts w:asciiTheme="minorHAnsi" w:hAnsiTheme="minorHAnsi" w:cstheme="minorHAnsi"/>
                <w:sz w:val="20"/>
                <w:szCs w:val="20"/>
              </w:rPr>
              <w:t xml:space="preserve"> </w:t>
            </w:r>
            <w:r w:rsidR="00FD3D61" w:rsidRPr="00EB2E7B">
              <w:rPr>
                <w:rFonts w:asciiTheme="minorHAnsi" w:hAnsiTheme="minorHAnsi" w:cstheme="minorHAnsi"/>
                <w:sz w:val="20"/>
                <w:szCs w:val="20"/>
              </w:rPr>
              <w:t xml:space="preserve">za pośrednictwem </w:t>
            </w:r>
            <w:proofErr w:type="spellStart"/>
            <w:r w:rsidR="00FD3D61" w:rsidRPr="00EB2E7B">
              <w:rPr>
                <w:rFonts w:asciiTheme="minorHAnsi" w:hAnsiTheme="minorHAnsi" w:cstheme="minorHAnsi"/>
                <w:sz w:val="20"/>
                <w:szCs w:val="20"/>
              </w:rPr>
              <w:t>OSDp</w:t>
            </w:r>
            <w:proofErr w:type="spellEnd"/>
            <w:r w:rsidR="00FD3D61"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do OSP danych pomiarowych dotyczących ilości dostaw energii elektrycznej dla poszczególnych PPE, składających się na dany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po otrzymaniu z OSP informacji o konieczności przekazania danych pomiarowych z </w:t>
            </w:r>
            <w:proofErr w:type="spellStart"/>
            <w:r w:rsidRPr="00EB2E7B">
              <w:rPr>
                <w:rFonts w:asciiTheme="minorHAnsi" w:hAnsiTheme="minorHAnsi" w:cstheme="minorHAnsi"/>
                <w:sz w:val="20"/>
                <w:szCs w:val="20"/>
              </w:rPr>
              <w:t>ORed</w:t>
            </w:r>
            <w:proofErr w:type="spellEnd"/>
            <w:r w:rsidRPr="00EB2E7B">
              <w:rPr>
                <w:rFonts w:asciiTheme="minorHAnsi" w:hAnsiTheme="minorHAnsi" w:cstheme="minorHAnsi"/>
                <w:sz w:val="20"/>
                <w:szCs w:val="20"/>
              </w:rPr>
              <w:t xml:space="preserve"> uczestniczących w świadczeniu usługi IRP lub usługi IZP</w:t>
            </w:r>
            <w:r w:rsidR="00CD7B36" w:rsidRPr="00EB2E7B">
              <w:rPr>
                <w:rFonts w:asciiTheme="minorHAnsi" w:hAnsiTheme="minorHAnsi" w:cstheme="minorHAnsi"/>
                <w:sz w:val="20"/>
                <w:szCs w:val="20"/>
              </w:rPr>
              <w:t>.</w:t>
            </w:r>
          </w:p>
        </w:tc>
      </w:tr>
      <w:tr w:rsidR="00CD7B36" w:rsidRPr="00EB2E7B" w14:paraId="6CAFA29B" w14:textId="77777777" w:rsidTr="00780901">
        <w:trPr>
          <w:gridAfter w:val="4"/>
          <w:wAfter w:w="75" w:type="dxa"/>
          <w:trHeight w:val="1964"/>
        </w:trPr>
        <w:tc>
          <w:tcPr>
            <w:tcW w:w="2977" w:type="dxa"/>
          </w:tcPr>
          <w:p w14:paraId="767748BE"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Zasób</w:t>
            </w:r>
          </w:p>
        </w:tc>
        <w:tc>
          <w:tcPr>
            <w:tcW w:w="6144" w:type="dxa"/>
            <w:gridSpan w:val="2"/>
          </w:tcPr>
          <w:p w14:paraId="592E9FA7"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Moduł wytwarzania energii, w tym instalacja odnawialnego źródła energii w rozumieniu art. 3 pkt 20h Ustawy, magazyn energii elektrycznej w rozumieniu art. 3 pkt 10k Ustawy, instalacja odbiorcza lub jednostka odbiorcza, wraz z przyporządkowanymi im rzeczywistymi miejscami dostarczania energii elektrycznej.</w:t>
            </w:r>
          </w:p>
        </w:tc>
      </w:tr>
      <w:tr w:rsidR="00CD7B36" w:rsidRPr="00EB2E7B" w14:paraId="61F0FA72" w14:textId="77777777" w:rsidTr="00780901">
        <w:trPr>
          <w:gridAfter w:val="4"/>
          <w:wAfter w:w="75" w:type="dxa"/>
          <w:trHeight w:val="1964"/>
        </w:trPr>
        <w:tc>
          <w:tcPr>
            <w:tcW w:w="2977" w:type="dxa"/>
          </w:tcPr>
          <w:p w14:paraId="28FE0574" w14:textId="77777777" w:rsidR="00CD7B36" w:rsidRPr="00EB2E7B" w:rsidRDefault="00CD7B36">
            <w:pPr>
              <w:spacing w:after="0"/>
              <w:ind w:left="70" w:firstLine="0"/>
              <w:jc w:val="left"/>
              <w:rPr>
                <w:rFonts w:asciiTheme="minorHAnsi" w:hAnsiTheme="minorHAnsi" w:cstheme="minorHAnsi"/>
                <w:b/>
                <w:bCs/>
                <w:sz w:val="20"/>
                <w:szCs w:val="20"/>
              </w:rPr>
            </w:pPr>
            <w:r w:rsidRPr="00EB2E7B">
              <w:rPr>
                <w:rFonts w:asciiTheme="minorHAnsi" w:hAnsiTheme="minorHAnsi" w:cstheme="minorHAnsi"/>
                <w:b/>
                <w:bCs/>
                <w:sz w:val="20"/>
                <w:szCs w:val="20"/>
              </w:rPr>
              <w:t>Zastępcze dane pomiarowe</w:t>
            </w:r>
          </w:p>
        </w:tc>
        <w:tc>
          <w:tcPr>
            <w:tcW w:w="6144" w:type="dxa"/>
            <w:gridSpan w:val="2"/>
          </w:tcPr>
          <w:p w14:paraId="3423F168" w14:textId="77777777" w:rsidR="00CD7B36" w:rsidRPr="00EB2E7B" w:rsidRDefault="00CD7B36">
            <w:pPr>
              <w:ind w:left="70" w:firstLine="0"/>
              <w:rPr>
                <w:rFonts w:asciiTheme="minorHAnsi" w:hAnsiTheme="minorHAnsi" w:cstheme="minorHAnsi"/>
                <w:sz w:val="20"/>
                <w:szCs w:val="20"/>
              </w:rPr>
            </w:pPr>
            <w:r w:rsidRPr="00EB2E7B">
              <w:rPr>
                <w:rFonts w:asciiTheme="minorHAnsi" w:hAnsiTheme="minorHAnsi" w:cstheme="minorHAnsi"/>
                <w:sz w:val="20"/>
                <w:szCs w:val="20"/>
              </w:rPr>
              <w:t>Dane pomiarowe wyznaczone w przypadku braku możliwości pozyskania rzeczywistych danych pomiarowych z licznika konwencjonalnego lub z licznika zdalnego odczytu.</w:t>
            </w:r>
          </w:p>
        </w:tc>
      </w:tr>
    </w:tbl>
    <w:p w14:paraId="3BEE3CCB" w14:textId="77777777" w:rsidR="00CD7B36" w:rsidRPr="00EB2E7B" w:rsidRDefault="00CD7B36" w:rsidP="00CD7B36">
      <w:pPr>
        <w:rPr>
          <w:rFonts w:asciiTheme="minorHAnsi" w:hAnsiTheme="minorHAnsi" w:cstheme="minorHAnsi"/>
          <w:sz w:val="20"/>
          <w:szCs w:val="20"/>
        </w:rPr>
      </w:pPr>
    </w:p>
    <w:p w14:paraId="35020431" w14:textId="77777777" w:rsidR="00473957" w:rsidRPr="00EB2E7B" w:rsidRDefault="00473957" w:rsidP="005D19E7">
      <w:pPr>
        <w:ind w:left="70" w:firstLine="0"/>
        <w:rPr>
          <w:rFonts w:asciiTheme="minorHAnsi" w:hAnsiTheme="minorHAnsi" w:cstheme="minorHAnsi"/>
          <w:sz w:val="20"/>
          <w:szCs w:val="20"/>
        </w:rPr>
      </w:pPr>
    </w:p>
    <w:p w14:paraId="4E229210" w14:textId="77777777" w:rsidR="00473957" w:rsidRPr="00EB2E7B" w:rsidRDefault="00473957" w:rsidP="005D19E7">
      <w:pPr>
        <w:ind w:left="70" w:firstLine="0"/>
        <w:rPr>
          <w:rFonts w:asciiTheme="minorHAnsi" w:hAnsiTheme="minorHAnsi" w:cstheme="minorHAnsi"/>
          <w:sz w:val="20"/>
          <w:szCs w:val="20"/>
        </w:rPr>
        <w:sectPr w:rsidR="00473957" w:rsidRPr="00EB2E7B">
          <w:headerReference w:type="even" r:id="rId19"/>
          <w:headerReference w:type="default" r:id="rId20"/>
          <w:footerReference w:type="even" r:id="rId21"/>
          <w:footerReference w:type="default" r:id="rId22"/>
          <w:headerReference w:type="first" r:id="rId23"/>
          <w:footerReference w:type="first" r:id="rId24"/>
          <w:pgSz w:w="11906" w:h="16841"/>
          <w:pgMar w:top="1608" w:right="1343" w:bottom="2324" w:left="1416" w:header="919" w:footer="798" w:gutter="0"/>
          <w:cols w:space="708"/>
        </w:sectPr>
      </w:pPr>
    </w:p>
    <w:p w14:paraId="1F4A5724" w14:textId="77777777" w:rsidR="00D95658" w:rsidRPr="00EB2E7B" w:rsidRDefault="00D95658" w:rsidP="00CF2906">
      <w:pPr>
        <w:ind w:left="70" w:firstLine="0"/>
        <w:jc w:val="right"/>
        <w:rPr>
          <w:rFonts w:asciiTheme="minorHAnsi" w:hAnsiTheme="minorHAnsi" w:cstheme="minorHAnsi"/>
          <w:i/>
          <w:iCs/>
          <w:sz w:val="20"/>
          <w:szCs w:val="20"/>
        </w:rPr>
      </w:pPr>
      <w:r w:rsidRPr="00EB2E7B">
        <w:rPr>
          <w:rFonts w:asciiTheme="minorHAnsi" w:hAnsiTheme="minorHAnsi" w:cstheme="minorHAnsi"/>
          <w:i/>
          <w:iCs/>
          <w:sz w:val="20"/>
          <w:szCs w:val="20"/>
        </w:rPr>
        <w:lastRenderedPageBreak/>
        <w:t>Załącznik nr 1</w:t>
      </w:r>
    </w:p>
    <w:p w14:paraId="01FDC611" w14:textId="77777777" w:rsidR="00D95658" w:rsidRPr="00EB2E7B" w:rsidRDefault="00D95658" w:rsidP="005D19E7">
      <w:pPr>
        <w:ind w:left="70" w:firstLine="0"/>
        <w:rPr>
          <w:rFonts w:asciiTheme="minorHAnsi" w:hAnsiTheme="minorHAnsi" w:cstheme="minorHAnsi"/>
          <w:sz w:val="20"/>
          <w:szCs w:val="20"/>
        </w:rPr>
      </w:pPr>
    </w:p>
    <w:p w14:paraId="7FA42050" w14:textId="77777777" w:rsidR="00CF2906" w:rsidRPr="00EB2E7B" w:rsidRDefault="00CF2906" w:rsidP="00CF2906">
      <w:pPr>
        <w:ind w:left="70" w:firstLine="0"/>
        <w:jc w:val="center"/>
        <w:rPr>
          <w:rFonts w:asciiTheme="minorHAnsi" w:hAnsiTheme="minorHAnsi" w:cstheme="minorHAnsi"/>
          <w:b/>
          <w:bCs/>
          <w:sz w:val="20"/>
          <w:szCs w:val="20"/>
        </w:rPr>
      </w:pPr>
    </w:p>
    <w:p w14:paraId="5678885C" w14:textId="77777777" w:rsidR="00CF2906" w:rsidRPr="00EB2E7B" w:rsidRDefault="00CF2906" w:rsidP="00CF2906">
      <w:pPr>
        <w:ind w:left="70" w:firstLine="0"/>
        <w:jc w:val="center"/>
        <w:rPr>
          <w:rFonts w:asciiTheme="minorHAnsi" w:hAnsiTheme="minorHAnsi" w:cstheme="minorHAnsi"/>
          <w:b/>
          <w:bCs/>
          <w:sz w:val="20"/>
          <w:szCs w:val="20"/>
        </w:rPr>
      </w:pPr>
    </w:p>
    <w:p w14:paraId="69142688" w14:textId="77777777" w:rsidR="00CF2906" w:rsidRPr="00EB2E7B" w:rsidRDefault="00CF2906" w:rsidP="00CF2906">
      <w:pPr>
        <w:ind w:left="70" w:firstLine="0"/>
        <w:jc w:val="center"/>
        <w:rPr>
          <w:rFonts w:asciiTheme="minorHAnsi" w:hAnsiTheme="minorHAnsi" w:cstheme="minorHAnsi"/>
          <w:b/>
          <w:bCs/>
          <w:sz w:val="20"/>
          <w:szCs w:val="20"/>
        </w:rPr>
      </w:pPr>
    </w:p>
    <w:p w14:paraId="45172BF0" w14:textId="77777777" w:rsidR="00CF2906" w:rsidRPr="00EB2E7B" w:rsidRDefault="00CF2906" w:rsidP="00CF2906">
      <w:pPr>
        <w:ind w:left="70" w:firstLine="0"/>
        <w:jc w:val="center"/>
        <w:rPr>
          <w:rFonts w:asciiTheme="minorHAnsi" w:hAnsiTheme="minorHAnsi" w:cstheme="minorHAnsi"/>
          <w:b/>
          <w:bCs/>
          <w:sz w:val="20"/>
          <w:szCs w:val="20"/>
        </w:rPr>
      </w:pPr>
    </w:p>
    <w:p w14:paraId="24FD6BAF" w14:textId="77777777" w:rsidR="00CF2906" w:rsidRPr="00EB2E7B" w:rsidRDefault="00CF2906" w:rsidP="00CF2906">
      <w:pPr>
        <w:ind w:left="70" w:firstLine="0"/>
        <w:jc w:val="center"/>
        <w:rPr>
          <w:rFonts w:asciiTheme="minorHAnsi" w:hAnsiTheme="minorHAnsi" w:cstheme="minorHAnsi"/>
          <w:b/>
          <w:bCs/>
          <w:sz w:val="20"/>
          <w:szCs w:val="20"/>
        </w:rPr>
      </w:pPr>
    </w:p>
    <w:p w14:paraId="2918D5B8" w14:textId="77777777" w:rsidR="00CF2906" w:rsidRPr="00EB2E7B" w:rsidRDefault="00CF2906" w:rsidP="00CF2906">
      <w:pPr>
        <w:ind w:left="70" w:firstLine="0"/>
        <w:jc w:val="center"/>
        <w:rPr>
          <w:rFonts w:asciiTheme="minorHAnsi" w:hAnsiTheme="minorHAnsi" w:cstheme="minorHAnsi"/>
          <w:b/>
          <w:bCs/>
          <w:sz w:val="20"/>
          <w:szCs w:val="20"/>
        </w:rPr>
      </w:pPr>
    </w:p>
    <w:p w14:paraId="38CBAFB6" w14:textId="36A41A68" w:rsidR="00D95658" w:rsidRPr="00EB2E7B" w:rsidRDefault="00D95658" w:rsidP="00252AFD">
      <w:pPr>
        <w:pStyle w:val="Nagwek1"/>
        <w:numPr>
          <w:ilvl w:val="0"/>
          <w:numId w:val="0"/>
        </w:numPr>
        <w:jc w:val="center"/>
        <w:rPr>
          <w:rFonts w:asciiTheme="minorHAnsi" w:hAnsiTheme="minorHAnsi" w:cstheme="minorHAnsi"/>
          <w:sz w:val="20"/>
          <w:szCs w:val="20"/>
        </w:rPr>
      </w:pPr>
      <w:bookmarkStart w:id="770" w:name="_Toc189833855"/>
      <w:bookmarkStart w:id="771" w:name="_Toc239333455"/>
      <w:r w:rsidRPr="00EB2E7B">
        <w:rPr>
          <w:rFonts w:asciiTheme="minorHAnsi" w:hAnsiTheme="minorHAnsi" w:cstheme="minorHAnsi"/>
          <w:sz w:val="20"/>
          <w:szCs w:val="20"/>
        </w:rPr>
        <w:t xml:space="preserve">SZCZEGÓŁOWE WYMAGANIA TECHNICZNE DLA JEDNOSTEK WYTWÓRCZYCH </w:t>
      </w:r>
      <w:r w:rsidR="001976CA" w:rsidRPr="00EB2E7B">
        <w:rPr>
          <w:rFonts w:asciiTheme="minorHAnsi" w:hAnsiTheme="minorHAnsi" w:cstheme="minorHAnsi"/>
          <w:sz w:val="20"/>
          <w:szCs w:val="20"/>
        </w:rPr>
        <w:t xml:space="preserve">ORAZ MAGAZYNÓW ENERGII ELEKTRYCZNEJ </w:t>
      </w:r>
      <w:r w:rsidRPr="00EB2E7B">
        <w:rPr>
          <w:rFonts w:asciiTheme="minorHAnsi" w:hAnsiTheme="minorHAnsi" w:cstheme="minorHAnsi"/>
          <w:sz w:val="20"/>
          <w:szCs w:val="20"/>
        </w:rPr>
        <w:t>PRZYŁĄCZANYCH JAK I PRZYŁĄCZONYCH DO SIECI DYSTRYBUCYJNEJ ACPRO</w:t>
      </w:r>
      <w:bookmarkEnd w:id="770"/>
      <w:bookmarkEnd w:id="771"/>
    </w:p>
    <w:p w14:paraId="7920B7F9" w14:textId="77777777" w:rsidR="00CF2906" w:rsidRPr="00EB2E7B" w:rsidRDefault="00CF2906"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2C0D08A4" w14:textId="7651E49C" w:rsidR="002C2CAA" w:rsidRPr="00EB2E7B" w:rsidRDefault="000669D5" w:rsidP="00776007">
      <w:pPr>
        <w:pStyle w:val="ANagwek2"/>
        <w:numPr>
          <w:ilvl w:val="6"/>
          <w:numId w:val="384"/>
        </w:numPr>
        <w:ind w:left="1134" w:hanging="1134"/>
        <w:rPr>
          <w:rFonts w:asciiTheme="minorHAnsi" w:hAnsiTheme="minorHAnsi" w:cstheme="minorHAnsi"/>
          <w:sz w:val="20"/>
          <w:szCs w:val="20"/>
        </w:rPr>
      </w:pPr>
      <w:bookmarkStart w:id="772" w:name="_Toc189833856"/>
      <w:bookmarkStart w:id="773" w:name="_Toc239333456"/>
      <w:r w:rsidRPr="00EB2E7B">
        <w:rPr>
          <w:rFonts w:asciiTheme="minorHAnsi" w:hAnsiTheme="minorHAnsi" w:cstheme="minorHAnsi"/>
          <w:sz w:val="20"/>
          <w:szCs w:val="20"/>
        </w:rPr>
        <w:lastRenderedPageBreak/>
        <w:t>POSTANOWIENIA OGÓLNE</w:t>
      </w:r>
      <w:bookmarkEnd w:id="772"/>
      <w:bookmarkEnd w:id="773"/>
    </w:p>
    <w:p w14:paraId="5D41FD85" w14:textId="57C3ED41" w:rsidR="00CD3C50" w:rsidRPr="00EB2E7B" w:rsidRDefault="00CD3C50" w:rsidP="004854C6">
      <w:pPr>
        <w:pStyle w:val="ANagwek3"/>
        <w:numPr>
          <w:ilvl w:val="1"/>
          <w:numId w:val="431"/>
        </w:numPr>
        <w:rPr>
          <w:rFonts w:asciiTheme="minorHAnsi" w:hAnsiTheme="minorHAnsi" w:cstheme="minorHAnsi"/>
          <w:sz w:val="20"/>
          <w:szCs w:val="20"/>
        </w:rPr>
      </w:pPr>
      <w:r w:rsidRPr="00EB2E7B">
        <w:rPr>
          <w:rFonts w:asciiTheme="minorHAnsi" w:hAnsiTheme="minorHAnsi" w:cstheme="minorHAnsi"/>
          <w:sz w:val="20"/>
          <w:szCs w:val="20"/>
        </w:rPr>
        <w:t xml:space="preserve">Wymagania zawarte w niniejszym załączniku dotyczą jednostek wytwórczych przyłączanych </w:t>
      </w:r>
      <w:r w:rsidR="00372588" w:rsidRPr="00EB2E7B">
        <w:rPr>
          <w:rFonts w:asciiTheme="minorHAnsi" w:hAnsiTheme="minorHAnsi" w:cstheme="minorHAnsi"/>
          <w:sz w:val="20"/>
          <w:szCs w:val="20"/>
        </w:rPr>
        <w:t xml:space="preserve">lub przyłączonych </w:t>
      </w:r>
      <w:r w:rsidRPr="00EB2E7B">
        <w:rPr>
          <w:rFonts w:asciiTheme="minorHAnsi" w:hAnsiTheme="minorHAnsi" w:cstheme="minorHAnsi"/>
          <w:sz w:val="20"/>
          <w:szCs w:val="20"/>
        </w:rPr>
        <w:t>do sieci dystrybucyjnej ACPRO</w:t>
      </w:r>
      <w:r w:rsidR="003C0521" w:rsidRPr="00EB2E7B">
        <w:rPr>
          <w:rFonts w:asciiTheme="minorHAnsi" w:hAnsiTheme="minorHAnsi" w:cstheme="minorHAnsi"/>
          <w:sz w:val="20"/>
          <w:szCs w:val="20"/>
        </w:rPr>
        <w:t xml:space="preserve"> , z zastrzeżeniem pkt </w:t>
      </w:r>
      <w:r w:rsidR="00CC283B" w:rsidRPr="00EB2E7B">
        <w:rPr>
          <w:rFonts w:asciiTheme="minorHAnsi" w:hAnsiTheme="minorHAnsi" w:cstheme="minorHAnsi"/>
          <w:sz w:val="20"/>
          <w:szCs w:val="20"/>
        </w:rPr>
        <w:fldChar w:fldCharType="begin"/>
      </w:r>
      <w:r w:rsidR="00CC283B" w:rsidRPr="00EB2E7B">
        <w:rPr>
          <w:rFonts w:asciiTheme="minorHAnsi" w:hAnsiTheme="minorHAnsi" w:cstheme="minorHAnsi"/>
          <w:sz w:val="20"/>
          <w:szCs w:val="20"/>
        </w:rPr>
        <w:instrText xml:space="preserve"> REF _Ref75433275 \r \h  \* MERGEFORMAT </w:instrText>
      </w:r>
      <w:r w:rsidR="00CC283B" w:rsidRPr="00EB2E7B">
        <w:rPr>
          <w:rFonts w:asciiTheme="minorHAnsi" w:hAnsiTheme="minorHAnsi" w:cstheme="minorHAnsi"/>
          <w:sz w:val="20"/>
          <w:szCs w:val="20"/>
        </w:rPr>
      </w:r>
      <w:r w:rsidR="00CC283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II.4.1.5</w:t>
      </w:r>
      <w:r w:rsidR="00CC283B" w:rsidRPr="00EB2E7B">
        <w:rPr>
          <w:rFonts w:asciiTheme="minorHAnsi" w:hAnsiTheme="minorHAnsi" w:cstheme="minorHAnsi"/>
          <w:sz w:val="20"/>
          <w:szCs w:val="20"/>
        </w:rPr>
        <w:fldChar w:fldCharType="end"/>
      </w:r>
      <w:r w:rsidR="00CC283B" w:rsidRPr="00EB2E7B">
        <w:rPr>
          <w:rFonts w:asciiTheme="minorHAnsi" w:hAnsiTheme="minorHAnsi" w:cstheme="minorHAnsi"/>
          <w:sz w:val="20"/>
          <w:szCs w:val="20"/>
        </w:rPr>
        <w:t xml:space="preserve"> </w:t>
      </w:r>
      <w:r w:rsidR="003C0521" w:rsidRPr="00EB2E7B">
        <w:rPr>
          <w:rFonts w:asciiTheme="minorHAnsi" w:hAnsiTheme="minorHAnsi" w:cstheme="minorHAnsi"/>
          <w:sz w:val="20"/>
          <w:szCs w:val="20"/>
        </w:rPr>
        <w:t xml:space="preserve">– </w:t>
      </w:r>
      <w:r w:rsidR="00CC283B" w:rsidRPr="00EB2E7B">
        <w:rPr>
          <w:rFonts w:asciiTheme="minorHAnsi" w:hAnsiTheme="minorHAnsi" w:cstheme="minorHAnsi"/>
          <w:sz w:val="20"/>
          <w:szCs w:val="20"/>
        </w:rPr>
        <w:fldChar w:fldCharType="begin"/>
      </w:r>
      <w:r w:rsidR="00CC283B" w:rsidRPr="00EB2E7B">
        <w:rPr>
          <w:rFonts w:asciiTheme="minorHAnsi" w:hAnsiTheme="minorHAnsi" w:cstheme="minorHAnsi"/>
          <w:sz w:val="20"/>
          <w:szCs w:val="20"/>
        </w:rPr>
        <w:instrText xml:space="preserve"> REF _Ref75433283 \r \h  \* MERGEFORMAT </w:instrText>
      </w:r>
      <w:r w:rsidR="00CC283B" w:rsidRPr="00EB2E7B">
        <w:rPr>
          <w:rFonts w:asciiTheme="minorHAnsi" w:hAnsiTheme="minorHAnsi" w:cstheme="minorHAnsi"/>
          <w:sz w:val="20"/>
          <w:szCs w:val="20"/>
        </w:rPr>
      </w:r>
      <w:r w:rsidR="00CC283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II.4.1.6</w:t>
      </w:r>
      <w:r w:rsidR="00CC283B" w:rsidRPr="00EB2E7B">
        <w:rPr>
          <w:rFonts w:asciiTheme="minorHAnsi" w:hAnsiTheme="minorHAnsi" w:cstheme="minorHAnsi"/>
          <w:sz w:val="20"/>
          <w:szCs w:val="20"/>
        </w:rPr>
        <w:fldChar w:fldCharType="end"/>
      </w:r>
      <w:r w:rsidR="003C0521" w:rsidRPr="00EB2E7B">
        <w:rPr>
          <w:rFonts w:asciiTheme="minorHAnsi" w:hAnsiTheme="minorHAnsi" w:cstheme="minorHAnsi"/>
          <w:sz w:val="20"/>
          <w:szCs w:val="20"/>
        </w:rPr>
        <w:t xml:space="preserve"> </w:t>
      </w:r>
      <w:proofErr w:type="spellStart"/>
      <w:r w:rsidR="003C0521" w:rsidRPr="00EB2E7B">
        <w:rPr>
          <w:rFonts w:asciiTheme="minorHAnsi" w:hAnsiTheme="minorHAnsi" w:cstheme="minorHAnsi"/>
          <w:sz w:val="20"/>
          <w:szCs w:val="20"/>
        </w:rPr>
        <w:t>IRiESD</w:t>
      </w:r>
      <w:proofErr w:type="spellEnd"/>
      <w:r w:rsidR="003C0521" w:rsidRPr="00EB2E7B">
        <w:rPr>
          <w:rFonts w:asciiTheme="minorHAnsi" w:hAnsiTheme="minorHAnsi" w:cstheme="minorHAnsi"/>
          <w:sz w:val="20"/>
          <w:szCs w:val="20"/>
        </w:rPr>
        <w:t xml:space="preserve"> oraz magazynów energii elektrycznej przyłączanych lub przyłączonych do sieci dystrybucyjnej. Przyłączone do sieci jednostki wytwórcze oraz magazyny energii elektrycznej muszą spełniać wymagania zawarte w niniejszym załączniku po ich remoncie lub modernizacji., których zakres obejmuje również urządzenia lub instalacje wchodzące w skład jednostki wytwórczej lub magazyny energii elektrycznej nie spełniających tych wymagań</w:t>
      </w:r>
      <w:r w:rsidRPr="00EB2E7B">
        <w:rPr>
          <w:rFonts w:asciiTheme="minorHAnsi" w:hAnsiTheme="minorHAnsi" w:cstheme="minorHAnsi"/>
          <w:sz w:val="20"/>
          <w:szCs w:val="20"/>
        </w:rPr>
        <w:t>.</w:t>
      </w:r>
    </w:p>
    <w:p w14:paraId="01C8120E" w14:textId="73694E51" w:rsidR="00C30FF1" w:rsidRPr="00EB2E7B" w:rsidRDefault="00CD3C50" w:rsidP="004854C6">
      <w:pPr>
        <w:pStyle w:val="ANagwek3"/>
        <w:numPr>
          <w:ilvl w:val="1"/>
          <w:numId w:val="431"/>
        </w:numPr>
        <w:rPr>
          <w:rFonts w:asciiTheme="minorHAnsi" w:hAnsiTheme="minorHAnsi" w:cstheme="minorHAnsi"/>
          <w:sz w:val="20"/>
          <w:szCs w:val="20"/>
        </w:rPr>
      </w:pPr>
      <w:r w:rsidRPr="00EB2E7B">
        <w:rPr>
          <w:rFonts w:asciiTheme="minorHAnsi" w:hAnsiTheme="minorHAnsi" w:cstheme="minorHAnsi"/>
          <w:sz w:val="20"/>
          <w:szCs w:val="20"/>
        </w:rPr>
        <w:t>ACPRO określa warunki przyłączenia do sieci dla jednostek wytwórczych, w tym ustala do sieci o jakim poziomie napięcia znamionowego należy przyłączyć jednostki wytwórcze, w zależności od wielkości mocy przyłączeniowej i lokalnych warunków pracy sieci dystrybucyjnej oraz z uwzględnieniem wyników ekspertyzy wpływu przyłączanych instalacji na system elektroenergetyczny</w:t>
      </w:r>
      <w:r w:rsidR="00C30FF1" w:rsidRPr="00EB2E7B">
        <w:rPr>
          <w:rFonts w:asciiTheme="minorHAnsi" w:hAnsiTheme="minorHAnsi" w:cstheme="minorHAnsi"/>
          <w:sz w:val="20"/>
          <w:szCs w:val="20"/>
        </w:rPr>
        <w:t>.</w:t>
      </w:r>
    </w:p>
    <w:p w14:paraId="07B67CED" w14:textId="2CBF9D81" w:rsidR="00CD3C50" w:rsidRPr="00EB2E7B" w:rsidRDefault="00C30FF1" w:rsidP="00E164E6">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Powyższe </w:t>
      </w:r>
      <w:r w:rsidR="006D2CE5" w:rsidRPr="00EB2E7B">
        <w:rPr>
          <w:rFonts w:asciiTheme="minorHAnsi" w:hAnsiTheme="minorHAnsi" w:cstheme="minorHAnsi"/>
          <w:sz w:val="20"/>
          <w:szCs w:val="20"/>
        </w:rPr>
        <w:t>wymagania dotyczą również magazynów energii elektrycznej</w:t>
      </w:r>
      <w:r w:rsidR="00CD3C50" w:rsidRPr="00EB2E7B">
        <w:rPr>
          <w:rFonts w:asciiTheme="minorHAnsi" w:hAnsiTheme="minorHAnsi" w:cstheme="minorHAnsi"/>
          <w:sz w:val="20"/>
          <w:szCs w:val="20"/>
        </w:rPr>
        <w:t>.</w:t>
      </w:r>
    </w:p>
    <w:p w14:paraId="7A077CB0" w14:textId="2A1FA3D8" w:rsidR="006D2CE5" w:rsidRPr="00EB2E7B" w:rsidRDefault="0076797B" w:rsidP="004854C6">
      <w:pPr>
        <w:pStyle w:val="ANagwek3"/>
        <w:numPr>
          <w:ilvl w:val="1"/>
          <w:numId w:val="431"/>
        </w:numPr>
        <w:rPr>
          <w:rFonts w:asciiTheme="minorHAnsi" w:hAnsiTheme="minorHAnsi" w:cstheme="minorHAnsi"/>
          <w:sz w:val="20"/>
          <w:szCs w:val="20"/>
        </w:rPr>
      </w:pPr>
      <w:r w:rsidRPr="00EB2E7B">
        <w:rPr>
          <w:rFonts w:asciiTheme="minorHAnsi" w:hAnsiTheme="minorHAnsi" w:cstheme="minorHAnsi"/>
          <w:sz w:val="20"/>
          <w:szCs w:val="20"/>
        </w:rPr>
        <w:t xml:space="preserve">Jednostki wytwórcze o mocy zainstalowanej większej niż 3,68 kW przyłączane są do sieci dystrybucyjnej ACPRO w sposób trójfazowy. </w:t>
      </w:r>
    </w:p>
    <w:p w14:paraId="73C03F5D" w14:textId="5354DF4D" w:rsidR="00CD3C50" w:rsidRPr="00EB2E7B" w:rsidRDefault="00CD3C50" w:rsidP="004854C6">
      <w:pPr>
        <w:pStyle w:val="ANagwek3"/>
        <w:numPr>
          <w:ilvl w:val="1"/>
          <w:numId w:val="431"/>
        </w:numPr>
        <w:rPr>
          <w:rFonts w:asciiTheme="minorHAnsi" w:hAnsiTheme="minorHAnsi" w:cstheme="minorHAnsi"/>
          <w:sz w:val="20"/>
          <w:szCs w:val="20"/>
        </w:rPr>
      </w:pPr>
      <w:r w:rsidRPr="00EB2E7B">
        <w:rPr>
          <w:rFonts w:asciiTheme="minorHAnsi" w:hAnsiTheme="minorHAnsi" w:cstheme="minorHAnsi"/>
          <w:sz w:val="20"/>
          <w:szCs w:val="20"/>
        </w:rPr>
        <w:t>Sposób przyłączenia jednostek wytwórczych do sieci dystrybucyjnej, powinien umożliwiać ich odłączenie oraz stworzenie przerwy izolacyjnej, w sposób nieograniczony dla ACPRO.</w:t>
      </w:r>
    </w:p>
    <w:p w14:paraId="4F0C4D07" w14:textId="56B8B6E7" w:rsidR="005612D3" w:rsidRPr="00EB2E7B" w:rsidRDefault="00311059" w:rsidP="004854C6">
      <w:pPr>
        <w:pStyle w:val="ANagwek3"/>
        <w:numPr>
          <w:ilvl w:val="1"/>
          <w:numId w:val="431"/>
        </w:numPr>
        <w:rPr>
          <w:rFonts w:asciiTheme="minorHAnsi" w:hAnsiTheme="minorHAnsi" w:cstheme="minorHAnsi"/>
          <w:sz w:val="20"/>
          <w:szCs w:val="20"/>
        </w:rPr>
      </w:pPr>
      <w:r w:rsidRPr="00EB2E7B">
        <w:rPr>
          <w:rFonts w:asciiTheme="minorHAnsi" w:hAnsiTheme="minorHAnsi" w:cstheme="minorHAnsi"/>
          <w:sz w:val="20"/>
          <w:szCs w:val="20"/>
        </w:rPr>
        <w:t>Jednostki wytwórcze o mocy osiągalnej powyżej 200 k</w:t>
      </w:r>
      <w:r w:rsidR="00B03E85" w:rsidRPr="00EB2E7B">
        <w:rPr>
          <w:rFonts w:asciiTheme="minorHAnsi" w:hAnsiTheme="minorHAnsi" w:cstheme="minorHAnsi"/>
          <w:sz w:val="20"/>
          <w:szCs w:val="20"/>
        </w:rPr>
        <w:t>W</w:t>
      </w:r>
      <w:r w:rsidRPr="00EB2E7B">
        <w:rPr>
          <w:rFonts w:asciiTheme="minorHAnsi" w:hAnsiTheme="minorHAnsi" w:cstheme="minorHAnsi"/>
          <w:sz w:val="20"/>
          <w:szCs w:val="20"/>
        </w:rPr>
        <w:t xml:space="preserve"> przyłączane do sieci dystrybucyjnej, powinny być zautomatyzowane i dostosowane do zdalnego sterowania. ACPRO decyduje o konieczności wyposażenia łącznika sprzęgającego jednostkę wytwórczą z siecią dystrybucyjną w urządzenia umożliwiające zdalne sterowanie.</w:t>
      </w:r>
    </w:p>
    <w:p w14:paraId="303B428D" w14:textId="4C4004FD" w:rsidR="00CD3C50" w:rsidRPr="00EB2E7B" w:rsidRDefault="00CD3C50" w:rsidP="004854C6">
      <w:pPr>
        <w:pStyle w:val="ANagwek3"/>
        <w:numPr>
          <w:ilvl w:val="1"/>
          <w:numId w:val="431"/>
        </w:numPr>
        <w:rPr>
          <w:rFonts w:asciiTheme="minorHAnsi" w:hAnsiTheme="minorHAnsi" w:cstheme="minorHAnsi"/>
          <w:sz w:val="20"/>
          <w:szCs w:val="20"/>
        </w:rPr>
      </w:pPr>
      <w:r w:rsidRPr="00EB2E7B">
        <w:rPr>
          <w:rFonts w:asciiTheme="minorHAnsi" w:hAnsiTheme="minorHAnsi" w:cstheme="minorHAnsi"/>
          <w:sz w:val="20"/>
          <w:szCs w:val="20"/>
        </w:rPr>
        <w:t>Praca wyspowa jednostek wytwórczych jest możliwa jedynie na wyspę urządzeń tego wytwórcy, o ile uwzględniono to w warunkach przyłączenia.</w:t>
      </w:r>
    </w:p>
    <w:p w14:paraId="5B2A651E" w14:textId="397150D1" w:rsidR="00CD3C50" w:rsidRPr="00EB2E7B" w:rsidRDefault="00CD3C50" w:rsidP="004854C6">
      <w:pPr>
        <w:pStyle w:val="ANagwek3"/>
        <w:numPr>
          <w:ilvl w:val="1"/>
          <w:numId w:val="431"/>
        </w:numPr>
        <w:rPr>
          <w:rFonts w:asciiTheme="minorHAnsi" w:hAnsiTheme="minorHAnsi" w:cstheme="minorHAnsi"/>
          <w:sz w:val="20"/>
          <w:szCs w:val="20"/>
        </w:rPr>
      </w:pPr>
      <w:r w:rsidRPr="00EB2E7B">
        <w:rPr>
          <w:rFonts w:asciiTheme="minorHAnsi" w:hAnsiTheme="minorHAnsi" w:cstheme="minorHAnsi"/>
          <w:sz w:val="20"/>
          <w:szCs w:val="20"/>
        </w:rPr>
        <w:t>Załączanie nowych lub modernizowanych jednostek wytwórczych do sieci dystrybucyjnej, powinno być poprzedzone przeprowadzeniem prób funkcjonalnych urządzeń w zakresie uzgodnionym z ACPRO i w obecności jego przedstawiciela.</w:t>
      </w:r>
    </w:p>
    <w:p w14:paraId="47927F1F" w14:textId="4708E9DD" w:rsidR="002C2CAA" w:rsidRPr="00EB2E7B" w:rsidRDefault="00CD3C50" w:rsidP="004854C6">
      <w:pPr>
        <w:pStyle w:val="ANagwek3"/>
        <w:numPr>
          <w:ilvl w:val="1"/>
          <w:numId w:val="431"/>
        </w:numPr>
        <w:rPr>
          <w:rFonts w:asciiTheme="minorHAnsi" w:hAnsiTheme="minorHAnsi" w:cstheme="minorHAnsi"/>
          <w:sz w:val="20"/>
          <w:szCs w:val="20"/>
        </w:rPr>
      </w:pPr>
      <w:r w:rsidRPr="00EB2E7B">
        <w:rPr>
          <w:rFonts w:asciiTheme="minorHAnsi" w:hAnsiTheme="minorHAnsi" w:cstheme="minorHAnsi"/>
          <w:sz w:val="20"/>
          <w:szCs w:val="20"/>
        </w:rPr>
        <w:t xml:space="preserve">Instalacja odnawialnego źródła energii wykorzystywana przez Prosumenta, Prosumenta zbiorowego lub Prosumenta wirtualnego powinna spełniać wymogi określone dla jednostek wytwórczych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oraz w przepisach odrębnych.</w:t>
      </w:r>
    </w:p>
    <w:p w14:paraId="7C981506" w14:textId="77777777" w:rsidR="00CD3C50" w:rsidRPr="00EB2E7B" w:rsidRDefault="00CD3C50" w:rsidP="005D19E7">
      <w:pPr>
        <w:ind w:left="70" w:firstLine="0"/>
        <w:rPr>
          <w:rFonts w:asciiTheme="minorHAnsi" w:hAnsiTheme="minorHAnsi" w:cstheme="minorHAnsi"/>
          <w:sz w:val="20"/>
          <w:szCs w:val="20"/>
        </w:rPr>
      </w:pPr>
    </w:p>
    <w:p w14:paraId="5D49DA3F" w14:textId="7A8BD29B" w:rsidR="00CD3C50" w:rsidRPr="00EB2E7B" w:rsidRDefault="0071506B" w:rsidP="00322026">
      <w:pPr>
        <w:pStyle w:val="ANagwek2"/>
        <w:numPr>
          <w:ilvl w:val="6"/>
          <w:numId w:val="384"/>
        </w:numPr>
        <w:ind w:left="1134" w:hanging="1134"/>
        <w:rPr>
          <w:rFonts w:asciiTheme="minorHAnsi" w:hAnsiTheme="minorHAnsi" w:cstheme="minorHAnsi"/>
          <w:sz w:val="20"/>
          <w:szCs w:val="20"/>
        </w:rPr>
      </w:pPr>
      <w:bookmarkStart w:id="774" w:name="_Toc189833857"/>
      <w:bookmarkStart w:id="775" w:name="_Toc239333457"/>
      <w:r w:rsidRPr="00EB2E7B">
        <w:rPr>
          <w:rFonts w:asciiTheme="minorHAnsi" w:hAnsiTheme="minorHAnsi" w:cstheme="minorHAnsi"/>
          <w:sz w:val="20"/>
          <w:szCs w:val="20"/>
        </w:rPr>
        <w:lastRenderedPageBreak/>
        <w:t>URZĄDZENIA ŁĄCZENIOWE</w:t>
      </w:r>
      <w:bookmarkEnd w:id="774"/>
      <w:bookmarkEnd w:id="775"/>
    </w:p>
    <w:p w14:paraId="6CAB5E25" w14:textId="77777777" w:rsidR="00C3189F" w:rsidRPr="00EB2E7B" w:rsidRDefault="009669D7" w:rsidP="004854C6">
      <w:pPr>
        <w:pStyle w:val="ANagwek3"/>
        <w:numPr>
          <w:ilvl w:val="1"/>
          <w:numId w:val="432"/>
        </w:numPr>
        <w:rPr>
          <w:rFonts w:asciiTheme="minorHAnsi" w:hAnsiTheme="minorHAnsi" w:cstheme="minorHAnsi"/>
          <w:sz w:val="20"/>
          <w:szCs w:val="20"/>
        </w:rPr>
      </w:pPr>
      <w:bookmarkStart w:id="776" w:name="_Ref190163865"/>
      <w:r w:rsidRPr="00EB2E7B">
        <w:rPr>
          <w:rFonts w:asciiTheme="minorHAnsi" w:hAnsiTheme="minorHAnsi" w:cstheme="minorHAnsi"/>
          <w:sz w:val="20"/>
          <w:szCs w:val="20"/>
        </w:rPr>
        <w:t>Jednostki wytwórcze muszą posiadać następujące urządzenia łączeniowe:</w:t>
      </w:r>
      <w:bookmarkEnd w:id="776"/>
    </w:p>
    <w:p w14:paraId="0376B45E" w14:textId="1DD3DA94" w:rsidR="00967F98" w:rsidRPr="00EB2E7B" w:rsidRDefault="00967F98" w:rsidP="00322026">
      <w:pPr>
        <w:pStyle w:val="Akapitzlist"/>
        <w:numPr>
          <w:ilvl w:val="7"/>
          <w:numId w:val="85"/>
        </w:numPr>
        <w:spacing w:line="266" w:lineRule="auto"/>
        <w:ind w:left="1134" w:hanging="1134"/>
        <w:contextualSpacing w:val="0"/>
        <w:rPr>
          <w:rFonts w:asciiTheme="minorHAnsi" w:hAnsiTheme="minorHAnsi" w:cstheme="minorHAnsi"/>
          <w:sz w:val="20"/>
          <w:szCs w:val="20"/>
        </w:rPr>
      </w:pPr>
      <w:bookmarkStart w:id="777" w:name="_Ref190164103"/>
      <w:r w:rsidRPr="00EB2E7B">
        <w:rPr>
          <w:rFonts w:asciiTheme="minorHAnsi" w:hAnsiTheme="minorHAnsi" w:cstheme="minorHAnsi"/>
          <w:sz w:val="20"/>
          <w:szCs w:val="20"/>
        </w:rPr>
        <w:t>łącznik dostosowany do wyłączania jednostki wytwórczej,</w:t>
      </w:r>
      <w:bookmarkEnd w:id="777"/>
    </w:p>
    <w:p w14:paraId="11C4048C" w14:textId="2650C84B" w:rsidR="001070E9" w:rsidRPr="00EB2E7B" w:rsidRDefault="00967F98" w:rsidP="00322026">
      <w:pPr>
        <w:pStyle w:val="Akapitzlist"/>
        <w:numPr>
          <w:ilvl w:val="7"/>
          <w:numId w:val="85"/>
        </w:numPr>
        <w:spacing w:line="266" w:lineRule="auto"/>
        <w:ind w:left="1134" w:hanging="1134"/>
        <w:contextualSpacing w:val="0"/>
        <w:rPr>
          <w:rFonts w:asciiTheme="minorHAnsi" w:hAnsiTheme="minorHAnsi" w:cstheme="minorHAnsi"/>
          <w:sz w:val="20"/>
          <w:szCs w:val="20"/>
        </w:rPr>
      </w:pPr>
      <w:r w:rsidRPr="00EB2E7B">
        <w:rPr>
          <w:rFonts w:asciiTheme="minorHAnsi" w:hAnsiTheme="minorHAnsi" w:cstheme="minorHAnsi"/>
          <w:sz w:val="20"/>
          <w:szCs w:val="20"/>
        </w:rPr>
        <w:t>łącznik do odłączania jednostki wytwórczej i stwarzania przerwy izolacyjnej.</w:t>
      </w:r>
    </w:p>
    <w:p w14:paraId="088B4E43" w14:textId="77777777" w:rsidR="00995FDC" w:rsidRPr="00EB2E7B" w:rsidRDefault="00995FDC" w:rsidP="001C4502">
      <w:pPr>
        <w:ind w:left="1134" w:firstLine="0"/>
        <w:rPr>
          <w:rFonts w:asciiTheme="minorHAnsi" w:hAnsiTheme="minorHAnsi" w:cstheme="minorHAnsi"/>
          <w:sz w:val="20"/>
          <w:szCs w:val="20"/>
        </w:rPr>
      </w:pPr>
      <w:r w:rsidRPr="00EB2E7B">
        <w:rPr>
          <w:rFonts w:asciiTheme="minorHAnsi" w:hAnsiTheme="minorHAnsi" w:cstheme="minorHAnsi"/>
          <w:sz w:val="20"/>
          <w:szCs w:val="20"/>
        </w:rPr>
        <w:t>Jeśli w skład jednostki wytwórczej wchodzi transformator, to łączniki te powinny być zainstalowane od strony sieci, z którą jednostka wytwórcza współpracuje.</w:t>
      </w:r>
    </w:p>
    <w:p w14:paraId="50C7ECF8" w14:textId="211DB383" w:rsidR="00967F98" w:rsidRPr="00EB2E7B" w:rsidRDefault="00995FDC" w:rsidP="001C4502">
      <w:pPr>
        <w:ind w:left="1134" w:firstLine="0"/>
        <w:rPr>
          <w:rFonts w:asciiTheme="minorHAnsi" w:hAnsiTheme="minorHAnsi" w:cstheme="minorHAnsi"/>
          <w:sz w:val="20"/>
          <w:szCs w:val="20"/>
        </w:rPr>
      </w:pPr>
      <w:r w:rsidRPr="00EB2E7B">
        <w:rPr>
          <w:rFonts w:asciiTheme="minorHAnsi" w:hAnsiTheme="minorHAnsi" w:cstheme="minorHAnsi"/>
          <w:sz w:val="20"/>
          <w:szCs w:val="20"/>
        </w:rPr>
        <w:t>Dopuszcza się w uzasadnionych przypadkach stosowanie wspólnych obu wymienionych łączników lub jednego z nich dla grupy jednostek wytwórczych przyłączanych do sieci, jeśli to nie wpłynie na pogorszenie warunków zasilania odbiorców.</w:t>
      </w:r>
    </w:p>
    <w:p w14:paraId="0746888E" w14:textId="75315D66" w:rsidR="005C152E" w:rsidRPr="00EB2E7B" w:rsidRDefault="005C152E" w:rsidP="004854C6">
      <w:pPr>
        <w:pStyle w:val="ANagwek3"/>
        <w:numPr>
          <w:ilvl w:val="1"/>
          <w:numId w:val="432"/>
        </w:numPr>
        <w:rPr>
          <w:rFonts w:asciiTheme="minorHAnsi" w:hAnsiTheme="minorHAnsi" w:cstheme="minorHAnsi"/>
          <w:sz w:val="20"/>
          <w:szCs w:val="20"/>
        </w:rPr>
      </w:pPr>
      <w:bookmarkStart w:id="778" w:name="_Ref190163869"/>
      <w:r w:rsidRPr="00EB2E7B">
        <w:rPr>
          <w:rFonts w:asciiTheme="minorHAnsi" w:hAnsiTheme="minorHAnsi" w:cstheme="minorHAnsi"/>
          <w:sz w:val="20"/>
          <w:szCs w:val="20"/>
        </w:rPr>
        <w:t xml:space="preserve">W przypadku, gdy </w:t>
      </w:r>
      <w:r w:rsidR="0083236A" w:rsidRPr="00EB2E7B">
        <w:rPr>
          <w:rFonts w:asciiTheme="minorHAnsi" w:hAnsiTheme="minorHAnsi" w:cstheme="minorHAnsi"/>
          <w:sz w:val="20"/>
          <w:szCs w:val="20"/>
        </w:rPr>
        <w:t xml:space="preserve">w układzie sieci </w:t>
      </w:r>
      <w:r w:rsidRPr="00EB2E7B">
        <w:rPr>
          <w:rFonts w:asciiTheme="minorHAnsi" w:hAnsiTheme="minorHAnsi" w:cstheme="minorHAnsi"/>
          <w:sz w:val="20"/>
          <w:szCs w:val="20"/>
        </w:rPr>
        <w:t>jest możliwa praca wyspowa jednostki wytwórczej na wyspę urządzeń tego wytwórcy, musi ona posiadać dodatkowy łącznik dostosowany do oddzielenia wyspy od</w:t>
      </w:r>
      <w:r w:rsidR="006477BC" w:rsidRPr="00EB2E7B">
        <w:rPr>
          <w:rFonts w:asciiTheme="minorHAnsi" w:hAnsiTheme="minorHAnsi" w:cstheme="minorHAnsi"/>
          <w:sz w:val="20"/>
          <w:szCs w:val="20"/>
        </w:rPr>
        <w:t xml:space="preserve"> pozostałej części</w:t>
      </w:r>
      <w:r w:rsidRPr="00EB2E7B">
        <w:rPr>
          <w:rFonts w:asciiTheme="minorHAnsi" w:hAnsiTheme="minorHAnsi" w:cstheme="minorHAnsi"/>
          <w:sz w:val="20"/>
          <w:szCs w:val="20"/>
        </w:rPr>
        <w:t xml:space="preserve"> sieci dystrybucyjnej, wyposażony w system zdalnego sterowania z odwzorowaniem jego stanu pracy.</w:t>
      </w:r>
      <w:bookmarkEnd w:id="778"/>
    </w:p>
    <w:p w14:paraId="3D06444B" w14:textId="760F4DF0" w:rsidR="00E7532E" w:rsidRPr="00EB2E7B" w:rsidRDefault="00794F79" w:rsidP="004854C6">
      <w:pPr>
        <w:pStyle w:val="ANagwek3"/>
        <w:numPr>
          <w:ilvl w:val="1"/>
          <w:numId w:val="432"/>
        </w:numPr>
        <w:rPr>
          <w:rFonts w:asciiTheme="minorHAnsi" w:hAnsiTheme="minorHAnsi" w:cstheme="minorHAnsi"/>
          <w:sz w:val="20"/>
          <w:szCs w:val="20"/>
        </w:rPr>
      </w:pPr>
      <w:r w:rsidRPr="00EB2E7B">
        <w:rPr>
          <w:rFonts w:asciiTheme="minorHAnsi" w:hAnsiTheme="minorHAnsi" w:cstheme="minorHAnsi"/>
          <w:sz w:val="20"/>
          <w:szCs w:val="20"/>
        </w:rPr>
        <w:t xml:space="preserve">ACPRO </w:t>
      </w:r>
      <w:r w:rsidR="00E7532E" w:rsidRPr="00EB2E7B">
        <w:rPr>
          <w:rFonts w:asciiTheme="minorHAnsi" w:hAnsiTheme="minorHAnsi" w:cstheme="minorHAnsi"/>
          <w:sz w:val="20"/>
          <w:szCs w:val="20"/>
        </w:rPr>
        <w:t xml:space="preserve">koordynuje pracę łączników, o którym mowa w pkt. </w:t>
      </w:r>
      <w:r w:rsidR="00373B36" w:rsidRPr="00EB2E7B">
        <w:rPr>
          <w:rFonts w:asciiTheme="minorHAnsi" w:hAnsiTheme="minorHAnsi" w:cstheme="minorHAnsi"/>
          <w:sz w:val="20"/>
          <w:szCs w:val="20"/>
        </w:rPr>
        <w:fldChar w:fldCharType="begin"/>
      </w:r>
      <w:r w:rsidR="00373B36" w:rsidRPr="00EB2E7B">
        <w:rPr>
          <w:rFonts w:asciiTheme="minorHAnsi" w:hAnsiTheme="minorHAnsi" w:cstheme="minorHAnsi"/>
          <w:sz w:val="20"/>
          <w:szCs w:val="20"/>
        </w:rPr>
        <w:instrText xml:space="preserve"> REF _Ref190163865 \r \h </w:instrText>
      </w:r>
      <w:r w:rsidR="00633BE2" w:rsidRPr="00EB2E7B">
        <w:rPr>
          <w:rFonts w:asciiTheme="minorHAnsi" w:hAnsiTheme="minorHAnsi" w:cstheme="minorHAnsi"/>
          <w:sz w:val="20"/>
          <w:szCs w:val="20"/>
        </w:rPr>
        <w:instrText xml:space="preserve"> \* MERGEFORMAT </w:instrText>
      </w:r>
      <w:r w:rsidR="00373B36" w:rsidRPr="00EB2E7B">
        <w:rPr>
          <w:rFonts w:asciiTheme="minorHAnsi" w:hAnsiTheme="minorHAnsi" w:cstheme="minorHAnsi"/>
          <w:sz w:val="20"/>
          <w:szCs w:val="20"/>
        </w:rPr>
      </w:r>
      <w:r w:rsidR="00373B3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2.1</w:t>
      </w:r>
      <w:r w:rsidR="00373B36" w:rsidRPr="00EB2E7B">
        <w:rPr>
          <w:rFonts w:asciiTheme="minorHAnsi" w:hAnsiTheme="minorHAnsi" w:cstheme="minorHAnsi"/>
          <w:sz w:val="20"/>
          <w:szCs w:val="20"/>
        </w:rPr>
        <w:fldChar w:fldCharType="end"/>
      </w:r>
      <w:r w:rsidR="00373B36" w:rsidRPr="00EB2E7B">
        <w:rPr>
          <w:rFonts w:asciiTheme="minorHAnsi" w:hAnsiTheme="minorHAnsi" w:cstheme="minorHAnsi"/>
          <w:sz w:val="20"/>
          <w:szCs w:val="20"/>
        </w:rPr>
        <w:t xml:space="preserve"> i </w:t>
      </w:r>
      <w:r w:rsidR="00373B36" w:rsidRPr="00EB2E7B">
        <w:rPr>
          <w:rFonts w:asciiTheme="minorHAnsi" w:hAnsiTheme="minorHAnsi" w:cstheme="minorHAnsi"/>
          <w:sz w:val="20"/>
          <w:szCs w:val="20"/>
        </w:rPr>
        <w:fldChar w:fldCharType="begin"/>
      </w:r>
      <w:r w:rsidR="00373B36" w:rsidRPr="00EB2E7B">
        <w:rPr>
          <w:rFonts w:asciiTheme="minorHAnsi" w:hAnsiTheme="minorHAnsi" w:cstheme="minorHAnsi"/>
          <w:sz w:val="20"/>
          <w:szCs w:val="20"/>
        </w:rPr>
        <w:instrText xml:space="preserve"> REF _Ref190163869 \r \h </w:instrText>
      </w:r>
      <w:r w:rsidR="00633BE2" w:rsidRPr="00EB2E7B">
        <w:rPr>
          <w:rFonts w:asciiTheme="minorHAnsi" w:hAnsiTheme="minorHAnsi" w:cstheme="minorHAnsi"/>
          <w:sz w:val="20"/>
          <w:szCs w:val="20"/>
        </w:rPr>
        <w:instrText xml:space="preserve"> \* MERGEFORMAT </w:instrText>
      </w:r>
      <w:r w:rsidR="00373B36" w:rsidRPr="00EB2E7B">
        <w:rPr>
          <w:rFonts w:asciiTheme="minorHAnsi" w:hAnsiTheme="minorHAnsi" w:cstheme="minorHAnsi"/>
          <w:sz w:val="20"/>
          <w:szCs w:val="20"/>
        </w:rPr>
      </w:r>
      <w:r w:rsidR="00373B3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2.2</w:t>
      </w:r>
      <w:r w:rsidR="00373B36" w:rsidRPr="00EB2E7B">
        <w:rPr>
          <w:rFonts w:asciiTheme="minorHAnsi" w:hAnsiTheme="minorHAnsi" w:cstheme="minorHAnsi"/>
          <w:sz w:val="20"/>
          <w:szCs w:val="20"/>
        </w:rPr>
        <w:fldChar w:fldCharType="end"/>
      </w:r>
      <w:r w:rsidR="00E7532E" w:rsidRPr="00EB2E7B">
        <w:rPr>
          <w:rFonts w:asciiTheme="minorHAnsi" w:hAnsiTheme="minorHAnsi" w:cstheme="minorHAnsi"/>
          <w:sz w:val="20"/>
          <w:szCs w:val="20"/>
        </w:rPr>
        <w:t>.</w:t>
      </w:r>
      <w:r w:rsidR="002911FA" w:rsidRPr="00EB2E7B">
        <w:rPr>
          <w:rFonts w:asciiTheme="minorHAnsi" w:hAnsiTheme="minorHAnsi" w:cstheme="minorHAnsi"/>
          <w:sz w:val="20"/>
          <w:szCs w:val="20"/>
        </w:rPr>
        <w:t xml:space="preserve"> </w:t>
      </w:r>
      <w:r w:rsidR="00E7532E" w:rsidRPr="00EB2E7B">
        <w:rPr>
          <w:rFonts w:asciiTheme="minorHAnsi" w:hAnsiTheme="minorHAnsi" w:cstheme="minorHAnsi"/>
          <w:sz w:val="20"/>
          <w:szCs w:val="20"/>
        </w:rPr>
        <w:t xml:space="preserve"> </w:t>
      </w:r>
      <w:r w:rsidR="002911FA" w:rsidRPr="00EB2E7B">
        <w:rPr>
          <w:rFonts w:asciiTheme="minorHAnsi" w:hAnsiTheme="minorHAnsi" w:cstheme="minorHAnsi"/>
          <w:sz w:val="20"/>
          <w:szCs w:val="20"/>
        </w:rPr>
        <w:t>oraz</w:t>
      </w:r>
      <w:r w:rsidR="00E7532E" w:rsidRPr="00EB2E7B">
        <w:rPr>
          <w:rFonts w:asciiTheme="minorHAnsi" w:hAnsiTheme="minorHAnsi" w:cstheme="minorHAnsi"/>
          <w:sz w:val="20"/>
          <w:szCs w:val="20"/>
        </w:rPr>
        <w:t xml:space="preserve"> decyduje o konieczności ich wyposażenia w system zdalnego sterowania i odwzorowania stanu pracy. </w:t>
      </w:r>
    </w:p>
    <w:p w14:paraId="0CC39AEE" w14:textId="77777777" w:rsidR="00E7532E" w:rsidRPr="00EB2E7B" w:rsidRDefault="00E7532E" w:rsidP="004854C6">
      <w:pPr>
        <w:pStyle w:val="ANagwek3"/>
        <w:numPr>
          <w:ilvl w:val="1"/>
          <w:numId w:val="432"/>
        </w:numPr>
        <w:rPr>
          <w:rFonts w:asciiTheme="minorHAnsi" w:hAnsiTheme="minorHAnsi" w:cstheme="minorHAnsi"/>
          <w:sz w:val="20"/>
          <w:szCs w:val="20"/>
        </w:rPr>
      </w:pPr>
      <w:r w:rsidRPr="00EB2E7B">
        <w:rPr>
          <w:rFonts w:asciiTheme="minorHAnsi" w:hAnsiTheme="minorHAnsi" w:cstheme="minorHAnsi"/>
          <w:sz w:val="20"/>
          <w:szCs w:val="20"/>
        </w:rPr>
        <w:t xml:space="preserve">Urządzenia łączeniowe jednostek wytwórczych współpracujących z falownikami, powinny być zlokalizowane po stronie prądu przemiennego falownika. </w:t>
      </w:r>
    </w:p>
    <w:p w14:paraId="1910628E" w14:textId="076730DE" w:rsidR="00E7532E" w:rsidRPr="00EB2E7B" w:rsidRDefault="00E7532E" w:rsidP="001C4502">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mikroinstalacji wymagane jest, aby po stronie prądu przemiennego falownika zlokalizowany był co najmniej</w:t>
      </w:r>
      <w:r w:rsidR="00712CF8" w:rsidRPr="00EB2E7B">
        <w:rPr>
          <w:rFonts w:asciiTheme="minorHAnsi" w:hAnsiTheme="minorHAnsi" w:cstheme="minorHAnsi"/>
          <w:sz w:val="20"/>
          <w:szCs w:val="20"/>
        </w:rPr>
        <w:t xml:space="preserve"> jeden</w:t>
      </w:r>
      <w:r w:rsidRPr="00EB2E7B">
        <w:rPr>
          <w:rFonts w:asciiTheme="minorHAnsi" w:hAnsiTheme="minorHAnsi" w:cstheme="minorHAnsi"/>
          <w:sz w:val="20"/>
          <w:szCs w:val="20"/>
        </w:rPr>
        <w:t xml:space="preserve"> rozłącznik izolacyjny odpowiadający drugiej kategorii przepięć.</w:t>
      </w:r>
    </w:p>
    <w:p w14:paraId="57A301D0" w14:textId="54DEA614" w:rsidR="0071506B" w:rsidRPr="00EB2E7B" w:rsidRDefault="00E7532E" w:rsidP="004854C6">
      <w:pPr>
        <w:pStyle w:val="ANagwek3"/>
        <w:numPr>
          <w:ilvl w:val="1"/>
          <w:numId w:val="432"/>
        </w:numPr>
        <w:rPr>
          <w:rFonts w:asciiTheme="minorHAnsi" w:hAnsiTheme="minorHAnsi" w:cstheme="minorHAnsi"/>
          <w:sz w:val="20"/>
          <w:szCs w:val="20"/>
        </w:rPr>
      </w:pPr>
      <w:r w:rsidRPr="00EB2E7B">
        <w:rPr>
          <w:rFonts w:asciiTheme="minorHAnsi" w:hAnsiTheme="minorHAnsi" w:cstheme="minorHAnsi"/>
          <w:sz w:val="20"/>
          <w:szCs w:val="20"/>
        </w:rPr>
        <w:t>Impuls wyłączający przesłany od zabezpieczeń do urządzenia łączeniowego musi powodować bezzwłoczne wyłączenie jednostki wytwórczej przez to urządzenie.</w:t>
      </w:r>
    </w:p>
    <w:p w14:paraId="797AE888" w14:textId="77777777" w:rsidR="00602C79" w:rsidRPr="00EB2E7B" w:rsidRDefault="00602C79" w:rsidP="005D19E7">
      <w:pPr>
        <w:ind w:left="70" w:firstLine="0"/>
        <w:rPr>
          <w:rFonts w:asciiTheme="minorHAnsi" w:hAnsiTheme="minorHAnsi" w:cstheme="minorHAnsi"/>
          <w:sz w:val="20"/>
          <w:szCs w:val="20"/>
        </w:rPr>
      </w:pPr>
    </w:p>
    <w:p w14:paraId="430E336D" w14:textId="1116B42A" w:rsidR="00602C79" w:rsidRPr="00EB2E7B" w:rsidRDefault="000F31ED" w:rsidP="00A270FA">
      <w:pPr>
        <w:pStyle w:val="ANagwek2"/>
        <w:numPr>
          <w:ilvl w:val="6"/>
          <w:numId w:val="384"/>
        </w:numPr>
        <w:ind w:left="1134" w:hanging="1134"/>
        <w:rPr>
          <w:rFonts w:asciiTheme="minorHAnsi" w:hAnsiTheme="minorHAnsi" w:cstheme="minorHAnsi"/>
          <w:sz w:val="20"/>
          <w:szCs w:val="20"/>
        </w:rPr>
      </w:pPr>
      <w:bookmarkStart w:id="779" w:name="_Toc189833858"/>
      <w:bookmarkStart w:id="780" w:name="_Ref190163991"/>
      <w:bookmarkStart w:id="781" w:name="_Toc239333458"/>
      <w:r w:rsidRPr="00EB2E7B">
        <w:rPr>
          <w:rFonts w:asciiTheme="minorHAnsi" w:hAnsiTheme="minorHAnsi" w:cstheme="minorHAnsi"/>
          <w:sz w:val="20"/>
          <w:szCs w:val="20"/>
        </w:rPr>
        <w:t>ZABEZPIECZENIA</w:t>
      </w:r>
      <w:bookmarkEnd w:id="779"/>
      <w:bookmarkEnd w:id="780"/>
      <w:bookmarkEnd w:id="781"/>
    </w:p>
    <w:p w14:paraId="2F7BCF9F" w14:textId="3A539AEA" w:rsidR="00327199" w:rsidRPr="00EB2E7B" w:rsidRDefault="00DF2C63"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Jednostki wytwórcze, stosownie do rodzaju, powinny być wyposażone w zabezpieczenia zgodnie z zapisami pkt. </w:t>
      </w:r>
      <w:r w:rsidR="00633BE2" w:rsidRPr="00EB2E7B">
        <w:rPr>
          <w:rFonts w:asciiTheme="minorHAnsi" w:hAnsiTheme="minorHAnsi" w:cstheme="minorHAnsi"/>
          <w:sz w:val="20"/>
          <w:szCs w:val="20"/>
        </w:rPr>
        <w:fldChar w:fldCharType="begin"/>
      </w:r>
      <w:r w:rsidR="00633BE2" w:rsidRPr="00EB2E7B">
        <w:rPr>
          <w:rFonts w:asciiTheme="minorHAnsi" w:hAnsiTheme="minorHAnsi" w:cstheme="minorHAnsi"/>
          <w:sz w:val="20"/>
          <w:szCs w:val="20"/>
        </w:rPr>
        <w:instrText xml:space="preserve"> REF _Ref190079610 \r \h </w:instrText>
      </w:r>
      <w:r w:rsidR="00C94DCC" w:rsidRPr="00EB2E7B">
        <w:rPr>
          <w:rFonts w:asciiTheme="minorHAnsi" w:hAnsiTheme="minorHAnsi" w:cstheme="minorHAnsi"/>
          <w:sz w:val="20"/>
          <w:szCs w:val="20"/>
        </w:rPr>
        <w:instrText xml:space="preserve"> \* MERGEFORMAT </w:instrText>
      </w:r>
      <w:r w:rsidR="00633BE2" w:rsidRPr="00EB2E7B">
        <w:rPr>
          <w:rFonts w:asciiTheme="minorHAnsi" w:hAnsiTheme="minorHAnsi" w:cstheme="minorHAnsi"/>
          <w:sz w:val="20"/>
          <w:szCs w:val="20"/>
        </w:rPr>
      </w:r>
      <w:r w:rsidR="00633BE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II.4.5</w:t>
      </w:r>
      <w:r w:rsidR="00633BE2" w:rsidRPr="00EB2E7B">
        <w:rPr>
          <w:rFonts w:asciiTheme="minorHAnsi" w:hAnsiTheme="minorHAnsi" w:cstheme="minorHAnsi"/>
          <w:sz w:val="20"/>
          <w:szCs w:val="20"/>
        </w:rPr>
        <w:fldChar w:fldCharType="end"/>
      </w:r>
      <w:r w:rsidR="00633BE2"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oraz pkt.</w:t>
      </w:r>
      <w:r w:rsidR="00D04DF3" w:rsidRPr="00EB2E7B">
        <w:rPr>
          <w:rFonts w:asciiTheme="minorHAnsi" w:hAnsiTheme="minorHAnsi" w:cstheme="minorHAnsi"/>
          <w:sz w:val="20"/>
          <w:szCs w:val="20"/>
        </w:rPr>
        <w:t xml:space="preserve"> </w:t>
      </w:r>
      <w:r w:rsidR="00D04DF3" w:rsidRPr="00EB2E7B">
        <w:rPr>
          <w:rFonts w:asciiTheme="minorHAnsi" w:hAnsiTheme="minorHAnsi" w:cstheme="minorHAnsi"/>
          <w:sz w:val="20"/>
          <w:szCs w:val="20"/>
        </w:rPr>
        <w:fldChar w:fldCharType="begin"/>
      </w:r>
      <w:r w:rsidR="00D04DF3" w:rsidRPr="00EB2E7B">
        <w:rPr>
          <w:rFonts w:asciiTheme="minorHAnsi" w:hAnsiTheme="minorHAnsi" w:cstheme="minorHAnsi"/>
          <w:sz w:val="20"/>
          <w:szCs w:val="20"/>
        </w:rPr>
        <w:instrText xml:space="preserve"> REF _Ref190163991 \r \h  \* MERGEFORMAT </w:instrText>
      </w:r>
      <w:r w:rsidR="00D04DF3" w:rsidRPr="00EB2E7B">
        <w:rPr>
          <w:rFonts w:asciiTheme="minorHAnsi" w:hAnsiTheme="minorHAnsi" w:cstheme="minorHAnsi"/>
          <w:sz w:val="20"/>
          <w:szCs w:val="20"/>
        </w:rPr>
      </w:r>
      <w:r w:rsidR="00D04DF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00D04DF3"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pkt. </w:t>
      </w:r>
      <w:r w:rsidR="00546CD7" w:rsidRPr="00EB2E7B">
        <w:rPr>
          <w:rFonts w:asciiTheme="minorHAnsi" w:hAnsiTheme="minorHAnsi" w:cstheme="minorHAnsi"/>
          <w:sz w:val="20"/>
          <w:szCs w:val="20"/>
        </w:rPr>
        <w:fldChar w:fldCharType="begin"/>
      </w:r>
      <w:r w:rsidR="00546CD7" w:rsidRPr="00EB2E7B">
        <w:rPr>
          <w:rFonts w:asciiTheme="minorHAnsi" w:hAnsiTheme="minorHAnsi" w:cstheme="minorHAnsi"/>
          <w:sz w:val="20"/>
          <w:szCs w:val="20"/>
        </w:rPr>
        <w:instrText xml:space="preserve"> REF _Ref190164046 \r \h  \* MERGEFORMAT </w:instrText>
      </w:r>
      <w:r w:rsidR="00546CD7" w:rsidRPr="00EB2E7B">
        <w:rPr>
          <w:rFonts w:asciiTheme="minorHAnsi" w:hAnsiTheme="minorHAnsi" w:cstheme="minorHAnsi"/>
          <w:sz w:val="20"/>
          <w:szCs w:val="20"/>
        </w:rPr>
      </w:r>
      <w:r w:rsidR="00546CD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w:t>
      </w:r>
      <w:r w:rsidR="00546CD7" w:rsidRPr="00EB2E7B">
        <w:rPr>
          <w:rFonts w:asciiTheme="minorHAnsi" w:hAnsiTheme="minorHAnsi" w:cstheme="minorHAnsi"/>
          <w:sz w:val="20"/>
          <w:szCs w:val="20"/>
        </w:rPr>
        <w:fldChar w:fldCharType="end"/>
      </w:r>
      <w:r w:rsidR="00546CD7" w:rsidRPr="00EB2E7B">
        <w:rPr>
          <w:rFonts w:asciiTheme="minorHAnsi" w:hAnsiTheme="minorHAnsi" w:cstheme="minorHAnsi"/>
          <w:sz w:val="20"/>
          <w:szCs w:val="20"/>
        </w:rPr>
        <w:t xml:space="preserve"> </w:t>
      </w:r>
      <w:r w:rsidRPr="00EB2E7B">
        <w:rPr>
          <w:rFonts w:asciiTheme="minorHAnsi" w:hAnsiTheme="minorHAnsi" w:cstheme="minorHAnsi"/>
          <w:sz w:val="20"/>
          <w:szCs w:val="20"/>
        </w:rPr>
        <w:t>niniejszego załącznika</w:t>
      </w:r>
      <w:r w:rsidR="00327199" w:rsidRPr="00EB2E7B">
        <w:rPr>
          <w:rFonts w:asciiTheme="minorHAnsi" w:hAnsiTheme="minorHAnsi" w:cstheme="minorHAnsi"/>
          <w:sz w:val="20"/>
          <w:szCs w:val="20"/>
        </w:rPr>
        <w:t>.</w:t>
      </w:r>
    </w:p>
    <w:p w14:paraId="70A6CDDE" w14:textId="5963F039" w:rsidR="00D5164D" w:rsidRPr="00EB2E7B" w:rsidRDefault="00D5164D"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Zabezpieczenia jednostek wytwórczych powinny zostać dobrane zgodnie z obowiązującymi przepisami i normami. Zabezpieczenia te powinny działać na urządzenie łączeniowe określone w pkt. </w:t>
      </w:r>
      <w:r w:rsidR="00BC52F4" w:rsidRPr="00EB2E7B">
        <w:rPr>
          <w:rFonts w:asciiTheme="minorHAnsi" w:hAnsiTheme="minorHAnsi" w:cstheme="minorHAnsi"/>
          <w:sz w:val="20"/>
          <w:szCs w:val="20"/>
        </w:rPr>
        <w:fldChar w:fldCharType="begin"/>
      </w:r>
      <w:r w:rsidR="00BC52F4" w:rsidRPr="00EB2E7B">
        <w:rPr>
          <w:rFonts w:asciiTheme="minorHAnsi" w:hAnsiTheme="minorHAnsi" w:cstheme="minorHAnsi"/>
          <w:sz w:val="20"/>
          <w:szCs w:val="20"/>
        </w:rPr>
        <w:instrText xml:space="preserve"> REF _Ref190163865 \r \h  \* MERGEFORMAT </w:instrText>
      </w:r>
      <w:r w:rsidR="00BC52F4" w:rsidRPr="00EB2E7B">
        <w:rPr>
          <w:rFonts w:asciiTheme="minorHAnsi" w:hAnsiTheme="minorHAnsi" w:cstheme="minorHAnsi"/>
          <w:sz w:val="20"/>
          <w:szCs w:val="20"/>
        </w:rPr>
      </w:r>
      <w:r w:rsidR="00BC52F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2.1</w:t>
      </w:r>
      <w:r w:rsidR="00BC52F4"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00E90127" w:rsidRPr="00EB2E7B">
        <w:rPr>
          <w:rFonts w:asciiTheme="minorHAnsi" w:hAnsiTheme="minorHAnsi" w:cstheme="minorHAnsi"/>
          <w:sz w:val="20"/>
          <w:szCs w:val="20"/>
        </w:rPr>
        <w:t xml:space="preserve"> lit. </w:t>
      </w:r>
      <w:r w:rsidR="00B400E0" w:rsidRPr="00EB2E7B">
        <w:rPr>
          <w:rFonts w:asciiTheme="minorHAnsi" w:hAnsiTheme="minorHAnsi" w:cstheme="minorHAnsi"/>
          <w:sz w:val="20"/>
          <w:szCs w:val="20"/>
        </w:rPr>
        <w:fldChar w:fldCharType="begin"/>
      </w:r>
      <w:r w:rsidR="00B400E0" w:rsidRPr="00EB2E7B">
        <w:rPr>
          <w:rFonts w:asciiTheme="minorHAnsi" w:hAnsiTheme="minorHAnsi" w:cstheme="minorHAnsi"/>
          <w:sz w:val="20"/>
          <w:szCs w:val="20"/>
        </w:rPr>
        <w:instrText xml:space="preserve"> REF _Ref190164103 \r \h  \* MERGEFORMAT </w:instrText>
      </w:r>
      <w:r w:rsidR="00B400E0" w:rsidRPr="00EB2E7B">
        <w:rPr>
          <w:rFonts w:asciiTheme="minorHAnsi" w:hAnsiTheme="minorHAnsi" w:cstheme="minorHAnsi"/>
          <w:sz w:val="20"/>
          <w:szCs w:val="20"/>
        </w:rPr>
      </w:r>
      <w:r w:rsidR="00B400E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B400E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powodując wyłączenie jednostki wytwórczej z ruchu.</w:t>
      </w:r>
    </w:p>
    <w:p w14:paraId="7018CE27" w14:textId="2AE45CCD" w:rsidR="00D5164D" w:rsidRPr="00EB2E7B" w:rsidRDefault="00D5164D"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Zabezpieczenia</w:t>
      </w:r>
      <w:r w:rsidR="00712CF8" w:rsidRPr="00EB2E7B">
        <w:rPr>
          <w:rFonts w:asciiTheme="minorHAnsi" w:hAnsiTheme="minorHAnsi" w:cstheme="minorHAnsi"/>
          <w:sz w:val="20"/>
          <w:szCs w:val="20"/>
        </w:rPr>
        <w:t xml:space="preserve"> jednostek wytwórczych</w:t>
      </w:r>
      <w:r w:rsidRPr="00EB2E7B">
        <w:rPr>
          <w:rFonts w:asciiTheme="minorHAnsi" w:hAnsiTheme="minorHAnsi" w:cstheme="minorHAnsi"/>
          <w:sz w:val="20"/>
          <w:szCs w:val="20"/>
        </w:rPr>
        <w:t xml:space="preserve"> powinny spełniać wymagania zawarte w pkt. </w:t>
      </w:r>
      <w:r w:rsidR="00690002" w:rsidRPr="00EB2E7B">
        <w:rPr>
          <w:rFonts w:asciiTheme="minorHAnsi" w:hAnsiTheme="minorHAnsi" w:cstheme="minorHAnsi"/>
          <w:sz w:val="20"/>
          <w:szCs w:val="20"/>
        </w:rPr>
        <w:fldChar w:fldCharType="begin"/>
      </w:r>
      <w:r w:rsidR="00690002" w:rsidRPr="00EB2E7B">
        <w:rPr>
          <w:rFonts w:asciiTheme="minorHAnsi" w:hAnsiTheme="minorHAnsi" w:cstheme="minorHAnsi"/>
          <w:sz w:val="20"/>
          <w:szCs w:val="20"/>
        </w:rPr>
        <w:instrText xml:space="preserve"> REF _Ref190164469 \r \h  \* MERGEFORMAT </w:instrText>
      </w:r>
      <w:r w:rsidR="00690002" w:rsidRPr="00EB2E7B">
        <w:rPr>
          <w:rFonts w:asciiTheme="minorHAnsi" w:hAnsiTheme="minorHAnsi" w:cstheme="minorHAnsi"/>
          <w:sz w:val="20"/>
          <w:szCs w:val="20"/>
        </w:rPr>
      </w:r>
      <w:r w:rsidR="0069000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II.4.5.5</w:t>
      </w:r>
      <w:r w:rsidR="0069000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IR</w:t>
      </w:r>
      <w:r w:rsidR="00314409" w:rsidRPr="00EB2E7B">
        <w:rPr>
          <w:rFonts w:asciiTheme="minorHAnsi" w:hAnsiTheme="minorHAnsi" w:cstheme="minorHAnsi"/>
          <w:sz w:val="20"/>
          <w:szCs w:val="20"/>
        </w:rPr>
        <w:t>i</w:t>
      </w:r>
      <w:r w:rsidRPr="00EB2E7B">
        <w:rPr>
          <w:rFonts w:asciiTheme="minorHAnsi" w:hAnsiTheme="minorHAnsi" w:cstheme="minorHAnsi"/>
          <w:sz w:val="20"/>
          <w:szCs w:val="20"/>
        </w:rPr>
        <w:t>ESD</w:t>
      </w:r>
      <w:proofErr w:type="spellEnd"/>
      <w:r w:rsidRPr="00EB2E7B">
        <w:rPr>
          <w:rFonts w:asciiTheme="minorHAnsi" w:hAnsiTheme="minorHAnsi" w:cstheme="minorHAnsi"/>
          <w:sz w:val="20"/>
          <w:szCs w:val="20"/>
        </w:rPr>
        <w:t>.</w:t>
      </w:r>
    </w:p>
    <w:p w14:paraId="2BDE0282" w14:textId="429A9734" w:rsidR="00D5164D" w:rsidRPr="00EB2E7B" w:rsidRDefault="00D5164D"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Jednostki wytwórcze współpracujące z falownikami o mocy </w:t>
      </w:r>
      <w:r w:rsidR="00132C58" w:rsidRPr="00EB2E7B">
        <w:rPr>
          <w:rFonts w:asciiTheme="minorHAnsi" w:hAnsiTheme="minorHAnsi" w:cstheme="minorHAnsi"/>
          <w:sz w:val="20"/>
          <w:szCs w:val="20"/>
        </w:rPr>
        <w:t xml:space="preserve">maksymalnej </w:t>
      </w:r>
      <w:r w:rsidRPr="00EB2E7B">
        <w:rPr>
          <w:rFonts w:asciiTheme="minorHAnsi" w:hAnsiTheme="minorHAnsi" w:cstheme="minorHAnsi"/>
          <w:sz w:val="20"/>
          <w:szCs w:val="20"/>
        </w:rPr>
        <w:t xml:space="preserve">powyżej 200 kW powinny być wyposażone w urządzenia pozwalające na kontrolowanie i utrzymywanie zadanych parametrów jakościowych energii elektrycznej. </w:t>
      </w:r>
    </w:p>
    <w:p w14:paraId="756387EA" w14:textId="1DE9B4A1" w:rsidR="00D5164D" w:rsidRPr="00EB2E7B" w:rsidRDefault="00D5164D"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ACPRO decyduje o potrzebie wyposażenia jednostek wytwórczych w zabezpieczenie od mocy zwrotnej. </w:t>
      </w:r>
    </w:p>
    <w:p w14:paraId="28E3C337" w14:textId="32BF1E19" w:rsidR="00D5164D" w:rsidRPr="00EB2E7B" w:rsidRDefault="00D5164D"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W zależności od rodzaju jednostki wytwórczej zabezpieczenia powinny powodować otwarcie łącznika:</w:t>
      </w:r>
    </w:p>
    <w:p w14:paraId="37B62D94" w14:textId="46B3D531" w:rsidR="0082465B" w:rsidRPr="00EB2E7B" w:rsidRDefault="0082465B" w:rsidP="00252AFD">
      <w:pPr>
        <w:pStyle w:val="Akapitzlist"/>
        <w:numPr>
          <w:ilvl w:val="0"/>
          <w:numId w:val="44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lastRenderedPageBreak/>
        <w:t xml:space="preserve">określonego w pkt. </w:t>
      </w:r>
      <w:r w:rsidR="0022031B" w:rsidRPr="00EB2E7B">
        <w:rPr>
          <w:rFonts w:asciiTheme="minorHAnsi" w:hAnsiTheme="minorHAnsi" w:cstheme="minorHAnsi"/>
          <w:sz w:val="20"/>
          <w:szCs w:val="20"/>
        </w:rPr>
        <w:fldChar w:fldCharType="begin"/>
      </w:r>
      <w:r w:rsidR="0022031B" w:rsidRPr="00EB2E7B">
        <w:rPr>
          <w:rFonts w:asciiTheme="minorHAnsi" w:hAnsiTheme="minorHAnsi" w:cstheme="minorHAnsi"/>
          <w:sz w:val="20"/>
          <w:szCs w:val="20"/>
        </w:rPr>
        <w:instrText xml:space="preserve"> REF _Ref190163865 \r \h  \* MERGEFORMAT </w:instrText>
      </w:r>
      <w:r w:rsidR="0022031B" w:rsidRPr="00EB2E7B">
        <w:rPr>
          <w:rFonts w:asciiTheme="minorHAnsi" w:hAnsiTheme="minorHAnsi" w:cstheme="minorHAnsi"/>
          <w:sz w:val="20"/>
          <w:szCs w:val="20"/>
        </w:rPr>
      </w:r>
      <w:r w:rsidR="0022031B"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2.1</w:t>
      </w:r>
      <w:r w:rsidR="0022031B" w:rsidRPr="00EB2E7B">
        <w:rPr>
          <w:rFonts w:asciiTheme="minorHAnsi" w:hAnsiTheme="minorHAnsi" w:cstheme="minorHAnsi"/>
          <w:sz w:val="20"/>
          <w:szCs w:val="20"/>
        </w:rPr>
        <w:fldChar w:fldCharType="end"/>
      </w:r>
      <w:r w:rsidR="0022031B" w:rsidRPr="00EB2E7B">
        <w:rPr>
          <w:rFonts w:asciiTheme="minorHAnsi" w:hAnsiTheme="minorHAnsi" w:cstheme="minorHAnsi"/>
          <w:sz w:val="20"/>
          <w:szCs w:val="20"/>
        </w:rPr>
        <w:t>. lit.</w:t>
      </w:r>
      <w:r w:rsidR="007D7299" w:rsidRPr="00EB2E7B">
        <w:rPr>
          <w:rFonts w:asciiTheme="minorHAnsi" w:hAnsiTheme="minorHAnsi" w:cstheme="minorHAnsi"/>
          <w:sz w:val="20"/>
          <w:szCs w:val="20"/>
        </w:rPr>
        <w:t xml:space="preserve"> </w:t>
      </w:r>
      <w:r w:rsidR="007D7299" w:rsidRPr="00EB2E7B">
        <w:rPr>
          <w:rFonts w:asciiTheme="minorHAnsi" w:hAnsiTheme="minorHAnsi" w:cstheme="minorHAnsi"/>
          <w:sz w:val="20"/>
          <w:szCs w:val="20"/>
        </w:rPr>
        <w:fldChar w:fldCharType="begin"/>
      </w:r>
      <w:r w:rsidR="007D7299" w:rsidRPr="00EB2E7B">
        <w:rPr>
          <w:rFonts w:asciiTheme="minorHAnsi" w:hAnsiTheme="minorHAnsi" w:cstheme="minorHAnsi"/>
          <w:sz w:val="20"/>
          <w:szCs w:val="20"/>
        </w:rPr>
        <w:instrText xml:space="preserve"> REF _Ref190164103 \r \h  \* MERGEFORMAT </w:instrText>
      </w:r>
      <w:r w:rsidR="007D7299" w:rsidRPr="00EB2E7B">
        <w:rPr>
          <w:rFonts w:asciiTheme="minorHAnsi" w:hAnsiTheme="minorHAnsi" w:cstheme="minorHAnsi"/>
          <w:sz w:val="20"/>
          <w:szCs w:val="20"/>
        </w:rPr>
      </w:r>
      <w:r w:rsidR="007D729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7D729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gdy jednostka wytwórcza nie ma możliwości pracy wyspowej,</w:t>
      </w:r>
    </w:p>
    <w:p w14:paraId="20473A09" w14:textId="219681E0" w:rsidR="00D5164D" w:rsidRPr="00EB2E7B" w:rsidRDefault="0082465B" w:rsidP="00252AFD">
      <w:pPr>
        <w:pStyle w:val="Akapitzlist"/>
        <w:numPr>
          <w:ilvl w:val="0"/>
          <w:numId w:val="44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określonego w pkt. </w:t>
      </w:r>
      <w:r w:rsidR="008F05F7" w:rsidRPr="00EB2E7B">
        <w:rPr>
          <w:rFonts w:asciiTheme="minorHAnsi" w:hAnsiTheme="minorHAnsi" w:cstheme="minorHAnsi"/>
          <w:sz w:val="20"/>
          <w:szCs w:val="20"/>
        </w:rPr>
        <w:fldChar w:fldCharType="begin"/>
      </w:r>
      <w:r w:rsidR="008F05F7" w:rsidRPr="00EB2E7B">
        <w:rPr>
          <w:rFonts w:asciiTheme="minorHAnsi" w:hAnsiTheme="minorHAnsi" w:cstheme="minorHAnsi"/>
          <w:sz w:val="20"/>
          <w:szCs w:val="20"/>
        </w:rPr>
        <w:instrText xml:space="preserve"> REF _Ref190163869 \r \h  \* MERGEFORMAT </w:instrText>
      </w:r>
      <w:r w:rsidR="008F05F7" w:rsidRPr="00EB2E7B">
        <w:rPr>
          <w:rFonts w:asciiTheme="minorHAnsi" w:hAnsiTheme="minorHAnsi" w:cstheme="minorHAnsi"/>
          <w:sz w:val="20"/>
          <w:szCs w:val="20"/>
        </w:rPr>
      </w:r>
      <w:r w:rsidR="008F05F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2.2</w:t>
      </w:r>
      <w:r w:rsidR="008F05F7" w:rsidRPr="00EB2E7B">
        <w:rPr>
          <w:rFonts w:asciiTheme="minorHAnsi" w:hAnsiTheme="minorHAnsi" w:cstheme="minorHAnsi"/>
          <w:sz w:val="20"/>
          <w:szCs w:val="20"/>
        </w:rPr>
        <w:fldChar w:fldCharType="end"/>
      </w:r>
      <w:r w:rsidR="008F05F7" w:rsidRPr="00EB2E7B">
        <w:rPr>
          <w:rFonts w:asciiTheme="minorHAnsi" w:hAnsiTheme="minorHAnsi" w:cstheme="minorHAnsi"/>
          <w:sz w:val="20"/>
          <w:szCs w:val="20"/>
        </w:rPr>
        <w:t>,</w:t>
      </w:r>
      <w:r w:rsidRPr="00EB2E7B">
        <w:rPr>
          <w:rFonts w:asciiTheme="minorHAnsi" w:hAnsiTheme="minorHAnsi" w:cstheme="minorHAnsi"/>
          <w:sz w:val="20"/>
          <w:szCs w:val="20"/>
        </w:rPr>
        <w:t xml:space="preserve"> gdy jednostka wytwórcza ma możliwość pracy wyspowej</w:t>
      </w:r>
    </w:p>
    <w:p w14:paraId="09B0781F" w14:textId="77777777" w:rsidR="0026169C" w:rsidRPr="00EB2E7B" w:rsidRDefault="0026169C"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ACPRO ustala nastawy oraz zwłokę czasową działania zabezpieczeń, w zależności od miejsca przyłączenia jednostki wytwórczej do sieci dystrybucyjnej.</w:t>
      </w:r>
    </w:p>
    <w:p w14:paraId="681BF1BA" w14:textId="77777777" w:rsidR="0026169C" w:rsidRPr="00EB2E7B" w:rsidRDefault="0026169C"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W przypadku trójfazowych jednostek wytwórczych zabezpieczenie do ochrony przed obniżeniem lub wzrostem napięcia musi być wykonane trójfazowo. Jednostka wytwórcza przy obniżeniu lub wzroście napięcia w jednym z przewodów fazowych musi być odłączona od sieci trójbiegunowo. </w:t>
      </w:r>
    </w:p>
    <w:p w14:paraId="49FE0F47" w14:textId="5C89EC13" w:rsidR="0026169C" w:rsidRPr="00EB2E7B" w:rsidRDefault="0026169C" w:rsidP="001C4502">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jednofazowych jednostek wytwórczych zabezpieczenie do ochrony przed obniżeniem lub wzrostem napięcia, przy obniżeniu lub wzroście napięcia, powinno powodować odłączenie jednostki od sieci dwubiegunowo. </w:t>
      </w:r>
    </w:p>
    <w:p w14:paraId="419089BA" w14:textId="6F2AF580" w:rsidR="00A91AF0" w:rsidRPr="00EB2E7B" w:rsidRDefault="00A91AF0" w:rsidP="001C4502">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Jednostki wytwórcze przyłączane lub przyłączone (dotyczy jednostek remontowanych lub modernizowanych) do sieci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muszą być wyposażone w automatykę uniemożliwiającą pracę wyspową.</w:t>
      </w:r>
    </w:p>
    <w:p w14:paraId="5F166282" w14:textId="77777777" w:rsidR="0026169C" w:rsidRPr="00EB2E7B" w:rsidRDefault="0026169C"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W przypadku jednostek wytwórczych przyłączonych do sieci dystrybucyjnej poprzez transformator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/SN, dla zabezpieczeń do ochrony przed: wzrostem częstotliwości, obniżeniem częstotliwości oraz obniżeniem napięcia, wielkości pomiarowe powinny być pobierane po stronie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Natomiast dla zabezpieczeń: zerowo-nadnapięciowych oraz do ochrony przed wzrostem napięcia, wielkości pomiarowe powinny być pobierane po stronie SN. </w:t>
      </w:r>
    </w:p>
    <w:p w14:paraId="42E3B351" w14:textId="77777777" w:rsidR="0026169C" w:rsidRPr="00EB2E7B" w:rsidRDefault="0026169C" w:rsidP="001C4502">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jednostek wytwórczych, nie będącymi </w:t>
      </w:r>
      <w:proofErr w:type="spellStart"/>
      <w:r w:rsidRPr="00EB2E7B">
        <w:rPr>
          <w:rFonts w:asciiTheme="minorHAnsi" w:hAnsiTheme="minorHAnsi" w:cstheme="minorHAnsi"/>
          <w:sz w:val="20"/>
          <w:szCs w:val="20"/>
        </w:rPr>
        <w:t>mikroinstalacjami</w:t>
      </w:r>
      <w:proofErr w:type="spellEnd"/>
      <w:r w:rsidRPr="00EB2E7B">
        <w:rPr>
          <w:rFonts w:asciiTheme="minorHAnsi" w:hAnsiTheme="minorHAnsi" w:cstheme="minorHAnsi"/>
          <w:sz w:val="20"/>
          <w:szCs w:val="20"/>
        </w:rPr>
        <w:t xml:space="preserve">, przyłączonych bezpośrednio do sieci dystrybucyjnej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dla zabezpieczeń wielkości pomiarowe powinny być pobierane z sieci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w:t>
      </w:r>
    </w:p>
    <w:p w14:paraId="0B6B74B3" w14:textId="77777777" w:rsidR="0026169C" w:rsidRPr="00EB2E7B" w:rsidRDefault="0026169C" w:rsidP="001C4502">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przypadku podłączania mikroinstalacji, wielkości pomiarowe dla działania zainstalowanych zabezpieczeń powinny być pobierane z sieci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Punkt pomiarowy może być umieszczony w dowolnym miejscu pomiędzy zaciskami falownika a siecią dystrybucyjną, z wyłączeniem punktu przyłączenia do sieci ACPRO (PCC). </w:t>
      </w:r>
    </w:p>
    <w:p w14:paraId="6E78C8A7" w14:textId="77777777" w:rsidR="006D789F" w:rsidRPr="00EB2E7B" w:rsidRDefault="0026169C"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Dla generatorów synchronicznych lub asynchronicznych czas działania zabezpieczeń i czas własny łącznika sprzęgającego muszą być tak dobrane, aby wyłączenie generatora nastąpiło podczas zaników napięcia spowodowanych zadziałaniem automatyki SPZ lub SZR. </w:t>
      </w:r>
    </w:p>
    <w:p w14:paraId="65E431AB" w14:textId="77777777" w:rsidR="006D789F" w:rsidRPr="00EB2E7B" w:rsidRDefault="0026169C"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Farmy wiatrowe z generatorami asynchronicznymi należy wyposażyć w automatykę bezzwłocznego wyłączania elektrowni po przejściu do pracy na wydzieloną sieć.</w:t>
      </w:r>
    </w:p>
    <w:p w14:paraId="03A9F357" w14:textId="77777777" w:rsidR="006D789F" w:rsidRPr="00EB2E7B" w:rsidRDefault="0026169C"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W przypadku zwarcia w farmie wiatrowej z generatorem asynchronicznym, automatyka zabezpieczeniowa powinna wyłączać ją bezzwłocznie lub ze zwłoką czasową uzgodnioną z </w:t>
      </w:r>
      <w:r w:rsidR="006D789F"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t>
      </w:r>
    </w:p>
    <w:p w14:paraId="12D7A61B" w14:textId="6076E5A8" w:rsidR="00602C79" w:rsidRPr="00EB2E7B" w:rsidRDefault="006D789F" w:rsidP="004854C6">
      <w:pPr>
        <w:pStyle w:val="ANagwek3"/>
        <w:numPr>
          <w:ilvl w:val="1"/>
          <w:numId w:val="434"/>
        </w:numPr>
        <w:rPr>
          <w:rFonts w:asciiTheme="minorHAnsi" w:hAnsiTheme="minorHAnsi" w:cstheme="minorHAnsi"/>
          <w:sz w:val="20"/>
          <w:szCs w:val="20"/>
        </w:rPr>
      </w:pPr>
      <w:r w:rsidRPr="00EB2E7B">
        <w:rPr>
          <w:rFonts w:asciiTheme="minorHAnsi" w:hAnsiTheme="minorHAnsi" w:cstheme="minorHAnsi"/>
          <w:sz w:val="20"/>
          <w:szCs w:val="20"/>
        </w:rPr>
        <w:t xml:space="preserve">ACPRO </w:t>
      </w:r>
      <w:r w:rsidR="0026169C" w:rsidRPr="00EB2E7B">
        <w:rPr>
          <w:rFonts w:asciiTheme="minorHAnsi" w:hAnsiTheme="minorHAnsi" w:cstheme="minorHAnsi"/>
          <w:sz w:val="20"/>
          <w:szCs w:val="20"/>
        </w:rPr>
        <w:t>może zdecydować o potrzebie stosowania zabezpieczeń różnicowoprądowych dla poszczególnych rodzajów jednostek wytwórczych.</w:t>
      </w:r>
      <w:r w:rsidR="00D5164D" w:rsidRPr="00EB2E7B">
        <w:rPr>
          <w:rFonts w:asciiTheme="minorHAnsi" w:hAnsiTheme="minorHAnsi" w:cstheme="minorHAnsi"/>
          <w:sz w:val="20"/>
          <w:szCs w:val="20"/>
        </w:rPr>
        <w:t>:</w:t>
      </w:r>
    </w:p>
    <w:p w14:paraId="23C47E47" w14:textId="77777777" w:rsidR="00ED2AB9" w:rsidRPr="00EB2E7B" w:rsidRDefault="00ED2AB9" w:rsidP="00252AFD">
      <w:pPr>
        <w:ind w:left="0" w:firstLine="0"/>
        <w:rPr>
          <w:rFonts w:asciiTheme="minorHAnsi" w:hAnsiTheme="minorHAnsi" w:cstheme="minorHAnsi"/>
          <w:sz w:val="20"/>
          <w:szCs w:val="20"/>
        </w:rPr>
      </w:pPr>
    </w:p>
    <w:p w14:paraId="355275CD" w14:textId="6325E87D" w:rsidR="00BE4F9D" w:rsidRPr="00EB2E7B" w:rsidRDefault="002F7250" w:rsidP="00766621">
      <w:pPr>
        <w:pStyle w:val="ANagwek2"/>
        <w:numPr>
          <w:ilvl w:val="6"/>
          <w:numId w:val="384"/>
        </w:numPr>
        <w:ind w:left="1134" w:hanging="1134"/>
        <w:rPr>
          <w:rFonts w:asciiTheme="minorHAnsi" w:hAnsiTheme="minorHAnsi" w:cstheme="minorHAnsi"/>
          <w:sz w:val="20"/>
          <w:szCs w:val="20"/>
        </w:rPr>
      </w:pPr>
      <w:bookmarkStart w:id="782" w:name="_Toc189833859"/>
      <w:bookmarkStart w:id="783" w:name="_Toc239333459"/>
      <w:r w:rsidRPr="00EB2E7B">
        <w:rPr>
          <w:rFonts w:asciiTheme="minorHAnsi" w:hAnsiTheme="minorHAnsi" w:cstheme="minorHAnsi"/>
          <w:sz w:val="20"/>
          <w:szCs w:val="20"/>
        </w:rPr>
        <w:t>KOMPENSACJA MOCY BIERNEJ</w:t>
      </w:r>
      <w:bookmarkEnd w:id="782"/>
      <w:bookmarkEnd w:id="783"/>
    </w:p>
    <w:p w14:paraId="7DD8FA86" w14:textId="083173EE" w:rsidR="006531AB" w:rsidRPr="00EB2E7B" w:rsidRDefault="00091196" w:rsidP="004854C6">
      <w:pPr>
        <w:pStyle w:val="ANagwek3"/>
        <w:numPr>
          <w:ilvl w:val="1"/>
          <w:numId w:val="437"/>
        </w:numPr>
        <w:rPr>
          <w:rFonts w:asciiTheme="minorHAnsi" w:hAnsiTheme="minorHAnsi" w:cstheme="minorHAnsi"/>
          <w:sz w:val="20"/>
          <w:szCs w:val="20"/>
        </w:rPr>
      </w:pPr>
      <w:r w:rsidRPr="00EB2E7B">
        <w:rPr>
          <w:rFonts w:asciiTheme="minorHAnsi" w:hAnsiTheme="minorHAnsi" w:cstheme="minorHAnsi"/>
          <w:sz w:val="20"/>
          <w:szCs w:val="20"/>
        </w:rPr>
        <w:t xml:space="preserve">Wymagany stopień skompensowania mocy biernej określa </w:t>
      </w:r>
      <w:r w:rsidR="006531AB"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warunkach przyłączenia.</w:t>
      </w:r>
    </w:p>
    <w:p w14:paraId="4FEF1A98" w14:textId="67D21383" w:rsidR="006531AB" w:rsidRPr="00EB2E7B" w:rsidRDefault="00091196" w:rsidP="004854C6">
      <w:pPr>
        <w:pStyle w:val="ANagwek3"/>
        <w:numPr>
          <w:ilvl w:val="1"/>
          <w:numId w:val="437"/>
        </w:numPr>
        <w:rPr>
          <w:rFonts w:asciiTheme="minorHAnsi" w:hAnsiTheme="minorHAnsi" w:cstheme="minorHAnsi"/>
          <w:sz w:val="20"/>
          <w:szCs w:val="20"/>
        </w:rPr>
      </w:pPr>
      <w:r w:rsidRPr="00EB2E7B">
        <w:rPr>
          <w:rFonts w:asciiTheme="minorHAnsi" w:hAnsiTheme="minorHAnsi" w:cstheme="minorHAnsi"/>
          <w:sz w:val="20"/>
          <w:szCs w:val="20"/>
        </w:rPr>
        <w:t xml:space="preserve">Nie jest wymagane stosowanie urządzeń do kompensacji mocy biernej w przypadku jednostek wytwórczych, których moc osiągalna określona na </w:t>
      </w:r>
      <w:r w:rsidR="00135395" w:rsidRPr="00EB2E7B">
        <w:rPr>
          <w:rFonts w:asciiTheme="minorHAnsi" w:hAnsiTheme="minorHAnsi" w:cstheme="minorHAnsi"/>
          <w:sz w:val="20"/>
          <w:szCs w:val="20"/>
        </w:rPr>
        <w:t>fazę</w:t>
      </w:r>
      <w:r w:rsidRPr="00EB2E7B">
        <w:rPr>
          <w:rFonts w:asciiTheme="minorHAnsi" w:hAnsiTheme="minorHAnsi" w:cstheme="minorHAnsi"/>
          <w:sz w:val="20"/>
          <w:szCs w:val="20"/>
        </w:rPr>
        <w:t xml:space="preserve"> nie przekracza 4,6 kVA (5 </w:t>
      </w:r>
      <w:proofErr w:type="spellStart"/>
      <w:r w:rsidRPr="00EB2E7B">
        <w:rPr>
          <w:rFonts w:asciiTheme="minorHAnsi" w:hAnsiTheme="minorHAnsi" w:cstheme="minorHAnsi"/>
          <w:sz w:val="20"/>
          <w:szCs w:val="20"/>
        </w:rPr>
        <w:t>kWp</w:t>
      </w:r>
      <w:proofErr w:type="spellEnd"/>
      <w:r w:rsidRPr="00EB2E7B">
        <w:rPr>
          <w:rFonts w:asciiTheme="minorHAnsi" w:hAnsiTheme="minorHAnsi" w:cstheme="minorHAnsi"/>
          <w:sz w:val="20"/>
          <w:szCs w:val="20"/>
        </w:rPr>
        <w:t xml:space="preserve"> dla jednostek wytwórczych fotowoltaicznych). W pozostałych jednostkach wytwórczych należy stosować urządzenia do kompensacji </w:t>
      </w:r>
      <w:r w:rsidRPr="00EB2E7B">
        <w:rPr>
          <w:rFonts w:asciiTheme="minorHAnsi" w:hAnsiTheme="minorHAnsi" w:cstheme="minorHAnsi"/>
          <w:sz w:val="20"/>
          <w:szCs w:val="20"/>
        </w:rPr>
        <w:lastRenderedPageBreak/>
        <w:t>mocy biernej. W jednostkach wytwórczych charakteryzujących się pracą ze zmienną mocą, w szczególności w farmach wiatrowych należy stosować układy automatycznej regulacji mocy biernej</w:t>
      </w:r>
      <w:r w:rsidR="00C5107F" w:rsidRPr="00EB2E7B">
        <w:rPr>
          <w:rFonts w:asciiTheme="minorHAnsi" w:hAnsiTheme="minorHAnsi" w:cstheme="minorHAnsi"/>
          <w:sz w:val="20"/>
          <w:szCs w:val="20"/>
        </w:rPr>
        <w:t>.</w:t>
      </w:r>
      <w:r w:rsidR="006531AB" w:rsidRPr="00EB2E7B">
        <w:rPr>
          <w:rFonts w:asciiTheme="minorHAnsi" w:hAnsiTheme="minorHAnsi" w:cstheme="minorHAnsi"/>
          <w:sz w:val="20"/>
          <w:szCs w:val="20"/>
        </w:rPr>
        <w:t xml:space="preserve"> </w:t>
      </w:r>
    </w:p>
    <w:p w14:paraId="4A89E324" w14:textId="77777777" w:rsidR="006531AB" w:rsidRPr="00EB2E7B" w:rsidRDefault="006531AB" w:rsidP="004854C6">
      <w:pPr>
        <w:pStyle w:val="ANagwek3"/>
        <w:numPr>
          <w:ilvl w:val="1"/>
          <w:numId w:val="437"/>
        </w:numPr>
        <w:rPr>
          <w:rFonts w:asciiTheme="minorHAnsi" w:hAnsiTheme="minorHAnsi" w:cstheme="minorHAnsi"/>
          <w:sz w:val="20"/>
          <w:szCs w:val="20"/>
        </w:rPr>
      </w:pPr>
      <w:r w:rsidRPr="00EB2E7B">
        <w:rPr>
          <w:rFonts w:asciiTheme="minorHAnsi" w:hAnsiTheme="minorHAnsi" w:cstheme="minorHAnsi"/>
          <w:sz w:val="20"/>
          <w:szCs w:val="20"/>
        </w:rPr>
        <w:t xml:space="preserve">Moc bierną przy generatorach synchronicznych należy regulować przy pomocy wzbudzenia. W jednostkach wytwórczych charakteryzujących się pracą ze zmienną mocą, w szczególności w farmach wiatrowych należy stosować układy automatycznej regulacji wzbudzenia. </w:t>
      </w:r>
    </w:p>
    <w:p w14:paraId="77BFD721" w14:textId="77777777" w:rsidR="006531AB" w:rsidRPr="00EB2E7B" w:rsidRDefault="006531AB" w:rsidP="004854C6">
      <w:pPr>
        <w:pStyle w:val="ANagwek3"/>
        <w:numPr>
          <w:ilvl w:val="1"/>
          <w:numId w:val="437"/>
        </w:numPr>
        <w:rPr>
          <w:rFonts w:asciiTheme="minorHAnsi" w:hAnsiTheme="minorHAnsi" w:cstheme="minorHAnsi"/>
          <w:sz w:val="20"/>
          <w:szCs w:val="20"/>
        </w:rPr>
      </w:pPr>
      <w:r w:rsidRPr="00EB2E7B">
        <w:rPr>
          <w:rFonts w:asciiTheme="minorHAnsi" w:hAnsiTheme="minorHAnsi" w:cstheme="minorHAnsi"/>
          <w:sz w:val="20"/>
          <w:szCs w:val="20"/>
        </w:rPr>
        <w:t xml:space="preserve">W przypadku generatorów asynchronicznych układ służący do automatycznego bądź ręcznego załączania kondensatorów do kompensacji mocy biernej powinien być tak skonstruowany, aby nie było możliwe załączenie baterii kondensatorów przed dokonaniem rozruchu generatora. Wyłączenie generatora i baterii kondensatorów następuje równocześnie. </w:t>
      </w:r>
    </w:p>
    <w:p w14:paraId="48CF408F" w14:textId="45195432" w:rsidR="00C5107F" w:rsidRPr="00EB2E7B" w:rsidRDefault="006531AB" w:rsidP="004854C6">
      <w:pPr>
        <w:pStyle w:val="ANagwek3"/>
        <w:numPr>
          <w:ilvl w:val="1"/>
          <w:numId w:val="437"/>
        </w:numPr>
        <w:rPr>
          <w:rFonts w:asciiTheme="minorHAnsi" w:hAnsiTheme="minorHAnsi" w:cstheme="minorHAnsi"/>
          <w:sz w:val="20"/>
          <w:szCs w:val="20"/>
        </w:rPr>
      </w:pPr>
      <w:r w:rsidRPr="00EB2E7B">
        <w:rPr>
          <w:rFonts w:asciiTheme="minorHAnsi" w:hAnsiTheme="minorHAnsi" w:cstheme="minorHAnsi"/>
          <w:sz w:val="20"/>
          <w:szCs w:val="20"/>
        </w:rPr>
        <w:t xml:space="preserve">Dla jednostek wytwórczych przyłączonych do sieci dystrybucyjnej poprzez falowniki </w:t>
      </w:r>
      <w:proofErr w:type="spellStart"/>
      <w:r w:rsidRPr="00EB2E7B">
        <w:rPr>
          <w:rFonts w:asciiTheme="minorHAnsi" w:hAnsiTheme="minorHAnsi" w:cstheme="minorHAnsi"/>
          <w:sz w:val="20"/>
          <w:szCs w:val="20"/>
        </w:rPr>
        <w:t>sieciowzbudne</w:t>
      </w:r>
      <w:proofErr w:type="spellEnd"/>
      <w:r w:rsidRPr="00EB2E7B">
        <w:rPr>
          <w:rFonts w:asciiTheme="minorHAnsi" w:hAnsiTheme="minorHAnsi" w:cstheme="minorHAnsi"/>
          <w:sz w:val="20"/>
          <w:szCs w:val="20"/>
        </w:rPr>
        <w:t xml:space="preserve"> obowiązują warunki dotyczące załączania i odłączania kondensatorów oraz warunki ich doboru takie same, jak przy generatorach asynchronicznych. W jednostkach wytwórczych z falownikami niezależnymi kompensacja mocy biernej nie jest wymagana.</w:t>
      </w:r>
    </w:p>
    <w:p w14:paraId="07E5ED58" w14:textId="77777777" w:rsidR="00B666A1" w:rsidRPr="00EB2E7B" w:rsidRDefault="00B666A1" w:rsidP="00252AFD">
      <w:pPr>
        <w:pStyle w:val="NormalnyIRiESD"/>
        <w:numPr>
          <w:ilvl w:val="0"/>
          <w:numId w:val="0"/>
        </w:numPr>
        <w:rPr>
          <w:rFonts w:asciiTheme="minorHAnsi" w:hAnsiTheme="minorHAnsi" w:cstheme="minorHAnsi"/>
          <w:sz w:val="20"/>
          <w:szCs w:val="20"/>
        </w:rPr>
      </w:pPr>
    </w:p>
    <w:p w14:paraId="51C75FAC" w14:textId="23FD626E" w:rsidR="00EF5EEC" w:rsidRPr="00EB2E7B" w:rsidRDefault="00C13F2D" w:rsidP="00494A86">
      <w:pPr>
        <w:pStyle w:val="ANagwek2"/>
        <w:numPr>
          <w:ilvl w:val="6"/>
          <w:numId w:val="384"/>
        </w:numPr>
        <w:ind w:left="1134" w:hanging="1134"/>
        <w:rPr>
          <w:rFonts w:asciiTheme="minorHAnsi" w:hAnsiTheme="minorHAnsi" w:cstheme="minorHAnsi"/>
          <w:sz w:val="20"/>
          <w:szCs w:val="20"/>
        </w:rPr>
      </w:pPr>
      <w:bookmarkStart w:id="784" w:name="_Toc189833860"/>
      <w:bookmarkStart w:id="785" w:name="_Ref190164803"/>
      <w:bookmarkStart w:id="786" w:name="_Toc239333460"/>
      <w:r w:rsidRPr="00EB2E7B">
        <w:rPr>
          <w:rFonts w:asciiTheme="minorHAnsi" w:hAnsiTheme="minorHAnsi" w:cstheme="minorHAnsi"/>
          <w:sz w:val="20"/>
          <w:szCs w:val="20"/>
        </w:rPr>
        <w:t>ZAŁĄCZANIE JEDNOSTEK WYTWÓRCZYCH</w:t>
      </w:r>
      <w:bookmarkEnd w:id="784"/>
      <w:bookmarkEnd w:id="785"/>
      <w:bookmarkEnd w:id="786"/>
    </w:p>
    <w:p w14:paraId="5A44BF34" w14:textId="3D3966F9" w:rsidR="00147D04" w:rsidRPr="00EB2E7B" w:rsidRDefault="00147D04" w:rsidP="004854C6">
      <w:pPr>
        <w:pStyle w:val="ANagwek3"/>
        <w:numPr>
          <w:ilvl w:val="1"/>
          <w:numId w:val="440"/>
        </w:numPr>
        <w:rPr>
          <w:rFonts w:asciiTheme="minorHAnsi" w:hAnsiTheme="minorHAnsi" w:cstheme="minorHAnsi"/>
          <w:sz w:val="20"/>
          <w:szCs w:val="20"/>
        </w:rPr>
      </w:pPr>
      <w:r w:rsidRPr="00EB2E7B">
        <w:rPr>
          <w:rFonts w:asciiTheme="minorHAnsi" w:hAnsiTheme="minorHAnsi" w:cstheme="minorHAnsi"/>
          <w:sz w:val="20"/>
          <w:szCs w:val="20"/>
        </w:rPr>
        <w:t xml:space="preserve">Załączenie jednostki wytwórczej do sieci dystrybucyjnej jest możliwe tylko, gdy napięcie sieci istnieje we wszystkich trzech fazach i posiada odpowiednie parametry. W przypadku stosowania ochrony przed obniżeniem napięcia powodującej odłączenie jednostki wytwórczej od sieci dystrybucyjnej, powinna ona mieć zwłokę czasową minimum 30 s pomiędzy powrotem napięcia w sieci dystrybucyjnej, a ponownym załączeniem jednostki wytwórczej. </w:t>
      </w:r>
    </w:p>
    <w:p w14:paraId="2D447AC6" w14:textId="7BB611BE" w:rsidR="00147D04" w:rsidRPr="00EB2E7B" w:rsidRDefault="00147D04" w:rsidP="004854C6">
      <w:pPr>
        <w:pStyle w:val="ANagwek3"/>
        <w:numPr>
          <w:ilvl w:val="1"/>
          <w:numId w:val="440"/>
        </w:numPr>
        <w:rPr>
          <w:rFonts w:asciiTheme="minorHAnsi" w:hAnsiTheme="minorHAnsi" w:cstheme="minorHAnsi"/>
          <w:sz w:val="20"/>
          <w:szCs w:val="20"/>
        </w:rPr>
      </w:pPr>
      <w:r w:rsidRPr="00EB2E7B">
        <w:rPr>
          <w:rFonts w:asciiTheme="minorHAnsi" w:hAnsiTheme="minorHAnsi" w:cstheme="minorHAnsi"/>
          <w:sz w:val="20"/>
          <w:szCs w:val="20"/>
        </w:rPr>
        <w:t xml:space="preserve">Dla generatorów asynchronicznych, których rozruch odbywa się przy wykorzystaniu silnika napędowego, załączenie do sieci dystrybucyjnej powinno następować przy prędkości obrotowej pomiędzy 95 ÷ 105% prędkości synchronicznej. Przy zdolnych do pracy wyspowej, samowzbudnych generatorach asynchronicznych należy dotrzymać warunków jak dla załączania generatorów synchronicznych, określonych w pkt. </w:t>
      </w:r>
      <w:r w:rsidR="00801131" w:rsidRPr="00EB2E7B">
        <w:rPr>
          <w:rFonts w:asciiTheme="minorHAnsi" w:hAnsiTheme="minorHAnsi" w:cstheme="minorHAnsi"/>
          <w:sz w:val="20"/>
          <w:szCs w:val="20"/>
        </w:rPr>
        <w:fldChar w:fldCharType="begin"/>
      </w:r>
      <w:r w:rsidR="00801131" w:rsidRPr="00EB2E7B">
        <w:rPr>
          <w:rFonts w:asciiTheme="minorHAnsi" w:hAnsiTheme="minorHAnsi" w:cstheme="minorHAnsi"/>
          <w:sz w:val="20"/>
          <w:szCs w:val="20"/>
        </w:rPr>
        <w:instrText xml:space="preserve"> REF _Ref190164724 \r \h  \* MERGEFORMAT </w:instrText>
      </w:r>
      <w:r w:rsidR="00801131" w:rsidRPr="00EB2E7B">
        <w:rPr>
          <w:rFonts w:asciiTheme="minorHAnsi" w:hAnsiTheme="minorHAnsi" w:cstheme="minorHAnsi"/>
          <w:sz w:val="20"/>
          <w:szCs w:val="20"/>
        </w:rPr>
      </w:r>
      <w:r w:rsidR="0080113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5.4</w:t>
      </w:r>
      <w:r w:rsidR="0080113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w:t>
      </w:r>
      <w:r w:rsidR="00801131" w:rsidRPr="00EB2E7B">
        <w:rPr>
          <w:rFonts w:asciiTheme="minorHAnsi" w:hAnsiTheme="minorHAnsi" w:cstheme="minorHAnsi"/>
          <w:sz w:val="20"/>
          <w:szCs w:val="20"/>
        </w:rPr>
        <w:fldChar w:fldCharType="begin"/>
      </w:r>
      <w:r w:rsidR="00801131" w:rsidRPr="00EB2E7B">
        <w:rPr>
          <w:rFonts w:asciiTheme="minorHAnsi" w:hAnsiTheme="minorHAnsi" w:cstheme="minorHAnsi"/>
          <w:sz w:val="20"/>
          <w:szCs w:val="20"/>
        </w:rPr>
        <w:instrText xml:space="preserve"> REF _Ref190164744 \r \h  \* MERGEFORMAT </w:instrText>
      </w:r>
      <w:r w:rsidR="00801131" w:rsidRPr="00EB2E7B">
        <w:rPr>
          <w:rFonts w:asciiTheme="minorHAnsi" w:hAnsiTheme="minorHAnsi" w:cstheme="minorHAnsi"/>
          <w:sz w:val="20"/>
          <w:szCs w:val="20"/>
        </w:rPr>
      </w:r>
      <w:r w:rsidR="0080113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5.5</w:t>
      </w:r>
      <w:r w:rsidR="0080113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17C3063E" w14:textId="77777777" w:rsidR="00147D04" w:rsidRPr="00EB2E7B" w:rsidRDefault="00147D04" w:rsidP="004854C6">
      <w:pPr>
        <w:pStyle w:val="ANagwek3"/>
        <w:numPr>
          <w:ilvl w:val="1"/>
          <w:numId w:val="440"/>
        </w:numPr>
        <w:rPr>
          <w:rFonts w:asciiTheme="minorHAnsi" w:hAnsiTheme="minorHAnsi" w:cstheme="minorHAnsi"/>
          <w:sz w:val="20"/>
          <w:szCs w:val="20"/>
        </w:rPr>
      </w:pPr>
      <w:r w:rsidRPr="00EB2E7B">
        <w:rPr>
          <w:rFonts w:asciiTheme="minorHAnsi" w:hAnsiTheme="minorHAnsi" w:cstheme="minorHAnsi"/>
          <w:sz w:val="20"/>
          <w:szCs w:val="20"/>
        </w:rPr>
        <w:t xml:space="preserve">Dla generatorów asynchronicznych, które dokonują rozruchu jako silnik obowiązują warunki jak dla przyłączania silników elektrycznych. Dla generatorów o mocy osiągalnej do 100 kVA przyłączonych do sieci dystrybucyjnej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prąd rozruchu nie powinien przekraczać wartości 60 A. Dla pozostałych jednostek wytwórczych prąd rozruchu należy ograniczyć w sposób zapobiegający ujemnemu wpływowi na sieć dystrybucyjną. </w:t>
      </w:r>
    </w:p>
    <w:p w14:paraId="312568F7" w14:textId="77777777" w:rsidR="00147D04" w:rsidRPr="00EB2E7B" w:rsidRDefault="00147D04" w:rsidP="004854C6">
      <w:pPr>
        <w:pStyle w:val="ANagwek3"/>
        <w:numPr>
          <w:ilvl w:val="1"/>
          <w:numId w:val="440"/>
        </w:numPr>
        <w:rPr>
          <w:rFonts w:asciiTheme="minorHAnsi" w:hAnsiTheme="minorHAnsi" w:cstheme="minorHAnsi"/>
          <w:sz w:val="20"/>
          <w:szCs w:val="20"/>
        </w:rPr>
      </w:pPr>
      <w:bookmarkStart w:id="787" w:name="_Ref190164724"/>
      <w:r w:rsidRPr="00EB2E7B">
        <w:rPr>
          <w:rFonts w:asciiTheme="minorHAnsi" w:hAnsiTheme="minorHAnsi" w:cstheme="minorHAnsi"/>
          <w:sz w:val="20"/>
          <w:szCs w:val="20"/>
        </w:rPr>
        <w:t>Dla generatorów synchronicznych wymagane jest urządzenie synchronizujące, umożliwiające załączenie generatora z zachowaniem następujących warunków synchronizacji</w:t>
      </w:r>
      <w:r w:rsidR="008A6289" w:rsidRPr="00EB2E7B">
        <w:rPr>
          <w:rFonts w:asciiTheme="minorHAnsi" w:hAnsiTheme="minorHAnsi" w:cstheme="minorHAnsi"/>
          <w:sz w:val="20"/>
          <w:szCs w:val="20"/>
        </w:rPr>
        <w:t>:</w:t>
      </w:r>
      <w:bookmarkEnd w:id="787"/>
    </w:p>
    <w:p w14:paraId="3CCF84D5" w14:textId="61F1D7CF" w:rsidR="00147D04" w:rsidRPr="00EB2E7B" w:rsidRDefault="00823143" w:rsidP="00252AFD">
      <w:pPr>
        <w:pStyle w:val="Akapitzlist"/>
        <w:numPr>
          <w:ilvl w:val="0"/>
          <w:numId w:val="447"/>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różnica napięć – ΔU &lt; ± 10% </w:t>
      </w:r>
      <w:proofErr w:type="spellStart"/>
      <w:r w:rsidRPr="00EB2E7B">
        <w:rPr>
          <w:rFonts w:asciiTheme="minorHAnsi" w:hAnsiTheme="minorHAnsi" w:cstheme="minorHAnsi"/>
          <w:sz w:val="20"/>
          <w:szCs w:val="20"/>
        </w:rPr>
        <w:t>U</w:t>
      </w:r>
      <w:r w:rsidRPr="00EB2E7B">
        <w:rPr>
          <w:rFonts w:asciiTheme="minorHAnsi" w:hAnsiTheme="minorHAnsi" w:cstheme="minorHAnsi"/>
          <w:sz w:val="20"/>
          <w:szCs w:val="20"/>
          <w:vertAlign w:val="subscript"/>
        </w:rPr>
        <w:t>n</w:t>
      </w:r>
      <w:proofErr w:type="spellEnd"/>
      <w:r w:rsidRPr="00EB2E7B">
        <w:rPr>
          <w:rFonts w:asciiTheme="minorHAnsi" w:hAnsiTheme="minorHAnsi" w:cstheme="minorHAnsi"/>
          <w:sz w:val="20"/>
          <w:szCs w:val="20"/>
        </w:rPr>
        <w:t>,</w:t>
      </w:r>
    </w:p>
    <w:p w14:paraId="20FF480B" w14:textId="15F112FE" w:rsidR="00823143" w:rsidRPr="00EB2E7B" w:rsidRDefault="007B5869" w:rsidP="00252AFD">
      <w:pPr>
        <w:pStyle w:val="Akapitzlist"/>
        <w:numPr>
          <w:ilvl w:val="0"/>
          <w:numId w:val="447"/>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różnica częstotliwości – </w:t>
      </w:r>
      <w:proofErr w:type="spellStart"/>
      <w:r w:rsidRPr="00EB2E7B">
        <w:rPr>
          <w:rFonts w:asciiTheme="minorHAnsi" w:hAnsiTheme="minorHAnsi" w:cstheme="minorHAnsi"/>
          <w:sz w:val="20"/>
          <w:szCs w:val="20"/>
        </w:rPr>
        <w:t>Δf</w:t>
      </w:r>
      <w:proofErr w:type="spellEnd"/>
      <w:r w:rsidRPr="00EB2E7B">
        <w:rPr>
          <w:rFonts w:asciiTheme="minorHAnsi" w:hAnsiTheme="minorHAnsi" w:cstheme="minorHAnsi"/>
          <w:sz w:val="20"/>
          <w:szCs w:val="20"/>
        </w:rPr>
        <w:t xml:space="preserve"> &lt; ± 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w:t>
      </w:r>
    </w:p>
    <w:p w14:paraId="32096683" w14:textId="6792B5F2" w:rsidR="007B5869" w:rsidRPr="00EB2E7B" w:rsidRDefault="007C226B" w:rsidP="00252AFD">
      <w:pPr>
        <w:pStyle w:val="Akapitzlist"/>
        <w:numPr>
          <w:ilvl w:val="0"/>
          <w:numId w:val="447"/>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różnica kąta fazowego – </w:t>
      </w:r>
      <w:proofErr w:type="spellStart"/>
      <w:r w:rsidRPr="00EB2E7B">
        <w:rPr>
          <w:rFonts w:asciiTheme="minorHAnsi" w:hAnsiTheme="minorHAnsi" w:cstheme="minorHAnsi"/>
          <w:sz w:val="20"/>
          <w:szCs w:val="20"/>
        </w:rPr>
        <w:t>Δφ</w:t>
      </w:r>
      <w:proofErr w:type="spellEnd"/>
      <w:r w:rsidRPr="00EB2E7B">
        <w:rPr>
          <w:rFonts w:asciiTheme="minorHAnsi" w:hAnsiTheme="minorHAnsi" w:cstheme="minorHAnsi"/>
          <w:sz w:val="20"/>
          <w:szCs w:val="20"/>
        </w:rPr>
        <w:t xml:space="preserve"> &lt; ± 10°,</w:t>
      </w:r>
    </w:p>
    <w:p w14:paraId="73A6C8D6" w14:textId="1FAD24B7" w:rsidR="00C87B1A" w:rsidRPr="00EB2E7B" w:rsidRDefault="00C87B1A" w:rsidP="004854C6">
      <w:pPr>
        <w:pStyle w:val="ANagwek3"/>
        <w:numPr>
          <w:ilvl w:val="1"/>
          <w:numId w:val="440"/>
        </w:numPr>
        <w:rPr>
          <w:rFonts w:asciiTheme="minorHAnsi" w:hAnsiTheme="minorHAnsi" w:cstheme="minorHAnsi"/>
          <w:sz w:val="20"/>
          <w:szCs w:val="20"/>
        </w:rPr>
      </w:pPr>
      <w:bookmarkStart w:id="788" w:name="_Ref190164744"/>
      <w:r w:rsidRPr="00EB2E7B">
        <w:rPr>
          <w:rFonts w:asciiTheme="minorHAnsi" w:hAnsiTheme="minorHAnsi" w:cstheme="minorHAnsi"/>
          <w:sz w:val="20"/>
          <w:szCs w:val="20"/>
        </w:rPr>
        <w:t xml:space="preserve">ACPRO może w uzasadnionych przypadkach ustalić inne granice warunków synchronizacji w momencie załączania generatorów synchronicznych niż podane w pkt. </w:t>
      </w:r>
      <w:r w:rsidR="00970216" w:rsidRPr="00EB2E7B">
        <w:rPr>
          <w:rFonts w:asciiTheme="minorHAnsi" w:hAnsiTheme="minorHAnsi" w:cstheme="minorHAnsi"/>
          <w:sz w:val="20"/>
          <w:szCs w:val="20"/>
        </w:rPr>
        <w:fldChar w:fldCharType="begin"/>
      </w:r>
      <w:r w:rsidR="00970216" w:rsidRPr="00EB2E7B">
        <w:rPr>
          <w:rFonts w:asciiTheme="minorHAnsi" w:hAnsiTheme="minorHAnsi" w:cstheme="minorHAnsi"/>
          <w:sz w:val="20"/>
          <w:szCs w:val="20"/>
        </w:rPr>
        <w:instrText xml:space="preserve"> REF _Ref190164724 \r \h  \* MERGEFORMAT </w:instrText>
      </w:r>
      <w:r w:rsidR="00970216" w:rsidRPr="00EB2E7B">
        <w:rPr>
          <w:rFonts w:asciiTheme="minorHAnsi" w:hAnsiTheme="minorHAnsi" w:cstheme="minorHAnsi"/>
          <w:sz w:val="20"/>
          <w:szCs w:val="20"/>
        </w:rPr>
      </w:r>
      <w:r w:rsidR="00970216"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5.4</w:t>
      </w:r>
      <w:r w:rsidR="00970216" w:rsidRPr="00EB2E7B">
        <w:rPr>
          <w:rFonts w:asciiTheme="minorHAnsi" w:hAnsiTheme="minorHAnsi" w:cstheme="minorHAnsi"/>
          <w:sz w:val="20"/>
          <w:szCs w:val="20"/>
        </w:rPr>
        <w:fldChar w:fldCharType="end"/>
      </w:r>
      <w:r w:rsidR="00970216" w:rsidRPr="00EB2E7B">
        <w:rPr>
          <w:rFonts w:asciiTheme="minorHAnsi" w:hAnsiTheme="minorHAnsi" w:cstheme="minorHAnsi"/>
          <w:sz w:val="20"/>
          <w:szCs w:val="20"/>
        </w:rPr>
        <w:t>.</w:t>
      </w:r>
      <w:bookmarkEnd w:id="788"/>
      <w:r w:rsidRPr="00EB2E7B">
        <w:rPr>
          <w:rFonts w:asciiTheme="minorHAnsi" w:hAnsiTheme="minorHAnsi" w:cstheme="minorHAnsi"/>
          <w:sz w:val="20"/>
          <w:szCs w:val="20"/>
        </w:rPr>
        <w:t xml:space="preserve"> </w:t>
      </w:r>
    </w:p>
    <w:p w14:paraId="02B1C30E" w14:textId="77777777" w:rsidR="00C87B1A" w:rsidRPr="00EB2E7B" w:rsidRDefault="00C87B1A" w:rsidP="004854C6">
      <w:pPr>
        <w:pStyle w:val="ANagwek3"/>
        <w:numPr>
          <w:ilvl w:val="1"/>
          <w:numId w:val="440"/>
        </w:numPr>
        <w:rPr>
          <w:rFonts w:asciiTheme="minorHAnsi" w:hAnsiTheme="minorHAnsi" w:cstheme="minorHAnsi"/>
          <w:sz w:val="20"/>
          <w:szCs w:val="20"/>
        </w:rPr>
      </w:pPr>
      <w:r w:rsidRPr="00EB2E7B">
        <w:rPr>
          <w:rFonts w:asciiTheme="minorHAnsi" w:hAnsiTheme="minorHAnsi" w:cstheme="minorHAnsi"/>
          <w:sz w:val="20"/>
          <w:szCs w:val="20"/>
        </w:rPr>
        <w:t xml:space="preserve">Falowniki załącza się tylko, gdy są one bez napięcia po stronie prądu przemiennego. Przy zdolnych do pracy wyspowej jednostkach wytwórczych z falownikami, które nie są przyłączane </w:t>
      </w:r>
      <w:proofErr w:type="spellStart"/>
      <w:r w:rsidRPr="00EB2E7B">
        <w:rPr>
          <w:rFonts w:asciiTheme="minorHAnsi" w:hAnsiTheme="minorHAnsi" w:cstheme="minorHAnsi"/>
          <w:sz w:val="20"/>
          <w:szCs w:val="20"/>
        </w:rPr>
        <w:t>beznapięciowo</w:t>
      </w:r>
      <w:proofErr w:type="spellEnd"/>
      <w:r w:rsidRPr="00EB2E7B">
        <w:rPr>
          <w:rFonts w:asciiTheme="minorHAnsi" w:hAnsiTheme="minorHAnsi" w:cstheme="minorHAnsi"/>
          <w:sz w:val="20"/>
          <w:szCs w:val="20"/>
        </w:rPr>
        <w:t xml:space="preserve">, należy dotrzymać warunków jak dla załączania generatorów synchronicznych. </w:t>
      </w:r>
    </w:p>
    <w:p w14:paraId="206102EE" w14:textId="633117B4" w:rsidR="008E30DF" w:rsidRPr="00EB2E7B" w:rsidRDefault="00C87B1A" w:rsidP="004854C6">
      <w:pPr>
        <w:pStyle w:val="ANagwek3"/>
        <w:numPr>
          <w:ilvl w:val="1"/>
          <w:numId w:val="440"/>
        </w:numPr>
        <w:rPr>
          <w:rFonts w:asciiTheme="minorHAnsi" w:hAnsiTheme="minorHAnsi" w:cstheme="minorHAnsi"/>
          <w:sz w:val="20"/>
          <w:szCs w:val="20"/>
        </w:rPr>
      </w:pPr>
      <w:r w:rsidRPr="00EB2E7B">
        <w:rPr>
          <w:rFonts w:asciiTheme="minorHAnsi" w:hAnsiTheme="minorHAnsi" w:cstheme="minorHAnsi"/>
          <w:sz w:val="20"/>
          <w:szCs w:val="20"/>
        </w:rPr>
        <w:lastRenderedPageBreak/>
        <w:t>Załączanie generatorów do ruchu powinno odbywać się sekwencyjnie, w trybie uzgodnionym z ACPRO</w:t>
      </w:r>
      <w:r w:rsidR="008E30DF" w:rsidRPr="00EB2E7B">
        <w:rPr>
          <w:rFonts w:asciiTheme="minorHAnsi" w:hAnsiTheme="minorHAnsi" w:cstheme="minorHAnsi"/>
          <w:sz w:val="20"/>
          <w:szCs w:val="20"/>
        </w:rPr>
        <w:t>.</w:t>
      </w:r>
    </w:p>
    <w:p w14:paraId="08913F30" w14:textId="5AEDA437" w:rsidR="008A6289" w:rsidRPr="00EB2E7B" w:rsidRDefault="009A0E61" w:rsidP="004854C6">
      <w:pPr>
        <w:pStyle w:val="ANagwek3"/>
        <w:numPr>
          <w:ilvl w:val="1"/>
          <w:numId w:val="440"/>
        </w:numPr>
        <w:rPr>
          <w:rFonts w:asciiTheme="minorHAnsi" w:hAnsiTheme="minorHAnsi" w:cstheme="minorHAnsi"/>
          <w:sz w:val="20"/>
          <w:szCs w:val="20"/>
        </w:rPr>
      </w:pPr>
      <w:r w:rsidRPr="00EB2E7B">
        <w:rPr>
          <w:rFonts w:asciiTheme="minorHAnsi" w:hAnsiTheme="minorHAnsi" w:cstheme="minorHAnsi"/>
          <w:sz w:val="20"/>
          <w:szCs w:val="20"/>
        </w:rPr>
        <w:t xml:space="preserve">Wymagania pkt. </w:t>
      </w:r>
      <w:r w:rsidR="00B42ACD" w:rsidRPr="00EB2E7B">
        <w:rPr>
          <w:rFonts w:asciiTheme="minorHAnsi" w:hAnsiTheme="minorHAnsi" w:cstheme="minorHAnsi"/>
          <w:sz w:val="20"/>
          <w:szCs w:val="20"/>
        </w:rPr>
        <w:fldChar w:fldCharType="begin"/>
      </w:r>
      <w:r w:rsidR="00B42ACD" w:rsidRPr="00EB2E7B">
        <w:rPr>
          <w:rFonts w:asciiTheme="minorHAnsi" w:hAnsiTheme="minorHAnsi" w:cstheme="minorHAnsi"/>
          <w:sz w:val="20"/>
          <w:szCs w:val="20"/>
        </w:rPr>
        <w:instrText xml:space="preserve"> REF _Ref190164803 \r \h  \* MERGEFORMAT </w:instrText>
      </w:r>
      <w:r w:rsidR="00B42ACD" w:rsidRPr="00EB2E7B">
        <w:rPr>
          <w:rFonts w:asciiTheme="minorHAnsi" w:hAnsiTheme="minorHAnsi" w:cstheme="minorHAnsi"/>
          <w:sz w:val="20"/>
          <w:szCs w:val="20"/>
        </w:rPr>
      </w:r>
      <w:r w:rsidR="00B42AC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5</w:t>
      </w:r>
      <w:r w:rsidR="00B42ACD"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niniejszego załącznika nie dotyczą mikroinstalacji.</w:t>
      </w:r>
    </w:p>
    <w:p w14:paraId="10ABEFF2" w14:textId="77777777" w:rsidR="008A6289" w:rsidRPr="00EB2E7B" w:rsidRDefault="008A6289" w:rsidP="00494A86">
      <w:pPr>
        <w:pStyle w:val="NormalnyIRiESD"/>
        <w:numPr>
          <w:ilvl w:val="0"/>
          <w:numId w:val="0"/>
        </w:numPr>
        <w:ind w:left="1134" w:hanging="1134"/>
        <w:rPr>
          <w:rFonts w:asciiTheme="minorHAnsi" w:hAnsiTheme="minorHAnsi" w:cstheme="minorHAnsi"/>
          <w:sz w:val="20"/>
          <w:szCs w:val="20"/>
        </w:rPr>
      </w:pPr>
    </w:p>
    <w:p w14:paraId="447E143B" w14:textId="548D85D5" w:rsidR="00EF5EEC" w:rsidRPr="00EB2E7B" w:rsidRDefault="00C13F2D" w:rsidP="00494A86">
      <w:pPr>
        <w:pStyle w:val="ANagwek2"/>
        <w:numPr>
          <w:ilvl w:val="6"/>
          <w:numId w:val="384"/>
        </w:numPr>
        <w:ind w:left="1134" w:hanging="1134"/>
        <w:rPr>
          <w:rFonts w:asciiTheme="minorHAnsi" w:hAnsiTheme="minorHAnsi" w:cstheme="minorHAnsi"/>
          <w:sz w:val="20"/>
          <w:szCs w:val="20"/>
        </w:rPr>
      </w:pPr>
      <w:bookmarkStart w:id="789" w:name="_Toc189833861"/>
      <w:bookmarkStart w:id="790" w:name="_Ref190164836"/>
      <w:bookmarkStart w:id="791" w:name="_Toc239333461"/>
      <w:r w:rsidRPr="00EB2E7B">
        <w:rPr>
          <w:rFonts w:asciiTheme="minorHAnsi" w:hAnsiTheme="minorHAnsi" w:cstheme="minorHAnsi"/>
          <w:sz w:val="20"/>
          <w:szCs w:val="20"/>
        </w:rPr>
        <w:t>CZĘSTOTLIWOŚĆ I NAPIĘCIE</w:t>
      </w:r>
      <w:bookmarkEnd w:id="789"/>
      <w:bookmarkEnd w:id="790"/>
      <w:bookmarkEnd w:id="791"/>
    </w:p>
    <w:p w14:paraId="14327785" w14:textId="478A3635" w:rsidR="000B6803" w:rsidRPr="00EB2E7B" w:rsidRDefault="000B6803" w:rsidP="004854C6">
      <w:pPr>
        <w:pStyle w:val="ANagwek3"/>
        <w:numPr>
          <w:ilvl w:val="1"/>
          <w:numId w:val="439"/>
        </w:numPr>
        <w:rPr>
          <w:rFonts w:asciiTheme="minorHAnsi" w:hAnsiTheme="minorHAnsi" w:cstheme="minorHAnsi"/>
          <w:sz w:val="20"/>
          <w:szCs w:val="20"/>
        </w:rPr>
      </w:pPr>
      <w:r w:rsidRPr="00EB2E7B">
        <w:rPr>
          <w:rFonts w:asciiTheme="minorHAnsi" w:hAnsiTheme="minorHAnsi" w:cstheme="minorHAnsi"/>
          <w:sz w:val="20"/>
          <w:szCs w:val="20"/>
        </w:rPr>
        <w:t xml:space="preserve">Oddziaływanie jednostek wytwórczych na warunki pracy sieci dystrybucyjnej należy ograniczać w takim stopniu, aby nie zostały przekroczone, w miejscu dostarczania energii elektrycznej z jednostki wytwórczej do sieci dystrybucyjnej, wymagania określone w niniejszym pkt. </w:t>
      </w:r>
      <w:r w:rsidR="00C81EE7" w:rsidRPr="00EB2E7B">
        <w:rPr>
          <w:rFonts w:asciiTheme="minorHAnsi" w:hAnsiTheme="minorHAnsi" w:cstheme="minorHAnsi"/>
          <w:sz w:val="20"/>
          <w:szCs w:val="20"/>
        </w:rPr>
        <w:fldChar w:fldCharType="begin"/>
      </w:r>
      <w:r w:rsidR="00C81EE7" w:rsidRPr="00EB2E7B">
        <w:rPr>
          <w:rFonts w:asciiTheme="minorHAnsi" w:hAnsiTheme="minorHAnsi" w:cstheme="minorHAnsi"/>
          <w:sz w:val="20"/>
          <w:szCs w:val="20"/>
        </w:rPr>
        <w:instrText xml:space="preserve"> REF _Ref190164836 \r \h  \* MERGEFORMAT </w:instrText>
      </w:r>
      <w:r w:rsidR="00C81EE7" w:rsidRPr="00EB2E7B">
        <w:rPr>
          <w:rFonts w:asciiTheme="minorHAnsi" w:hAnsiTheme="minorHAnsi" w:cstheme="minorHAnsi"/>
          <w:sz w:val="20"/>
          <w:szCs w:val="20"/>
        </w:rPr>
      </w:r>
      <w:r w:rsidR="00C81EE7"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6</w:t>
      </w:r>
      <w:r w:rsidR="00C81EE7"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niniejszego załącznika. </w:t>
      </w:r>
    </w:p>
    <w:p w14:paraId="0E5E7D29" w14:textId="77777777" w:rsidR="000B6803" w:rsidRPr="00EB2E7B" w:rsidRDefault="000B6803" w:rsidP="004854C6">
      <w:pPr>
        <w:pStyle w:val="ANagwek3"/>
        <w:numPr>
          <w:ilvl w:val="1"/>
          <w:numId w:val="439"/>
        </w:numPr>
        <w:rPr>
          <w:rFonts w:asciiTheme="minorHAnsi" w:hAnsiTheme="minorHAnsi" w:cstheme="minorHAnsi"/>
          <w:sz w:val="20"/>
          <w:szCs w:val="20"/>
        </w:rPr>
      </w:pPr>
      <w:r w:rsidRPr="00EB2E7B">
        <w:rPr>
          <w:rFonts w:asciiTheme="minorHAnsi" w:hAnsiTheme="minorHAnsi" w:cstheme="minorHAnsi"/>
          <w:sz w:val="20"/>
          <w:szCs w:val="20"/>
        </w:rPr>
        <w:t xml:space="preserve">Częstotliwość znamionowa wynosi 50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z dopuszczalnym odchyleniem zawierającym się w przedziale od -0,5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do +0,5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przez 99,5% czasu tygodnia. </w:t>
      </w:r>
    </w:p>
    <w:p w14:paraId="0CA07B5C" w14:textId="77777777" w:rsidR="000B6803" w:rsidRPr="00EB2E7B" w:rsidRDefault="000B6803" w:rsidP="004854C6">
      <w:pPr>
        <w:pStyle w:val="ANagwek3"/>
        <w:numPr>
          <w:ilvl w:val="1"/>
          <w:numId w:val="439"/>
        </w:numPr>
        <w:rPr>
          <w:rFonts w:asciiTheme="minorHAnsi" w:hAnsiTheme="minorHAnsi" w:cstheme="minorHAnsi"/>
          <w:sz w:val="20"/>
          <w:szCs w:val="20"/>
        </w:rPr>
      </w:pPr>
      <w:r w:rsidRPr="00EB2E7B">
        <w:rPr>
          <w:rFonts w:asciiTheme="minorHAnsi" w:hAnsiTheme="minorHAnsi" w:cstheme="minorHAnsi"/>
          <w:sz w:val="20"/>
          <w:szCs w:val="20"/>
        </w:rPr>
        <w:t xml:space="preserve">Dla jednostek wytwórczych przyłączonych do sieci dystrybucyjnej, w każdym tygodniu, 95% ze zbioru 10-minutowych średnich wartości skutecznych napięcia zasilającego powinno mieścić się w przedziale odchyleń ±5% napięcia znamionowego lub deklarowanego (w sieciach niskiego napięcia wartości napięć deklarowanych i znamionowych są równe). </w:t>
      </w:r>
    </w:p>
    <w:p w14:paraId="6A277557" w14:textId="6A7AD18D" w:rsidR="000B6803" w:rsidRPr="00EB2E7B" w:rsidRDefault="000B6803" w:rsidP="004854C6">
      <w:pPr>
        <w:pStyle w:val="ANagwek3"/>
        <w:numPr>
          <w:ilvl w:val="1"/>
          <w:numId w:val="439"/>
        </w:numPr>
        <w:rPr>
          <w:rFonts w:asciiTheme="minorHAnsi" w:hAnsiTheme="minorHAnsi" w:cstheme="minorHAnsi"/>
          <w:sz w:val="20"/>
          <w:szCs w:val="20"/>
        </w:rPr>
      </w:pPr>
      <w:r w:rsidRPr="00EB2E7B">
        <w:rPr>
          <w:rFonts w:asciiTheme="minorHAnsi" w:hAnsiTheme="minorHAnsi" w:cstheme="minorHAnsi"/>
          <w:sz w:val="20"/>
          <w:szCs w:val="20"/>
        </w:rPr>
        <w:t xml:space="preserve">Dla miejsc przyłączenia w sieci dystrybucyjnej o napięciu znamionowym SN 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 xml:space="preserve"> zawartość poszczególnych harmonicznych odniesionych do harmonicznej podstawowej nie może przekraczać 0,5%. </w:t>
      </w:r>
    </w:p>
    <w:p w14:paraId="1A7DFB97" w14:textId="77777777" w:rsidR="000B6803" w:rsidRPr="00EB2E7B" w:rsidRDefault="000B6803" w:rsidP="004854C6">
      <w:pPr>
        <w:pStyle w:val="ANagwek3"/>
        <w:numPr>
          <w:ilvl w:val="1"/>
          <w:numId w:val="439"/>
        </w:numPr>
        <w:rPr>
          <w:rFonts w:asciiTheme="minorHAnsi" w:hAnsiTheme="minorHAnsi" w:cstheme="minorHAnsi"/>
          <w:sz w:val="20"/>
          <w:szCs w:val="20"/>
        </w:rPr>
      </w:pPr>
      <w:r w:rsidRPr="00EB2E7B">
        <w:rPr>
          <w:rFonts w:asciiTheme="minorHAnsi" w:hAnsiTheme="minorHAnsi" w:cstheme="minorHAnsi"/>
          <w:sz w:val="20"/>
          <w:szCs w:val="20"/>
        </w:rPr>
        <w:t>Współczynnik THD (uwzględniający wszystkie harmoniczne, aż do rzędu 40) odkształcenia napięcia nie może przekraczać odpowiednio</w:t>
      </w:r>
      <w:r w:rsidR="00AA4A2D" w:rsidRPr="00EB2E7B">
        <w:rPr>
          <w:rFonts w:asciiTheme="minorHAnsi" w:hAnsiTheme="minorHAnsi" w:cstheme="minorHAnsi"/>
          <w:sz w:val="20"/>
          <w:szCs w:val="20"/>
        </w:rPr>
        <w:t>:</w:t>
      </w:r>
    </w:p>
    <w:p w14:paraId="37BDEDB7" w14:textId="77777777" w:rsidR="00B94E91" w:rsidRPr="00EB2E7B" w:rsidRDefault="00B94E91" w:rsidP="00B01C33">
      <w:pPr>
        <w:pStyle w:val="Akapitzlist"/>
        <w:numPr>
          <w:ilvl w:val="0"/>
          <w:numId w:val="448"/>
        </w:numPr>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1,5% – dla miejsc przyłączenia w sieci o napięciu znamionowym nie wyższym niż 110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i wyższym niż 30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w:t>
      </w:r>
    </w:p>
    <w:p w14:paraId="676F5CD4" w14:textId="77777777" w:rsidR="00B94E91" w:rsidRPr="00EB2E7B" w:rsidRDefault="00B94E91" w:rsidP="00B01C33">
      <w:pPr>
        <w:pStyle w:val="Akapitzlist"/>
        <w:numPr>
          <w:ilvl w:val="0"/>
          <w:numId w:val="448"/>
        </w:numPr>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3,0% – dla miejsc przyłączenia w sieci o napięciu znamionowym nie wyższym niż 30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i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 xml:space="preserve">, </w:t>
      </w:r>
    </w:p>
    <w:p w14:paraId="4AD6535E" w14:textId="2D711CEC" w:rsidR="000B6803" w:rsidRPr="00EB2E7B" w:rsidRDefault="00B94E91" w:rsidP="00B01C33">
      <w:pPr>
        <w:pStyle w:val="Akapitzlist"/>
        <w:numPr>
          <w:ilvl w:val="0"/>
          <w:numId w:val="448"/>
        </w:numPr>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5,0% – dla miejsc przyłączenia w sieci o napięciu znamionowym nie wyższym niż 1 </w:t>
      </w:r>
      <w:proofErr w:type="spellStart"/>
      <w:r w:rsidRPr="00EB2E7B">
        <w:rPr>
          <w:rFonts w:asciiTheme="minorHAnsi" w:hAnsiTheme="minorHAnsi" w:cstheme="minorHAnsi"/>
          <w:sz w:val="20"/>
          <w:szCs w:val="20"/>
        </w:rPr>
        <w:t>kV</w:t>
      </w:r>
      <w:proofErr w:type="spellEnd"/>
      <w:r w:rsidRPr="00EB2E7B">
        <w:rPr>
          <w:rFonts w:asciiTheme="minorHAnsi" w:hAnsiTheme="minorHAnsi" w:cstheme="minorHAnsi"/>
          <w:sz w:val="20"/>
          <w:szCs w:val="20"/>
        </w:rPr>
        <w:t>.</w:t>
      </w:r>
    </w:p>
    <w:p w14:paraId="7C99AD5C" w14:textId="77777777" w:rsidR="000677D4" w:rsidRPr="00EB2E7B" w:rsidRDefault="000677D4" w:rsidP="004854C6">
      <w:pPr>
        <w:pStyle w:val="ANagwek3"/>
        <w:numPr>
          <w:ilvl w:val="1"/>
          <w:numId w:val="439"/>
        </w:numPr>
        <w:rPr>
          <w:rFonts w:asciiTheme="minorHAnsi" w:hAnsiTheme="minorHAnsi" w:cstheme="minorHAnsi"/>
          <w:sz w:val="20"/>
          <w:szCs w:val="20"/>
        </w:rPr>
      </w:pPr>
      <w:r w:rsidRPr="00EB2E7B">
        <w:rPr>
          <w:rFonts w:asciiTheme="minorHAnsi" w:hAnsiTheme="minorHAnsi" w:cstheme="minorHAnsi"/>
          <w:sz w:val="20"/>
          <w:szCs w:val="20"/>
        </w:rPr>
        <w:t>Dla jednostek wytwórczych współpracujących z falownikami, w których zastosowany jest przekształtnik sześciopołówkowy z wygładzaniem indukcyjnym i nie są stosowane szczególne środki do redukcji wyższych harmonicznych, powinien być spełniony następujący warunek</w:t>
      </w:r>
    </w:p>
    <w:p w14:paraId="7F015CAF" w14:textId="0519B78E" w:rsidR="000677D4" w:rsidRPr="00EB2E7B" w:rsidRDefault="00792922" w:rsidP="00B01C33">
      <w:pPr>
        <w:rPr>
          <w:rFonts w:asciiTheme="minorHAnsi" w:hAnsiTheme="minorHAnsi" w:cstheme="minorHAnsi"/>
          <w:sz w:val="20"/>
          <w:szCs w:val="20"/>
        </w:rPr>
      </w:pPr>
      <m:oMathPara>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rA</m:t>
                  </m:r>
                </m:sub>
              </m:sSub>
            </m:num>
            <m:den>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kV</m:t>
                  </m:r>
                </m:sub>
              </m:sSub>
            </m:den>
          </m:f>
          <m:r>
            <w:rPr>
              <w:rFonts w:ascii="Cambria Math" w:hAnsi="Cambria Math" w:cstheme="minorHAnsi"/>
              <w:sz w:val="20"/>
              <w:szCs w:val="20"/>
            </w:rPr>
            <m:t xml:space="preserve"> &lt;</m:t>
          </m:r>
          <m:f>
            <m:fPr>
              <m:ctrlPr>
                <w:rPr>
                  <w:rFonts w:ascii="Cambria Math" w:hAnsi="Cambria Math" w:cstheme="minorHAnsi"/>
                  <w:i/>
                  <w:sz w:val="20"/>
                  <w:szCs w:val="20"/>
                </w:rPr>
              </m:ctrlPr>
            </m:fPr>
            <m:num>
              <m:r>
                <w:rPr>
                  <w:rFonts w:ascii="Cambria Math" w:hAnsi="Cambria Math" w:cstheme="minorHAnsi"/>
                  <w:sz w:val="20"/>
                  <w:szCs w:val="20"/>
                </w:rPr>
                <m:t>1</m:t>
              </m:r>
            </m:num>
            <m:den>
              <m:r>
                <w:rPr>
                  <w:rFonts w:ascii="Cambria Math" w:hAnsi="Cambria Math" w:cstheme="minorHAnsi"/>
                  <w:sz w:val="20"/>
                  <w:szCs w:val="20"/>
                </w:rPr>
                <m:t>120</m:t>
              </m:r>
            </m:den>
          </m:f>
        </m:oMath>
      </m:oMathPara>
    </w:p>
    <w:p w14:paraId="620A1FEF" w14:textId="77777777" w:rsidR="00541321" w:rsidRPr="00EB2E7B" w:rsidRDefault="00541321" w:rsidP="00541321">
      <w:pPr>
        <w:ind w:left="1134" w:firstLine="0"/>
        <w:rPr>
          <w:rFonts w:asciiTheme="minorHAnsi" w:hAnsiTheme="minorHAnsi" w:cstheme="minorHAnsi"/>
          <w:sz w:val="20"/>
          <w:szCs w:val="20"/>
        </w:rPr>
      </w:pPr>
      <w:r w:rsidRPr="00EB2E7B">
        <w:rPr>
          <w:rFonts w:asciiTheme="minorHAnsi" w:hAnsiTheme="minorHAnsi" w:cstheme="minorHAnsi"/>
          <w:sz w:val="20"/>
          <w:szCs w:val="20"/>
        </w:rPr>
        <w:t>gdzie:</w:t>
      </w:r>
    </w:p>
    <w:p w14:paraId="39780711" w14:textId="77777777" w:rsidR="00541321" w:rsidRPr="00EB2E7B" w:rsidRDefault="00541321" w:rsidP="00541321">
      <w:pPr>
        <w:ind w:left="1134" w:firstLine="0"/>
        <w:rPr>
          <w:rFonts w:asciiTheme="minorHAnsi" w:hAnsiTheme="minorHAnsi" w:cstheme="minorHAnsi"/>
          <w:sz w:val="20"/>
          <w:szCs w:val="20"/>
        </w:rPr>
      </w:pPr>
      <w:proofErr w:type="spellStart"/>
      <w:r w:rsidRPr="00EB2E7B">
        <w:rPr>
          <w:rFonts w:asciiTheme="minorHAnsi" w:hAnsiTheme="minorHAnsi" w:cstheme="minorHAnsi"/>
          <w:i/>
          <w:sz w:val="20"/>
          <w:szCs w:val="20"/>
        </w:rPr>
        <w:t>S</w:t>
      </w:r>
      <w:r w:rsidRPr="00EB2E7B">
        <w:rPr>
          <w:rFonts w:asciiTheme="minorHAnsi" w:hAnsiTheme="minorHAnsi" w:cstheme="minorHAnsi"/>
          <w:i/>
          <w:sz w:val="20"/>
          <w:szCs w:val="20"/>
          <w:vertAlign w:val="subscript"/>
        </w:rPr>
        <w:t>rA</w:t>
      </w:r>
      <w:proofErr w:type="spellEnd"/>
      <w:r w:rsidRPr="00EB2E7B">
        <w:rPr>
          <w:rFonts w:asciiTheme="minorHAnsi" w:hAnsiTheme="minorHAnsi" w:cstheme="minorHAnsi"/>
          <w:sz w:val="20"/>
          <w:szCs w:val="20"/>
        </w:rPr>
        <w:t xml:space="preserve"> – moc osiągalna jednostki wytwórczej,</w:t>
      </w:r>
    </w:p>
    <w:p w14:paraId="45B54913" w14:textId="0AC0CAB1" w:rsidR="00541321" w:rsidRPr="00EB2E7B" w:rsidRDefault="00541321" w:rsidP="00541321">
      <w:pPr>
        <w:ind w:left="1134" w:firstLine="0"/>
        <w:rPr>
          <w:rFonts w:asciiTheme="minorHAnsi" w:hAnsiTheme="minorHAnsi" w:cstheme="minorHAnsi"/>
          <w:sz w:val="20"/>
          <w:szCs w:val="20"/>
        </w:rPr>
      </w:pPr>
      <w:proofErr w:type="spellStart"/>
      <w:r w:rsidRPr="00EB2E7B">
        <w:rPr>
          <w:rFonts w:asciiTheme="minorHAnsi" w:hAnsiTheme="minorHAnsi" w:cstheme="minorHAnsi"/>
          <w:i/>
          <w:sz w:val="20"/>
          <w:szCs w:val="20"/>
        </w:rPr>
        <w:t>S</w:t>
      </w:r>
      <w:r w:rsidRPr="00EB2E7B">
        <w:rPr>
          <w:rFonts w:asciiTheme="minorHAnsi" w:hAnsiTheme="minorHAnsi" w:cstheme="minorHAnsi"/>
          <w:i/>
          <w:sz w:val="20"/>
          <w:szCs w:val="20"/>
          <w:vertAlign w:val="subscript"/>
        </w:rPr>
        <w:t>kV</w:t>
      </w:r>
      <w:proofErr w:type="spellEnd"/>
      <w:r w:rsidRPr="00EB2E7B">
        <w:rPr>
          <w:rFonts w:asciiTheme="minorHAnsi" w:hAnsiTheme="minorHAnsi" w:cstheme="minorHAnsi"/>
          <w:i/>
          <w:sz w:val="20"/>
          <w:szCs w:val="20"/>
        </w:rPr>
        <w:t xml:space="preserve"> </w:t>
      </w:r>
      <w:r w:rsidRPr="00EB2E7B">
        <w:rPr>
          <w:rFonts w:asciiTheme="minorHAnsi" w:hAnsiTheme="minorHAnsi" w:cstheme="minorHAnsi"/>
          <w:sz w:val="20"/>
          <w:szCs w:val="20"/>
        </w:rPr>
        <w:t>– moc zwarciowa w miejscu przyłączenia jednostki wytwórczej do sieci dystrybucyjnej, określona jako iloraz kwadratu napięcia znamionowego sieci oraz sumy impedancji linii od transformatora do miejsca przyłączenia i impedancji transformatora.</w:t>
      </w:r>
    </w:p>
    <w:p w14:paraId="77E9A16E" w14:textId="0981141B" w:rsidR="00002EED" w:rsidRPr="00EB2E7B" w:rsidRDefault="001777DB" w:rsidP="004854C6">
      <w:pPr>
        <w:pStyle w:val="ANagwek3"/>
        <w:numPr>
          <w:ilvl w:val="1"/>
          <w:numId w:val="439"/>
        </w:numPr>
        <w:rPr>
          <w:rFonts w:asciiTheme="minorHAnsi" w:hAnsiTheme="minorHAnsi" w:cstheme="minorHAnsi"/>
          <w:sz w:val="20"/>
          <w:szCs w:val="20"/>
        </w:rPr>
      </w:pPr>
      <w:bookmarkStart w:id="792" w:name="_Ref190164916"/>
      <w:r w:rsidRPr="00EB2E7B">
        <w:rPr>
          <w:rFonts w:asciiTheme="minorHAnsi" w:hAnsiTheme="minorHAnsi" w:cstheme="minorHAnsi"/>
          <w:sz w:val="20"/>
          <w:szCs w:val="20"/>
        </w:rPr>
        <w:t xml:space="preserve">W normalnych warunkach pracy sieci dystrybucyjnej, w ciągu każdego tygodnia, wskaźnik długookresowego migotania światła </w:t>
      </w:r>
      <w:proofErr w:type="spellStart"/>
      <w:r w:rsidRPr="00EB2E7B">
        <w:rPr>
          <w:rFonts w:asciiTheme="minorHAnsi" w:hAnsiTheme="minorHAnsi" w:cstheme="minorHAnsi"/>
          <w:sz w:val="20"/>
          <w:szCs w:val="20"/>
        </w:rPr>
        <w:t>P</w:t>
      </w:r>
      <w:r w:rsidRPr="00EB2E7B">
        <w:rPr>
          <w:rFonts w:asciiTheme="minorHAnsi" w:hAnsiTheme="minorHAnsi" w:cstheme="minorHAnsi"/>
          <w:sz w:val="20"/>
          <w:szCs w:val="20"/>
          <w:vertAlign w:val="subscript"/>
        </w:rPr>
        <w:t>lt</w:t>
      </w:r>
      <w:proofErr w:type="spellEnd"/>
      <w:r w:rsidRPr="00EB2E7B">
        <w:rPr>
          <w:rFonts w:asciiTheme="minorHAnsi" w:hAnsiTheme="minorHAnsi" w:cstheme="minorHAnsi"/>
          <w:sz w:val="20"/>
          <w:szCs w:val="20"/>
        </w:rPr>
        <w:t xml:space="preserve"> spowodowanego wahaniami napięcia, przez 95% czasu, powinien spełniać warunek: </w:t>
      </w:r>
      <w:proofErr w:type="spellStart"/>
      <w:r w:rsidRPr="00EB2E7B">
        <w:rPr>
          <w:rFonts w:asciiTheme="minorHAnsi" w:hAnsiTheme="minorHAnsi" w:cstheme="minorHAnsi"/>
          <w:sz w:val="20"/>
          <w:szCs w:val="20"/>
        </w:rPr>
        <w:t>P</w:t>
      </w:r>
      <w:r w:rsidRPr="00EB2E7B">
        <w:rPr>
          <w:rFonts w:asciiTheme="minorHAnsi" w:hAnsiTheme="minorHAnsi" w:cstheme="minorHAnsi"/>
          <w:sz w:val="20"/>
          <w:szCs w:val="20"/>
          <w:vertAlign w:val="subscript"/>
        </w:rPr>
        <w:t>lt</w:t>
      </w:r>
      <w:proofErr w:type="spellEnd"/>
      <w:r w:rsidRPr="00EB2E7B">
        <w:rPr>
          <w:rFonts w:asciiTheme="minorHAnsi" w:hAnsiTheme="minorHAnsi" w:cstheme="minorHAnsi"/>
          <w:sz w:val="20"/>
          <w:szCs w:val="20"/>
        </w:rPr>
        <w:t xml:space="preserve"> </w:t>
      </w:r>
      <w:r w:rsidR="00002EED" w:rsidRPr="00EB2E7B">
        <w:rPr>
          <w:rFonts w:asciiTheme="minorHAnsi" w:hAnsiTheme="minorHAnsi" w:cstheme="minorHAnsi"/>
          <w:sz w:val="20"/>
          <w:szCs w:val="20"/>
        </w:rPr>
        <w:t>≤</w:t>
      </w:r>
      <w:r w:rsidRPr="00EB2E7B">
        <w:rPr>
          <w:rFonts w:asciiTheme="minorHAnsi" w:hAnsiTheme="minorHAnsi" w:cstheme="minorHAnsi"/>
          <w:sz w:val="20"/>
          <w:szCs w:val="20"/>
        </w:rPr>
        <w:t xml:space="preserve"> 0,6 za wyjątkiem farm wiatrowych, dla których współczynnik </w:t>
      </w:r>
      <w:proofErr w:type="spellStart"/>
      <w:r w:rsidRPr="00EB2E7B">
        <w:rPr>
          <w:rFonts w:asciiTheme="minorHAnsi" w:hAnsiTheme="minorHAnsi" w:cstheme="minorHAnsi"/>
          <w:sz w:val="20"/>
          <w:szCs w:val="20"/>
        </w:rPr>
        <w:t>P</w:t>
      </w:r>
      <w:r w:rsidRPr="00EB2E7B">
        <w:rPr>
          <w:rFonts w:asciiTheme="minorHAnsi" w:hAnsiTheme="minorHAnsi" w:cstheme="minorHAnsi"/>
          <w:sz w:val="20"/>
          <w:szCs w:val="20"/>
          <w:vertAlign w:val="subscript"/>
        </w:rPr>
        <w:t>lt</w:t>
      </w:r>
      <w:proofErr w:type="spellEnd"/>
      <w:r w:rsidRPr="00EB2E7B">
        <w:rPr>
          <w:rFonts w:asciiTheme="minorHAnsi" w:hAnsiTheme="minorHAnsi" w:cstheme="minorHAnsi"/>
          <w:sz w:val="20"/>
          <w:szCs w:val="20"/>
        </w:rPr>
        <w:t xml:space="preserve"> określono w pkt. </w:t>
      </w:r>
      <w:r w:rsidR="00880B2C" w:rsidRPr="00EB2E7B">
        <w:rPr>
          <w:rFonts w:asciiTheme="minorHAnsi" w:hAnsiTheme="minorHAnsi" w:cstheme="minorHAnsi"/>
          <w:sz w:val="20"/>
          <w:szCs w:val="20"/>
        </w:rPr>
        <w:fldChar w:fldCharType="begin"/>
      </w:r>
      <w:r w:rsidR="00880B2C" w:rsidRPr="00EB2E7B">
        <w:rPr>
          <w:rFonts w:asciiTheme="minorHAnsi" w:hAnsiTheme="minorHAnsi" w:cstheme="minorHAnsi"/>
          <w:sz w:val="20"/>
          <w:szCs w:val="20"/>
        </w:rPr>
        <w:instrText xml:space="preserve"> REF _Ref190164881 \r \h  \* MERGEFORMAT </w:instrText>
      </w:r>
      <w:r w:rsidR="00880B2C" w:rsidRPr="00EB2E7B">
        <w:rPr>
          <w:rFonts w:asciiTheme="minorHAnsi" w:hAnsiTheme="minorHAnsi" w:cstheme="minorHAnsi"/>
          <w:sz w:val="20"/>
          <w:szCs w:val="20"/>
        </w:rPr>
      </w:r>
      <w:r w:rsidR="00880B2C"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8.7.3</w:t>
      </w:r>
      <w:r w:rsidR="00880B2C"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bookmarkEnd w:id="792"/>
    </w:p>
    <w:p w14:paraId="509DA86C" w14:textId="1C7E23DB" w:rsidR="002B3ABB" w:rsidRPr="00EB2E7B" w:rsidRDefault="002B3ABB" w:rsidP="004854C6">
      <w:pPr>
        <w:pStyle w:val="ANagwek3"/>
        <w:numPr>
          <w:ilvl w:val="1"/>
          <w:numId w:val="439"/>
        </w:numPr>
        <w:rPr>
          <w:rFonts w:asciiTheme="minorHAnsi" w:hAnsiTheme="minorHAnsi" w:cstheme="minorHAnsi"/>
          <w:sz w:val="20"/>
          <w:szCs w:val="20"/>
        </w:rPr>
      </w:pPr>
      <w:r w:rsidRPr="00EB2E7B">
        <w:rPr>
          <w:rFonts w:asciiTheme="minorHAnsi" w:hAnsiTheme="minorHAnsi" w:cstheme="minorHAnsi"/>
          <w:sz w:val="20"/>
          <w:szCs w:val="20"/>
        </w:rPr>
        <w:t xml:space="preserve">Wymaganie określone w pkt. </w:t>
      </w:r>
      <w:r w:rsidR="00C75052" w:rsidRPr="00EB2E7B">
        <w:rPr>
          <w:rFonts w:asciiTheme="minorHAnsi" w:hAnsiTheme="minorHAnsi" w:cstheme="minorHAnsi"/>
          <w:sz w:val="20"/>
          <w:szCs w:val="20"/>
        </w:rPr>
        <w:fldChar w:fldCharType="begin"/>
      </w:r>
      <w:r w:rsidR="00C75052" w:rsidRPr="00EB2E7B">
        <w:rPr>
          <w:rFonts w:asciiTheme="minorHAnsi" w:hAnsiTheme="minorHAnsi" w:cstheme="minorHAnsi"/>
          <w:sz w:val="20"/>
          <w:szCs w:val="20"/>
        </w:rPr>
        <w:instrText xml:space="preserve"> REF _Ref190164916 \r \h  \* MERGEFORMAT </w:instrText>
      </w:r>
      <w:r w:rsidR="00C75052" w:rsidRPr="00EB2E7B">
        <w:rPr>
          <w:rFonts w:asciiTheme="minorHAnsi" w:hAnsiTheme="minorHAnsi" w:cstheme="minorHAnsi"/>
          <w:sz w:val="20"/>
          <w:szCs w:val="20"/>
        </w:rPr>
      </w:r>
      <w:r w:rsidR="00C7505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6.7</w:t>
      </w:r>
      <w:r w:rsidR="00C7505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jest również spełnione w przypadkach, gdy:</w:t>
      </w:r>
    </w:p>
    <w:p w14:paraId="38C8E29A" w14:textId="015CB00F" w:rsidR="002B3ABB" w:rsidRPr="00EB2E7B" w:rsidRDefault="0001657F" w:rsidP="00B01C33">
      <w:pPr>
        <w:ind w:left="1134"/>
        <w:rPr>
          <w:rFonts w:asciiTheme="minorHAnsi" w:hAnsiTheme="minorHAnsi" w:cstheme="minorHAnsi"/>
          <w:sz w:val="20"/>
          <w:szCs w:val="20"/>
        </w:rPr>
      </w:pPr>
      <w:r w:rsidRPr="00EB2E7B">
        <w:rPr>
          <w:rFonts w:asciiTheme="minorHAnsi" w:hAnsiTheme="minorHAnsi" w:cstheme="minorHAnsi"/>
          <w:sz w:val="20"/>
          <w:szCs w:val="20"/>
        </w:rPr>
        <w:t>– dla jednostek wytwórczych przyłączonych do sieci SN zasilanych z szyn stacji 110/SN:</w:t>
      </w:r>
    </w:p>
    <w:p w14:paraId="6BBF2C76" w14:textId="77871F52" w:rsidR="002B3ABB" w:rsidRPr="00EB2E7B" w:rsidRDefault="00792922" w:rsidP="00B01C33">
      <w:pPr>
        <w:ind w:left="70" w:firstLine="0"/>
        <w:rPr>
          <w:rFonts w:asciiTheme="minorHAnsi" w:hAnsiTheme="minorHAnsi" w:cstheme="minorHAnsi"/>
          <w:sz w:val="20"/>
          <w:szCs w:val="20"/>
        </w:rPr>
      </w:pPr>
      <m:oMathPara>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rA</m:t>
                  </m:r>
                </m:sub>
              </m:sSub>
            </m:num>
            <m:den>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kV</m:t>
                  </m:r>
                </m:sub>
              </m:sSub>
              <m:r>
                <w:rPr>
                  <w:rFonts w:ascii="Cambria Math" w:hAnsi="Cambria Math" w:cstheme="minorHAnsi"/>
                  <w:sz w:val="20"/>
                  <w:szCs w:val="20"/>
                </w:rPr>
                <m:t xml:space="preserve"> </m:t>
              </m:r>
            </m:den>
          </m:f>
          <m:r>
            <w:rPr>
              <w:rFonts w:ascii="Cambria Math" w:hAnsi="Cambria Math" w:cstheme="minorHAnsi"/>
              <w:sz w:val="20"/>
              <w:szCs w:val="20"/>
            </w:rPr>
            <m:t>×100%&lt;2√</m:t>
          </m:r>
          <m:r>
            <w:rPr>
              <w:rFonts w:ascii="Cambria Math" w:hAnsi="Cambria Math" w:cstheme="minorHAnsi"/>
              <w:sz w:val="20"/>
              <w:szCs w:val="20"/>
            </w:rPr>
            <m:t>N</m:t>
          </m:r>
        </m:oMath>
      </m:oMathPara>
    </w:p>
    <w:p w14:paraId="54A209AA" w14:textId="2E6C1359" w:rsidR="002B3ABB" w:rsidRPr="00EB2E7B" w:rsidRDefault="0001657F" w:rsidP="00B01C33">
      <w:pPr>
        <w:ind w:left="1134"/>
        <w:rPr>
          <w:rFonts w:asciiTheme="minorHAnsi" w:hAnsiTheme="minorHAnsi" w:cstheme="minorHAnsi"/>
          <w:sz w:val="20"/>
          <w:szCs w:val="20"/>
        </w:rPr>
      </w:pPr>
      <w:r w:rsidRPr="00EB2E7B">
        <w:rPr>
          <w:rFonts w:asciiTheme="minorHAnsi" w:hAnsiTheme="minorHAnsi" w:cstheme="minorHAnsi"/>
          <w:sz w:val="20"/>
          <w:szCs w:val="20"/>
        </w:rPr>
        <w:t xml:space="preserve">– dla jednostek wytwórczych przyłączonych do sieci </w:t>
      </w:r>
      <w:proofErr w:type="spellStart"/>
      <w:r w:rsidRPr="00EB2E7B">
        <w:rPr>
          <w:rFonts w:asciiTheme="minorHAnsi" w:hAnsiTheme="minorHAnsi" w:cstheme="minorHAnsi"/>
          <w:sz w:val="20"/>
          <w:szCs w:val="20"/>
        </w:rPr>
        <w:t>nN</w:t>
      </w:r>
      <w:proofErr w:type="spellEnd"/>
      <w:r w:rsidRPr="00EB2E7B">
        <w:rPr>
          <w:rFonts w:asciiTheme="minorHAnsi" w:hAnsiTheme="minorHAnsi" w:cstheme="minorHAnsi"/>
          <w:sz w:val="20"/>
          <w:szCs w:val="20"/>
        </w:rPr>
        <w:t>:</w:t>
      </w:r>
    </w:p>
    <w:p w14:paraId="738F78EF" w14:textId="6EC86197" w:rsidR="002B3ABB" w:rsidRPr="00EB2E7B" w:rsidRDefault="00792922" w:rsidP="00B01C33">
      <w:pPr>
        <w:ind w:left="70" w:firstLine="0"/>
        <w:rPr>
          <w:rFonts w:asciiTheme="minorHAnsi" w:hAnsiTheme="minorHAnsi" w:cstheme="minorHAnsi"/>
          <w:sz w:val="20"/>
          <w:szCs w:val="20"/>
        </w:rPr>
      </w:pPr>
      <m:oMathPara>
        <m:oMath>
          <m:f>
            <m:fPr>
              <m:ctrlPr>
                <w:rPr>
                  <w:rFonts w:ascii="Cambria Math" w:hAnsi="Cambria Math" w:cstheme="minorHAnsi"/>
                  <w:i/>
                  <w:sz w:val="20"/>
                  <w:szCs w:val="20"/>
                </w:rPr>
              </m:ctrlPr>
            </m:fPr>
            <m:num>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rA</m:t>
                  </m:r>
                </m:sub>
              </m:sSub>
            </m:num>
            <m:den>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kV</m:t>
                  </m:r>
                </m:sub>
              </m:sSub>
              <m:r>
                <w:rPr>
                  <w:rFonts w:ascii="Cambria Math" w:hAnsi="Cambria Math" w:cstheme="minorHAnsi"/>
                  <w:sz w:val="20"/>
                  <w:szCs w:val="20"/>
                </w:rPr>
                <m:t xml:space="preserve"> </m:t>
              </m:r>
            </m:den>
          </m:f>
          <m:r>
            <w:rPr>
              <w:rFonts w:ascii="Cambria Math" w:hAnsi="Cambria Math" w:cstheme="minorHAnsi"/>
              <w:sz w:val="20"/>
              <w:szCs w:val="20"/>
            </w:rPr>
            <m:t>×100%&lt;</m:t>
          </m:r>
          <m:f>
            <m:fPr>
              <m:ctrlPr>
                <w:rPr>
                  <w:rFonts w:ascii="Cambria Math" w:hAnsi="Cambria Math" w:cstheme="minorHAnsi"/>
                  <w:i/>
                  <w:sz w:val="20"/>
                  <w:szCs w:val="20"/>
                </w:rPr>
              </m:ctrlPr>
            </m:fPr>
            <m:num>
              <m:r>
                <w:rPr>
                  <w:rFonts w:ascii="Cambria Math" w:hAnsi="Cambria Math" w:cstheme="minorHAnsi"/>
                  <w:sz w:val="20"/>
                  <w:szCs w:val="20"/>
                </w:rPr>
                <m:t>3%</m:t>
              </m:r>
            </m:num>
            <m:den>
              <m:r>
                <w:rPr>
                  <w:rFonts w:ascii="Cambria Math" w:hAnsi="Cambria Math" w:cstheme="minorHAnsi"/>
                  <w:sz w:val="20"/>
                  <w:szCs w:val="20"/>
                </w:rPr>
                <m:t>k</m:t>
              </m:r>
            </m:den>
          </m:f>
          <m:r>
            <w:rPr>
              <w:rFonts w:ascii="Cambria Math" w:hAnsi="Cambria Math" w:cstheme="minorHAnsi"/>
              <w:sz w:val="20"/>
              <w:szCs w:val="20"/>
            </w:rPr>
            <m:t xml:space="preserve">    </m:t>
          </m:r>
        </m:oMath>
      </m:oMathPara>
    </w:p>
    <w:p w14:paraId="7ABB7D8C" w14:textId="0FCFE0F1" w:rsidR="002B3ABB" w:rsidRPr="00EB2E7B" w:rsidRDefault="002B3ABB"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gdzie</w:t>
      </w:r>
      <w:r w:rsidR="002B6D5F" w:rsidRPr="00EB2E7B">
        <w:rPr>
          <w:rFonts w:asciiTheme="minorHAnsi" w:hAnsiTheme="minorHAnsi" w:cstheme="minorHAnsi"/>
          <w:sz w:val="20"/>
          <w:szCs w:val="20"/>
        </w:rPr>
        <w:t>:</w:t>
      </w:r>
    </w:p>
    <w:p w14:paraId="5258A4D8" w14:textId="0A9730F3" w:rsidR="002B3ABB" w:rsidRPr="00EB2E7B" w:rsidRDefault="00A170ED" w:rsidP="00B01C33">
      <w:pPr>
        <w:ind w:left="1134" w:firstLine="0"/>
        <w:rPr>
          <w:rFonts w:asciiTheme="minorHAnsi" w:hAnsiTheme="minorHAnsi" w:cstheme="minorHAnsi"/>
          <w:sz w:val="20"/>
          <w:szCs w:val="20"/>
        </w:rPr>
      </w:pPr>
      <w:proofErr w:type="spellStart"/>
      <w:r w:rsidRPr="00EB2E7B">
        <w:rPr>
          <w:rFonts w:asciiTheme="minorHAnsi" w:hAnsiTheme="minorHAnsi" w:cstheme="minorHAnsi"/>
          <w:i/>
          <w:sz w:val="20"/>
          <w:szCs w:val="20"/>
        </w:rPr>
        <w:t>S</w:t>
      </w:r>
      <w:r w:rsidRPr="00EB2E7B">
        <w:rPr>
          <w:rFonts w:asciiTheme="minorHAnsi" w:hAnsiTheme="minorHAnsi" w:cstheme="minorHAnsi"/>
          <w:i/>
          <w:sz w:val="20"/>
          <w:szCs w:val="20"/>
          <w:vertAlign w:val="subscript"/>
        </w:rPr>
        <w:t>rA</w:t>
      </w:r>
      <w:proofErr w:type="spellEnd"/>
      <w:r w:rsidRPr="00EB2E7B">
        <w:rPr>
          <w:rFonts w:asciiTheme="minorHAnsi" w:hAnsiTheme="minorHAnsi" w:cstheme="minorHAnsi"/>
          <w:sz w:val="20"/>
          <w:szCs w:val="20"/>
        </w:rPr>
        <w:t xml:space="preserve"> – moc osiągalna jednostki wytwórczej,</w:t>
      </w:r>
    </w:p>
    <w:p w14:paraId="03B63C98" w14:textId="6CEA6055" w:rsidR="00A170ED" w:rsidRPr="00EB2E7B" w:rsidRDefault="00A170ED" w:rsidP="00B01C33">
      <w:pPr>
        <w:ind w:left="1134" w:firstLine="0"/>
        <w:rPr>
          <w:rFonts w:asciiTheme="minorHAnsi" w:hAnsiTheme="minorHAnsi" w:cstheme="minorHAnsi"/>
          <w:sz w:val="20"/>
          <w:szCs w:val="20"/>
        </w:rPr>
      </w:pPr>
      <w:proofErr w:type="spellStart"/>
      <w:r w:rsidRPr="00EB2E7B">
        <w:rPr>
          <w:rFonts w:asciiTheme="minorHAnsi" w:hAnsiTheme="minorHAnsi" w:cstheme="minorHAnsi"/>
          <w:i/>
          <w:sz w:val="20"/>
          <w:szCs w:val="20"/>
        </w:rPr>
        <w:t>S</w:t>
      </w:r>
      <w:r w:rsidRPr="00EB2E7B">
        <w:rPr>
          <w:rFonts w:asciiTheme="minorHAnsi" w:hAnsiTheme="minorHAnsi" w:cstheme="minorHAnsi"/>
          <w:i/>
          <w:sz w:val="20"/>
          <w:szCs w:val="20"/>
          <w:vertAlign w:val="subscript"/>
        </w:rPr>
        <w:t>kV</w:t>
      </w:r>
      <w:proofErr w:type="spellEnd"/>
      <w:r w:rsidRPr="00EB2E7B">
        <w:rPr>
          <w:rFonts w:asciiTheme="minorHAnsi" w:hAnsiTheme="minorHAnsi" w:cstheme="minorHAnsi"/>
          <w:sz w:val="20"/>
          <w:szCs w:val="20"/>
        </w:rPr>
        <w:t xml:space="preserve"> – moc zwarciowa w miejscu przyłączenia jednostki wytwórczej do sieci dystrybucyjnej,</w:t>
      </w:r>
    </w:p>
    <w:p w14:paraId="1786C4AF" w14:textId="77777777" w:rsidR="005879A5" w:rsidRPr="00EB2E7B" w:rsidRDefault="005879A5" w:rsidP="00B01C33">
      <w:pPr>
        <w:ind w:left="1134" w:firstLine="0"/>
        <w:rPr>
          <w:rFonts w:asciiTheme="minorHAnsi" w:hAnsiTheme="minorHAnsi" w:cstheme="minorHAnsi"/>
          <w:sz w:val="20"/>
          <w:szCs w:val="20"/>
        </w:rPr>
      </w:pPr>
      <w:r w:rsidRPr="00EB2E7B">
        <w:rPr>
          <w:rFonts w:asciiTheme="minorHAnsi" w:hAnsiTheme="minorHAnsi" w:cstheme="minorHAnsi"/>
          <w:i/>
          <w:sz w:val="20"/>
          <w:szCs w:val="20"/>
        </w:rPr>
        <w:t>N</w:t>
      </w:r>
      <w:r w:rsidRPr="00EB2E7B">
        <w:rPr>
          <w:rFonts w:asciiTheme="minorHAnsi" w:hAnsiTheme="minorHAnsi" w:cstheme="minorHAnsi"/>
          <w:sz w:val="20"/>
          <w:szCs w:val="20"/>
        </w:rPr>
        <w:t xml:space="preserve"> – liczba przekształtników tyrystorowych o jednakowych lub zbliżonych do siebie mocach znamionowych, współpracujących z jednostką wytwórczą, </w:t>
      </w:r>
    </w:p>
    <w:p w14:paraId="2338FC28" w14:textId="08D96866" w:rsidR="00A170ED" w:rsidRPr="00EB2E7B" w:rsidRDefault="005879A5" w:rsidP="00B01C33">
      <w:pPr>
        <w:ind w:left="1134" w:firstLine="0"/>
        <w:rPr>
          <w:rFonts w:asciiTheme="minorHAnsi" w:hAnsiTheme="minorHAnsi" w:cstheme="minorHAnsi"/>
          <w:sz w:val="20"/>
          <w:szCs w:val="20"/>
        </w:rPr>
      </w:pPr>
      <w:r w:rsidRPr="00EB2E7B">
        <w:rPr>
          <w:rFonts w:asciiTheme="minorHAnsi" w:hAnsiTheme="minorHAnsi" w:cstheme="minorHAnsi"/>
          <w:i/>
          <w:sz w:val="20"/>
          <w:szCs w:val="20"/>
        </w:rPr>
        <w:t>k</w:t>
      </w:r>
      <w:r w:rsidRPr="00EB2E7B">
        <w:rPr>
          <w:rFonts w:asciiTheme="minorHAnsi" w:hAnsiTheme="minorHAnsi" w:cstheme="minorHAnsi"/>
          <w:sz w:val="20"/>
          <w:szCs w:val="20"/>
        </w:rPr>
        <w:t xml:space="preserve"> – współczynnik wynoszący:</w:t>
      </w:r>
    </w:p>
    <w:p w14:paraId="5FDB2FA5" w14:textId="5EDFC353" w:rsidR="00B81F7E" w:rsidRPr="00EB2E7B" w:rsidRDefault="00B81F7E" w:rsidP="00B01C33">
      <w:pPr>
        <w:ind w:left="1701" w:firstLine="0"/>
        <w:rPr>
          <w:rFonts w:asciiTheme="minorHAnsi" w:hAnsiTheme="minorHAnsi" w:cstheme="minorHAnsi"/>
          <w:sz w:val="20"/>
          <w:szCs w:val="20"/>
        </w:rPr>
      </w:pPr>
      <w:r w:rsidRPr="00EB2E7B">
        <w:rPr>
          <w:rFonts w:asciiTheme="minorHAnsi" w:hAnsiTheme="minorHAnsi" w:cstheme="minorHAnsi"/>
          <w:i/>
          <w:sz w:val="20"/>
          <w:szCs w:val="20"/>
        </w:rPr>
        <w:t>1</w:t>
      </w:r>
      <w:r w:rsidRPr="00EB2E7B">
        <w:rPr>
          <w:rFonts w:asciiTheme="minorHAnsi" w:hAnsiTheme="minorHAnsi" w:cstheme="minorHAnsi"/>
          <w:sz w:val="20"/>
          <w:szCs w:val="20"/>
        </w:rPr>
        <w:t xml:space="preserve">     – </w:t>
      </w:r>
      <w:r w:rsidR="003407DD" w:rsidRPr="00EB2E7B">
        <w:rPr>
          <w:rFonts w:asciiTheme="minorHAnsi" w:hAnsiTheme="minorHAnsi" w:cstheme="minorHAnsi"/>
          <w:sz w:val="20"/>
          <w:szCs w:val="20"/>
        </w:rPr>
        <w:t>dla generatorów synchronicznych,</w:t>
      </w:r>
      <w:r w:rsidRPr="00EB2E7B">
        <w:rPr>
          <w:rFonts w:asciiTheme="minorHAnsi" w:hAnsiTheme="minorHAnsi" w:cstheme="minorHAnsi"/>
          <w:sz w:val="20"/>
          <w:szCs w:val="20"/>
        </w:rPr>
        <w:t xml:space="preserve"> </w:t>
      </w:r>
    </w:p>
    <w:p w14:paraId="33E6EBFA" w14:textId="465E6347" w:rsidR="00B81F7E" w:rsidRPr="00EB2E7B" w:rsidRDefault="00B81F7E" w:rsidP="00B01C33">
      <w:pPr>
        <w:ind w:left="1701" w:firstLine="0"/>
        <w:rPr>
          <w:rFonts w:asciiTheme="minorHAnsi" w:hAnsiTheme="minorHAnsi" w:cstheme="minorHAnsi"/>
          <w:sz w:val="20"/>
          <w:szCs w:val="20"/>
        </w:rPr>
      </w:pPr>
      <w:r w:rsidRPr="00EB2E7B">
        <w:rPr>
          <w:rFonts w:asciiTheme="minorHAnsi" w:hAnsiTheme="minorHAnsi" w:cstheme="minorHAnsi"/>
          <w:i/>
          <w:sz w:val="20"/>
          <w:szCs w:val="20"/>
        </w:rPr>
        <w:t>2</w:t>
      </w:r>
      <w:r w:rsidRPr="00EB2E7B">
        <w:rPr>
          <w:rFonts w:asciiTheme="minorHAnsi" w:hAnsiTheme="minorHAnsi" w:cstheme="minorHAnsi"/>
          <w:sz w:val="20"/>
          <w:szCs w:val="20"/>
        </w:rPr>
        <w:t xml:space="preserve">      – </w:t>
      </w:r>
      <w:r w:rsidR="003407DD" w:rsidRPr="00EB2E7B">
        <w:rPr>
          <w:rFonts w:asciiTheme="minorHAnsi" w:hAnsiTheme="minorHAnsi" w:cstheme="minorHAnsi"/>
          <w:sz w:val="20"/>
          <w:szCs w:val="20"/>
        </w:rPr>
        <w:t xml:space="preserve">dla generatorów asynchronicznych, które są załączane przy 95% </w:t>
      </w:r>
      <w:r w:rsidR="00B5392E" w:rsidRPr="00EB2E7B">
        <w:rPr>
          <w:rFonts w:asciiTheme="minorHAnsi" w:hAnsiTheme="minorHAnsi" w:cstheme="minorHAnsi"/>
          <w:sz w:val="20"/>
          <w:szCs w:val="20"/>
        </w:rPr>
        <w:t>÷</w:t>
      </w:r>
      <w:r w:rsidR="003407DD" w:rsidRPr="00EB2E7B">
        <w:rPr>
          <w:rFonts w:asciiTheme="minorHAnsi" w:hAnsiTheme="minorHAnsi" w:cstheme="minorHAnsi"/>
          <w:sz w:val="20"/>
          <w:szCs w:val="20"/>
        </w:rPr>
        <w:t xml:space="preserve"> 105% ich prędkości synchronicznej,</w:t>
      </w:r>
    </w:p>
    <w:p w14:paraId="36DDF6F6" w14:textId="487EE73F" w:rsidR="005879A5" w:rsidRPr="00EB2E7B" w:rsidRDefault="004C0646" w:rsidP="00B01C33">
      <w:pPr>
        <w:ind w:left="1701" w:firstLine="0"/>
        <w:rPr>
          <w:rFonts w:asciiTheme="minorHAnsi" w:hAnsiTheme="minorHAnsi" w:cstheme="minorHAnsi"/>
          <w:sz w:val="20"/>
          <w:szCs w:val="20"/>
        </w:rPr>
      </w:pPr>
      <w:proofErr w:type="spellStart"/>
      <w:r w:rsidRPr="00EB2E7B">
        <w:rPr>
          <w:rFonts w:asciiTheme="minorHAnsi" w:hAnsiTheme="minorHAnsi" w:cstheme="minorHAnsi"/>
          <w:i/>
          <w:sz w:val="20"/>
          <w:szCs w:val="20"/>
        </w:rPr>
        <w:t>I</w:t>
      </w:r>
      <w:r w:rsidRPr="00EB2E7B">
        <w:rPr>
          <w:rFonts w:asciiTheme="minorHAnsi" w:hAnsiTheme="minorHAnsi" w:cstheme="minorHAnsi"/>
          <w:i/>
          <w:sz w:val="20"/>
          <w:szCs w:val="20"/>
          <w:vertAlign w:val="subscript"/>
        </w:rPr>
        <w:t>a</w:t>
      </w:r>
      <w:proofErr w:type="spellEnd"/>
      <w:r w:rsidRPr="00EB2E7B">
        <w:rPr>
          <w:rFonts w:asciiTheme="minorHAnsi" w:hAnsiTheme="minorHAnsi" w:cstheme="minorHAnsi"/>
          <w:i/>
          <w:sz w:val="20"/>
          <w:szCs w:val="20"/>
        </w:rPr>
        <w:t>/I</w:t>
      </w:r>
      <w:r w:rsidRPr="00EB2E7B">
        <w:rPr>
          <w:rFonts w:asciiTheme="minorHAnsi" w:hAnsiTheme="minorHAnsi" w:cstheme="minorHAnsi"/>
          <w:i/>
          <w:sz w:val="20"/>
          <w:szCs w:val="20"/>
          <w:vertAlign w:val="subscript"/>
        </w:rPr>
        <w:t>r</w:t>
      </w:r>
      <w:r w:rsidR="00B81F7E" w:rsidRPr="00EB2E7B">
        <w:rPr>
          <w:rFonts w:asciiTheme="minorHAnsi" w:hAnsiTheme="minorHAnsi" w:cstheme="minorHAnsi"/>
          <w:sz w:val="20"/>
          <w:szCs w:val="20"/>
        </w:rPr>
        <w:t xml:space="preserve"> – </w:t>
      </w:r>
      <w:r w:rsidR="00222662" w:rsidRPr="00EB2E7B">
        <w:rPr>
          <w:rFonts w:asciiTheme="minorHAnsi" w:hAnsiTheme="minorHAnsi" w:cstheme="minorHAnsi"/>
          <w:sz w:val="20"/>
          <w:szCs w:val="20"/>
        </w:rPr>
        <w:t>dla generatorów asynchronicznych, które są wprowadzane na obroty jako silnik</w:t>
      </w:r>
    </w:p>
    <w:p w14:paraId="271ED16D" w14:textId="05143CE1" w:rsidR="005879A5" w:rsidRPr="00EB2E7B" w:rsidRDefault="004C0646" w:rsidP="00B01C33">
      <w:pPr>
        <w:ind w:left="1701" w:firstLine="0"/>
        <w:rPr>
          <w:rFonts w:asciiTheme="minorHAnsi" w:hAnsiTheme="minorHAnsi" w:cstheme="minorHAnsi"/>
          <w:sz w:val="20"/>
          <w:szCs w:val="20"/>
        </w:rPr>
      </w:pPr>
      <w:r w:rsidRPr="00EB2E7B">
        <w:rPr>
          <w:rFonts w:asciiTheme="minorHAnsi" w:hAnsiTheme="minorHAnsi" w:cstheme="minorHAnsi"/>
          <w:i/>
          <w:sz w:val="20"/>
          <w:szCs w:val="20"/>
        </w:rPr>
        <w:t>8</w:t>
      </w:r>
      <w:r w:rsidR="005879A5" w:rsidRPr="00EB2E7B">
        <w:rPr>
          <w:rFonts w:asciiTheme="minorHAnsi" w:hAnsiTheme="minorHAnsi" w:cstheme="minorHAnsi"/>
          <w:i/>
          <w:sz w:val="20"/>
          <w:szCs w:val="20"/>
        </w:rPr>
        <w:t xml:space="preserve"> </w:t>
      </w:r>
      <w:r w:rsidR="00B81F7E" w:rsidRPr="00EB2E7B">
        <w:rPr>
          <w:rFonts w:asciiTheme="minorHAnsi" w:hAnsiTheme="minorHAnsi" w:cstheme="minorHAnsi"/>
          <w:sz w:val="20"/>
          <w:szCs w:val="20"/>
        </w:rPr>
        <w:t xml:space="preserve">     </w:t>
      </w:r>
      <w:r w:rsidR="005879A5" w:rsidRPr="00EB2E7B">
        <w:rPr>
          <w:rFonts w:asciiTheme="minorHAnsi" w:hAnsiTheme="minorHAnsi" w:cstheme="minorHAnsi"/>
          <w:sz w:val="20"/>
          <w:szCs w:val="20"/>
        </w:rPr>
        <w:t xml:space="preserve">– </w:t>
      </w:r>
      <w:r w:rsidR="00222662" w:rsidRPr="00EB2E7B">
        <w:rPr>
          <w:rFonts w:asciiTheme="minorHAnsi" w:hAnsiTheme="minorHAnsi" w:cstheme="minorHAnsi"/>
          <w:sz w:val="20"/>
          <w:szCs w:val="20"/>
        </w:rPr>
        <w:t>dla przypadków, gdy nie jest znany prąd rozruchu,</w:t>
      </w:r>
    </w:p>
    <w:p w14:paraId="714DE781" w14:textId="77777777" w:rsidR="002B6D5F" w:rsidRPr="00EB2E7B" w:rsidRDefault="00222662" w:rsidP="00B01C33">
      <w:pPr>
        <w:ind w:left="1134" w:firstLine="0"/>
        <w:rPr>
          <w:rFonts w:asciiTheme="minorHAnsi" w:hAnsiTheme="minorHAnsi" w:cstheme="minorHAnsi"/>
          <w:sz w:val="20"/>
          <w:szCs w:val="20"/>
        </w:rPr>
      </w:pPr>
      <w:proofErr w:type="spellStart"/>
      <w:r w:rsidRPr="00EB2E7B">
        <w:rPr>
          <w:rFonts w:asciiTheme="minorHAnsi" w:hAnsiTheme="minorHAnsi" w:cstheme="minorHAnsi"/>
          <w:i/>
          <w:sz w:val="20"/>
          <w:szCs w:val="20"/>
        </w:rPr>
        <w:t>I</w:t>
      </w:r>
      <w:r w:rsidRPr="00EB2E7B">
        <w:rPr>
          <w:rFonts w:asciiTheme="minorHAnsi" w:hAnsiTheme="minorHAnsi" w:cstheme="minorHAnsi"/>
          <w:i/>
          <w:sz w:val="20"/>
          <w:szCs w:val="20"/>
          <w:vertAlign w:val="subscript"/>
        </w:rPr>
        <w:t>a</w:t>
      </w:r>
      <w:proofErr w:type="spellEnd"/>
      <w:r w:rsidRPr="00EB2E7B">
        <w:rPr>
          <w:rFonts w:asciiTheme="minorHAnsi" w:hAnsiTheme="minorHAnsi" w:cstheme="minorHAnsi"/>
          <w:sz w:val="20"/>
          <w:szCs w:val="20"/>
        </w:rPr>
        <w:t xml:space="preserve"> – </w:t>
      </w:r>
      <w:r w:rsidR="002B6D5F" w:rsidRPr="00EB2E7B">
        <w:rPr>
          <w:rFonts w:asciiTheme="minorHAnsi" w:hAnsiTheme="minorHAnsi" w:cstheme="minorHAnsi"/>
          <w:sz w:val="20"/>
          <w:szCs w:val="20"/>
        </w:rPr>
        <w:t xml:space="preserve">prąd rozruchowy, </w:t>
      </w:r>
    </w:p>
    <w:p w14:paraId="572C7DF1" w14:textId="22384145" w:rsidR="00AA4A2D" w:rsidRPr="00EB2E7B" w:rsidRDefault="002B6D5F" w:rsidP="00B01C33">
      <w:pPr>
        <w:ind w:left="1134" w:firstLine="0"/>
        <w:rPr>
          <w:rFonts w:asciiTheme="minorHAnsi" w:hAnsiTheme="minorHAnsi" w:cstheme="minorHAnsi"/>
          <w:sz w:val="20"/>
          <w:szCs w:val="20"/>
        </w:rPr>
      </w:pPr>
      <w:r w:rsidRPr="00EB2E7B">
        <w:rPr>
          <w:rFonts w:asciiTheme="minorHAnsi" w:hAnsiTheme="minorHAnsi" w:cstheme="minorHAnsi"/>
          <w:i/>
          <w:sz w:val="20"/>
          <w:szCs w:val="20"/>
        </w:rPr>
        <w:t>I</w:t>
      </w:r>
      <w:r w:rsidRPr="00EB2E7B">
        <w:rPr>
          <w:rFonts w:asciiTheme="minorHAnsi" w:hAnsiTheme="minorHAnsi" w:cstheme="minorHAnsi"/>
          <w:i/>
          <w:sz w:val="20"/>
          <w:szCs w:val="20"/>
          <w:vertAlign w:val="subscript"/>
        </w:rPr>
        <w:t>r</w:t>
      </w:r>
      <w:r w:rsidRPr="00EB2E7B">
        <w:rPr>
          <w:rFonts w:asciiTheme="minorHAnsi" w:hAnsiTheme="minorHAnsi" w:cstheme="minorHAnsi"/>
          <w:sz w:val="20"/>
          <w:szCs w:val="20"/>
        </w:rPr>
        <w:t xml:space="preserve"> – znamionowy prąd ciągły.</w:t>
      </w:r>
    </w:p>
    <w:p w14:paraId="5F07AFDA" w14:textId="77777777" w:rsidR="00AA4A2D" w:rsidRPr="00EB2E7B" w:rsidRDefault="00AA4A2D" w:rsidP="00B01C33">
      <w:pPr>
        <w:pStyle w:val="NormalnyIRiESD"/>
        <w:numPr>
          <w:ilvl w:val="0"/>
          <w:numId w:val="0"/>
        </w:numPr>
        <w:rPr>
          <w:rFonts w:asciiTheme="minorHAnsi" w:hAnsiTheme="minorHAnsi" w:cstheme="minorHAnsi"/>
          <w:sz w:val="20"/>
          <w:szCs w:val="20"/>
        </w:rPr>
      </w:pPr>
    </w:p>
    <w:p w14:paraId="390A3B29" w14:textId="36FA339F" w:rsidR="00EF5EEC" w:rsidRPr="00EB2E7B" w:rsidRDefault="00A16CF1" w:rsidP="00960C90">
      <w:pPr>
        <w:pStyle w:val="ANagwek2"/>
        <w:numPr>
          <w:ilvl w:val="6"/>
          <w:numId w:val="384"/>
        </w:numPr>
        <w:ind w:left="1134" w:hanging="1134"/>
        <w:rPr>
          <w:rFonts w:asciiTheme="minorHAnsi" w:hAnsiTheme="minorHAnsi" w:cstheme="minorHAnsi"/>
          <w:sz w:val="20"/>
          <w:szCs w:val="20"/>
        </w:rPr>
      </w:pPr>
      <w:bookmarkStart w:id="793" w:name="_Toc189833862"/>
      <w:bookmarkStart w:id="794" w:name="_Toc239333462"/>
      <w:r w:rsidRPr="00EB2E7B">
        <w:rPr>
          <w:rFonts w:asciiTheme="minorHAnsi" w:hAnsiTheme="minorHAnsi" w:cstheme="minorHAnsi"/>
          <w:sz w:val="20"/>
          <w:szCs w:val="20"/>
        </w:rPr>
        <w:t xml:space="preserve">KRYTERIA </w:t>
      </w:r>
      <w:r w:rsidR="00B5392E" w:rsidRPr="00EB2E7B">
        <w:rPr>
          <w:rFonts w:asciiTheme="minorHAnsi" w:hAnsiTheme="minorHAnsi" w:cstheme="minorHAnsi"/>
          <w:sz w:val="20"/>
          <w:szCs w:val="20"/>
        </w:rPr>
        <w:t xml:space="preserve">OCENY </w:t>
      </w:r>
      <w:r w:rsidRPr="00EB2E7B">
        <w:rPr>
          <w:rFonts w:asciiTheme="minorHAnsi" w:hAnsiTheme="minorHAnsi" w:cstheme="minorHAnsi"/>
          <w:sz w:val="20"/>
          <w:szCs w:val="20"/>
        </w:rPr>
        <w:t xml:space="preserve">MOŻLIWOŚCI PRZYŁĄCZENIA JEDNOSTEK WYTWÓRCZYCH DO SIECI SN i </w:t>
      </w:r>
      <w:proofErr w:type="spellStart"/>
      <w:r w:rsidRPr="00EB2E7B">
        <w:rPr>
          <w:rFonts w:asciiTheme="minorHAnsi" w:hAnsiTheme="minorHAnsi" w:cstheme="minorHAnsi"/>
          <w:sz w:val="20"/>
          <w:szCs w:val="20"/>
        </w:rPr>
        <w:t>nN</w:t>
      </w:r>
      <w:bookmarkEnd w:id="793"/>
      <w:bookmarkEnd w:id="794"/>
      <w:proofErr w:type="spellEnd"/>
    </w:p>
    <w:p w14:paraId="2EC2C312" w14:textId="6091FB41" w:rsidR="00AA4A2D" w:rsidRPr="00EB2E7B" w:rsidRDefault="009F5804" w:rsidP="004854C6">
      <w:pPr>
        <w:pStyle w:val="ANagwek3"/>
        <w:numPr>
          <w:ilvl w:val="1"/>
          <w:numId w:val="441"/>
        </w:numPr>
        <w:rPr>
          <w:rFonts w:asciiTheme="minorHAnsi" w:hAnsiTheme="minorHAnsi" w:cstheme="minorHAnsi"/>
          <w:sz w:val="20"/>
          <w:szCs w:val="20"/>
        </w:rPr>
      </w:pPr>
      <w:r w:rsidRPr="00EB2E7B">
        <w:rPr>
          <w:rFonts w:asciiTheme="minorHAnsi" w:hAnsiTheme="minorHAnsi" w:cstheme="minorHAnsi"/>
          <w:sz w:val="20"/>
          <w:szCs w:val="20"/>
        </w:rPr>
        <w:t xml:space="preserve">ACPRO na swojej stronie internetowej zamieszcza kryteria oceny przyłączania źródeł energii do sieci elektroenergetycznej SN i </w:t>
      </w:r>
      <w:proofErr w:type="spellStart"/>
      <w:r w:rsidRPr="00EB2E7B">
        <w:rPr>
          <w:rFonts w:asciiTheme="minorHAnsi" w:hAnsiTheme="minorHAnsi" w:cstheme="minorHAnsi"/>
          <w:sz w:val="20"/>
          <w:szCs w:val="20"/>
        </w:rPr>
        <w:t>nN</w:t>
      </w:r>
      <w:r w:rsidR="00AA4A2D" w:rsidRPr="00EB2E7B">
        <w:rPr>
          <w:rFonts w:asciiTheme="minorHAnsi" w:hAnsiTheme="minorHAnsi" w:cstheme="minorHAnsi"/>
          <w:sz w:val="20"/>
          <w:szCs w:val="20"/>
        </w:rPr>
        <w:t>.</w:t>
      </w:r>
      <w:proofErr w:type="spellEnd"/>
    </w:p>
    <w:p w14:paraId="2EFC8F5B" w14:textId="77777777" w:rsidR="00AA4A2D" w:rsidRPr="00EB2E7B" w:rsidRDefault="00AA4A2D" w:rsidP="00960C90">
      <w:pPr>
        <w:pStyle w:val="NormalnyIRiESD"/>
        <w:numPr>
          <w:ilvl w:val="0"/>
          <w:numId w:val="0"/>
        </w:numPr>
        <w:ind w:left="1134" w:hanging="1134"/>
        <w:rPr>
          <w:rFonts w:asciiTheme="minorHAnsi" w:hAnsiTheme="minorHAnsi" w:cstheme="minorHAnsi"/>
          <w:sz w:val="20"/>
          <w:szCs w:val="20"/>
        </w:rPr>
      </w:pPr>
    </w:p>
    <w:p w14:paraId="5FA9D407" w14:textId="628CF3B1" w:rsidR="00EF5EEC" w:rsidRPr="00EB2E7B" w:rsidRDefault="00C32315" w:rsidP="00960C90">
      <w:pPr>
        <w:pStyle w:val="ANagwek2"/>
        <w:numPr>
          <w:ilvl w:val="6"/>
          <w:numId w:val="384"/>
        </w:numPr>
        <w:ind w:left="1134" w:hanging="1134"/>
        <w:rPr>
          <w:rFonts w:asciiTheme="minorHAnsi" w:hAnsiTheme="minorHAnsi" w:cstheme="minorHAnsi"/>
          <w:sz w:val="20"/>
          <w:szCs w:val="20"/>
        </w:rPr>
      </w:pPr>
      <w:bookmarkStart w:id="795" w:name="_Toc189833863"/>
      <w:bookmarkStart w:id="796" w:name="_Ref190165068"/>
      <w:bookmarkStart w:id="797" w:name="_Toc239333463"/>
      <w:r w:rsidRPr="00EB2E7B">
        <w:rPr>
          <w:rFonts w:asciiTheme="minorHAnsi" w:hAnsiTheme="minorHAnsi" w:cstheme="minorHAnsi"/>
          <w:sz w:val="20"/>
          <w:szCs w:val="20"/>
        </w:rPr>
        <w:t>DODATKOWE WYMAGANIA DLA FARM WIATROWYCH PRZYŁĄCZANYCH DO SIECI DYSTRYBUCYJNYCH</w:t>
      </w:r>
      <w:bookmarkEnd w:id="795"/>
      <w:bookmarkEnd w:id="796"/>
      <w:bookmarkEnd w:id="797"/>
      <w:r w:rsidR="00A16CF1" w:rsidRPr="00EB2E7B">
        <w:rPr>
          <w:rFonts w:asciiTheme="minorHAnsi" w:hAnsiTheme="minorHAnsi" w:cstheme="minorHAnsi"/>
          <w:sz w:val="20"/>
          <w:szCs w:val="20"/>
        </w:rPr>
        <w:t xml:space="preserve"> </w:t>
      </w:r>
    </w:p>
    <w:p w14:paraId="22832A48" w14:textId="1819374D" w:rsidR="00407C9A" w:rsidRPr="00EB2E7B" w:rsidRDefault="00401502"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Postanowienia ogólne</w:t>
      </w:r>
      <w:r w:rsidR="00AA4A2D" w:rsidRPr="00EB2E7B">
        <w:rPr>
          <w:rFonts w:asciiTheme="minorHAnsi" w:hAnsiTheme="minorHAnsi" w:cstheme="minorHAnsi"/>
          <w:sz w:val="20"/>
          <w:szCs w:val="20"/>
        </w:rPr>
        <w:t>:</w:t>
      </w:r>
    </w:p>
    <w:p w14:paraId="62AF7013" w14:textId="77777777" w:rsidR="00D16950" w:rsidRPr="00EB2E7B" w:rsidRDefault="00D1695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Farmy wiatrowe przyłączane bezpośrednio do sieci dystrybucyjnej powinny spełniać ogólne wymagania i procedury przewidziane dla podmiotów przyłączanych do sieci dystrybucyjnej określone w pozostałych punktach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
    <w:p w14:paraId="6BA28DE1" w14:textId="59BA057B" w:rsidR="00D16950" w:rsidRPr="00EB2E7B" w:rsidRDefault="00D1695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Wymagania techniczne i zalecenia zapisane w pkt. </w:t>
      </w:r>
      <w:r w:rsidR="00645560" w:rsidRPr="00EB2E7B">
        <w:rPr>
          <w:rFonts w:asciiTheme="minorHAnsi" w:hAnsiTheme="minorHAnsi" w:cstheme="minorHAnsi"/>
          <w:sz w:val="20"/>
          <w:szCs w:val="20"/>
        </w:rPr>
        <w:fldChar w:fldCharType="begin"/>
      </w:r>
      <w:r w:rsidR="00645560" w:rsidRPr="00EB2E7B">
        <w:rPr>
          <w:rFonts w:asciiTheme="minorHAnsi" w:hAnsiTheme="minorHAnsi" w:cstheme="minorHAnsi"/>
          <w:sz w:val="20"/>
          <w:szCs w:val="20"/>
        </w:rPr>
        <w:instrText xml:space="preserve"> REF _Ref190165068 \r \h  \* MERGEFORMAT </w:instrText>
      </w:r>
      <w:r w:rsidR="00645560" w:rsidRPr="00EB2E7B">
        <w:rPr>
          <w:rFonts w:asciiTheme="minorHAnsi" w:hAnsiTheme="minorHAnsi" w:cstheme="minorHAnsi"/>
          <w:sz w:val="20"/>
          <w:szCs w:val="20"/>
        </w:rPr>
      </w:r>
      <w:r w:rsidR="0064556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w:t>
      </w:r>
      <w:r w:rsidR="0064556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niniejszego załącznika obowiązują farmy wiatrowe przyłączane do sieci dystrybucyjnej. </w:t>
      </w:r>
    </w:p>
    <w:p w14:paraId="2AAF8D2C" w14:textId="20B8BB27" w:rsidR="00D16950" w:rsidRPr="00EB2E7B" w:rsidRDefault="00D1695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Farmy wiatrowe, które w dniu wejścia w życie niniejszej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są przyłączone do sieci lub mają podpisane umowy o przyłączenie do sieci, obowiązane są wypełnić wymagania pkt. </w:t>
      </w:r>
      <w:r w:rsidR="00645560" w:rsidRPr="00EB2E7B">
        <w:rPr>
          <w:rFonts w:asciiTheme="minorHAnsi" w:hAnsiTheme="minorHAnsi" w:cstheme="minorHAnsi"/>
          <w:sz w:val="20"/>
          <w:szCs w:val="20"/>
        </w:rPr>
        <w:fldChar w:fldCharType="begin"/>
      </w:r>
      <w:r w:rsidR="00645560" w:rsidRPr="00EB2E7B">
        <w:rPr>
          <w:rFonts w:asciiTheme="minorHAnsi" w:hAnsiTheme="minorHAnsi" w:cstheme="minorHAnsi"/>
          <w:sz w:val="20"/>
          <w:szCs w:val="20"/>
        </w:rPr>
        <w:instrText xml:space="preserve"> REF _Ref190165068 \r \h  \* MERGEFORMAT </w:instrText>
      </w:r>
      <w:r w:rsidR="00645560" w:rsidRPr="00EB2E7B">
        <w:rPr>
          <w:rFonts w:asciiTheme="minorHAnsi" w:hAnsiTheme="minorHAnsi" w:cstheme="minorHAnsi"/>
          <w:sz w:val="20"/>
          <w:szCs w:val="20"/>
        </w:rPr>
      </w:r>
      <w:r w:rsidR="0064556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w:t>
      </w:r>
      <w:r w:rsidR="00645560" w:rsidRPr="00EB2E7B">
        <w:rPr>
          <w:rFonts w:asciiTheme="minorHAnsi" w:hAnsiTheme="minorHAnsi" w:cstheme="minorHAnsi"/>
          <w:sz w:val="20"/>
          <w:szCs w:val="20"/>
        </w:rPr>
        <w:fldChar w:fldCharType="end"/>
      </w:r>
      <w:r w:rsidR="00645560"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niniejszego załącznika </w:t>
      </w:r>
      <w:r w:rsidR="00676EE8" w:rsidRPr="00EB2E7B">
        <w:rPr>
          <w:rFonts w:asciiTheme="minorHAnsi" w:hAnsiTheme="minorHAnsi" w:cstheme="minorHAnsi"/>
          <w:sz w:val="20"/>
          <w:szCs w:val="20"/>
        </w:rPr>
        <w:t>po ich remoncie lub</w:t>
      </w:r>
      <w:r w:rsidRPr="00EB2E7B">
        <w:rPr>
          <w:rFonts w:asciiTheme="minorHAnsi" w:hAnsiTheme="minorHAnsi" w:cstheme="minorHAnsi"/>
          <w:sz w:val="20"/>
          <w:szCs w:val="20"/>
        </w:rPr>
        <w:t xml:space="preserve"> modernizacji</w:t>
      </w:r>
      <w:r w:rsidR="00676EE8" w:rsidRPr="00EB2E7B">
        <w:rPr>
          <w:rFonts w:asciiTheme="minorHAnsi" w:hAnsiTheme="minorHAnsi" w:cstheme="minorHAnsi"/>
          <w:sz w:val="20"/>
          <w:szCs w:val="20"/>
        </w:rPr>
        <w:t>, których</w:t>
      </w:r>
      <w:r w:rsidR="00E56268" w:rsidRPr="00EB2E7B">
        <w:rPr>
          <w:rFonts w:asciiTheme="minorHAnsi" w:hAnsiTheme="minorHAnsi" w:cstheme="minorHAnsi"/>
          <w:sz w:val="20"/>
          <w:szCs w:val="20"/>
        </w:rPr>
        <w:t xml:space="preserve"> zakres obejmuje również urządzenia lub instalacje wchodzące w skład jednostki wytwórczej nie spełniającej tych wymagań</w:t>
      </w:r>
      <w:r w:rsidRPr="00EB2E7B">
        <w:rPr>
          <w:rFonts w:asciiTheme="minorHAnsi" w:hAnsiTheme="minorHAnsi" w:cstheme="minorHAnsi"/>
          <w:sz w:val="20"/>
          <w:szCs w:val="20"/>
        </w:rPr>
        <w:t xml:space="preserve">. Farmy wiatrowe posiadające ważne warunki przyłączenia do sieci, uzgodnią z </w:t>
      </w:r>
      <w:r w:rsidR="004C5C33"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zakres i harmonogram dostosowania się do wymagań określonych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 terminie 6 miesięcy od daty wejścia w życie niniejszej </w:t>
      </w:r>
      <w:proofErr w:type="spellStart"/>
      <w:r w:rsidRPr="00EB2E7B">
        <w:rPr>
          <w:rFonts w:asciiTheme="minorHAnsi" w:hAnsiTheme="minorHAnsi" w:cstheme="minorHAnsi"/>
          <w:sz w:val="20"/>
          <w:szCs w:val="20"/>
        </w:rPr>
        <w:t>IRiESD</w:t>
      </w:r>
      <w:proofErr w:type="spellEnd"/>
      <w:r w:rsidR="005E0E69" w:rsidRPr="00EB2E7B">
        <w:rPr>
          <w:rFonts w:asciiTheme="minorHAnsi" w:hAnsiTheme="minorHAnsi" w:cstheme="minorHAnsi"/>
          <w:sz w:val="20"/>
          <w:szCs w:val="20"/>
        </w:rPr>
        <w:t>.</w:t>
      </w:r>
    </w:p>
    <w:p w14:paraId="7817F536" w14:textId="77777777" w:rsidR="00D16950" w:rsidRPr="00EB2E7B" w:rsidRDefault="00D1695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lastRenderedPageBreak/>
        <w:t>Wymagania techniczne dla farm wiatrowych obejmują następujące zagadnienia:</w:t>
      </w:r>
    </w:p>
    <w:p w14:paraId="169BF301" w14:textId="77777777" w:rsidR="009A1D4B"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regulacja mocy czynnej, </w:t>
      </w:r>
    </w:p>
    <w:p w14:paraId="20428AB1" w14:textId="77777777" w:rsidR="009A1D4B"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praca w zależności od napięcia i częstotliwości, </w:t>
      </w:r>
    </w:p>
    <w:p w14:paraId="6E3AA330" w14:textId="77777777" w:rsidR="009A1D4B"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załączanie do pracy i wyłączanie z sieci, </w:t>
      </w:r>
    </w:p>
    <w:p w14:paraId="45A7EBA3" w14:textId="77777777" w:rsidR="009A1D4B"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regulacja napięcia i mocy biernej, </w:t>
      </w:r>
    </w:p>
    <w:p w14:paraId="3E5B0266" w14:textId="77777777" w:rsidR="009A1D4B"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wymagania dla pracy przy zakłóceniach w sieci, </w:t>
      </w:r>
    </w:p>
    <w:p w14:paraId="07CC3431" w14:textId="77777777" w:rsidR="009A1D4B"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dotrzymywanie standardów jakości energii elektrycznej, </w:t>
      </w:r>
    </w:p>
    <w:p w14:paraId="7E6947BB" w14:textId="77777777" w:rsidR="009A1D4B"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elektroenergetyczna automatyka zabezpieczeniowa, </w:t>
      </w:r>
    </w:p>
    <w:p w14:paraId="09B4D745" w14:textId="77777777" w:rsidR="009A1D4B"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systemy monitoringu i telekomunikacji, </w:t>
      </w:r>
    </w:p>
    <w:p w14:paraId="4576EE89" w14:textId="31404571" w:rsidR="00D16950" w:rsidRPr="00EB2E7B" w:rsidRDefault="009A1D4B" w:rsidP="00B01C33">
      <w:pPr>
        <w:pStyle w:val="Akapitzlist"/>
        <w:numPr>
          <w:ilvl w:val="0"/>
          <w:numId w:val="45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testy sprawdzające</w:t>
      </w:r>
    </w:p>
    <w:p w14:paraId="717C3C7D" w14:textId="333BBA15" w:rsidR="00D77F10" w:rsidRPr="00EB2E7B" w:rsidRDefault="009A1D4B"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ACPRO </w:t>
      </w:r>
      <w:r w:rsidR="00D77F10" w:rsidRPr="00EB2E7B">
        <w:rPr>
          <w:rFonts w:asciiTheme="minorHAnsi" w:hAnsiTheme="minorHAnsi" w:cstheme="minorHAnsi"/>
          <w:sz w:val="20"/>
          <w:szCs w:val="20"/>
        </w:rPr>
        <w:t xml:space="preserve">ma prawo do kontroli realizacji warunków przyłączenia i może zażądać udostępnienia przez wytwórcę dokumentacji stwierdzającej, że farma wiatrowa wypełnia wymagania określone w </w:t>
      </w:r>
      <w:proofErr w:type="spellStart"/>
      <w:r w:rsidR="00D77F10" w:rsidRPr="00EB2E7B">
        <w:rPr>
          <w:rFonts w:asciiTheme="minorHAnsi" w:hAnsiTheme="minorHAnsi" w:cstheme="minorHAnsi"/>
          <w:sz w:val="20"/>
          <w:szCs w:val="20"/>
        </w:rPr>
        <w:t>IRiESD</w:t>
      </w:r>
      <w:proofErr w:type="spellEnd"/>
      <w:r w:rsidR="00D77F10" w:rsidRPr="00EB2E7B">
        <w:rPr>
          <w:rFonts w:asciiTheme="minorHAnsi" w:hAnsiTheme="minorHAnsi" w:cstheme="minorHAnsi"/>
          <w:sz w:val="20"/>
          <w:szCs w:val="20"/>
        </w:rPr>
        <w:t xml:space="preserve"> oraz w warunkach przyłączenia do sieci. </w:t>
      </w:r>
      <w:r w:rsidR="00DA2A68" w:rsidRPr="00EB2E7B">
        <w:rPr>
          <w:rFonts w:asciiTheme="minorHAnsi" w:hAnsiTheme="minorHAnsi" w:cstheme="minorHAnsi"/>
          <w:sz w:val="20"/>
          <w:szCs w:val="20"/>
        </w:rPr>
        <w:t xml:space="preserve"> W szczególności dokumentacja ta powinna zawierać wyniki pomiarów konieczne dla oceny wpływu farmy wiatrowej na jakość energii elektrycznej</w:t>
      </w:r>
      <w:r w:rsidR="00271AFE" w:rsidRPr="00EB2E7B">
        <w:rPr>
          <w:rFonts w:asciiTheme="minorHAnsi" w:hAnsiTheme="minorHAnsi" w:cstheme="minorHAnsi"/>
          <w:sz w:val="20"/>
          <w:szCs w:val="20"/>
        </w:rPr>
        <w:t>.</w:t>
      </w:r>
    </w:p>
    <w:p w14:paraId="01D8604F" w14:textId="77777777" w:rsidR="004C5C33" w:rsidRPr="00EB2E7B" w:rsidRDefault="004C5C33"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Farmy wiatrowe przyłączane do sieci dystrybucyjnej powinny być wyposażone w urządzenia umożliwiające bezpieczną współpracę z systemem elektroenergetycznym w różnych możliwych sytuacjach ruchowych. </w:t>
      </w:r>
    </w:p>
    <w:p w14:paraId="00C86758" w14:textId="728D8584" w:rsidR="004C5C33" w:rsidRPr="00EB2E7B" w:rsidRDefault="004C5C33"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Szczegółowe wymagania dla każdej farmy wiatrowej są określane przez ACPRO w warunkach przyłączenia do sieci, w zależności od mocy farmy wiatrowej, jej lokalizacji w sieci, sytuacji w systemie elektroenergetycznym i wyników ekspertyzy wpływu przyłączanej farmy wiatrowej na system elektroenergetyczny. </w:t>
      </w:r>
    </w:p>
    <w:p w14:paraId="22FF2E56" w14:textId="18D28AC1" w:rsidR="004C5C33" w:rsidRPr="00EB2E7B" w:rsidRDefault="004C5C33"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ACPRO może w warunkach przyłączenia określić dla farmy wiatrowej wymóg przystosowania farmy do automatycznej regulacji mocy i zażądać aby regulacja mocy farmy wiatrowej była dostosowana do automatycznej regulacji zdalnej. </w:t>
      </w:r>
    </w:p>
    <w:p w14:paraId="68E10B27" w14:textId="3D9794D8" w:rsidR="00407C9A" w:rsidRPr="00EB2E7B" w:rsidRDefault="004C5C33"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Farma wiatrowa w przypadku niedotrzymania standardów jakości energii określonych w niniejszym załączniku, może zostać wyłączona </w:t>
      </w:r>
      <w:r w:rsidR="007C50C9" w:rsidRPr="00EB2E7B">
        <w:rPr>
          <w:rFonts w:asciiTheme="minorHAnsi" w:hAnsiTheme="minorHAnsi" w:cstheme="minorHAnsi"/>
          <w:sz w:val="20"/>
          <w:szCs w:val="20"/>
        </w:rPr>
        <w:t>na polecenie lub przez</w:t>
      </w:r>
      <w:r w:rsidRPr="00EB2E7B">
        <w:rPr>
          <w:rFonts w:asciiTheme="minorHAnsi" w:hAnsiTheme="minorHAnsi" w:cstheme="minorHAnsi"/>
          <w:sz w:val="20"/>
          <w:szCs w:val="20"/>
        </w:rPr>
        <w:t xml:space="preserve"> Operatora systemu, do czasu usunięcia nieprawidłowości</w:t>
      </w:r>
      <w:r w:rsidR="00D16950" w:rsidRPr="00EB2E7B">
        <w:rPr>
          <w:rFonts w:asciiTheme="minorHAnsi" w:hAnsiTheme="minorHAnsi" w:cstheme="minorHAnsi"/>
          <w:sz w:val="20"/>
          <w:szCs w:val="20"/>
        </w:rPr>
        <w:t>.</w:t>
      </w:r>
    </w:p>
    <w:p w14:paraId="1E8D8EE7" w14:textId="77777777" w:rsidR="00407C9A" w:rsidRPr="00EB2E7B" w:rsidRDefault="00407C9A" w:rsidP="00B01C33">
      <w:pPr>
        <w:pStyle w:val="NormalnyIRiESD"/>
        <w:numPr>
          <w:ilvl w:val="0"/>
          <w:numId w:val="0"/>
        </w:numPr>
        <w:rPr>
          <w:rFonts w:asciiTheme="minorHAnsi" w:hAnsiTheme="minorHAnsi" w:cstheme="minorHAnsi"/>
          <w:sz w:val="20"/>
          <w:szCs w:val="20"/>
        </w:rPr>
      </w:pPr>
    </w:p>
    <w:p w14:paraId="44E2C5D0" w14:textId="21ECC3A1" w:rsidR="00A65383" w:rsidRPr="00EB2E7B" w:rsidRDefault="00A65383"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Regulacja mocy czynnej farmy wiatrowej</w:t>
      </w:r>
    </w:p>
    <w:p w14:paraId="183AA1CB" w14:textId="1C5DB10E" w:rsidR="001F3F9C" w:rsidRPr="00EB2E7B" w:rsidRDefault="00D533A2"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W normalnych warunkach pracy systemu i farmy wiatrowej, moc czynna wprowadzana do sieci przez farmę wiatrową nie może przekraczać limitu mocy (z dokładnością ± 5%) przydzielonego operatywnie przez odpowiedniego Operatora systemu i mocy przyłączeniowej określonej w umowie o przyłączenie</w:t>
      </w:r>
      <w:r w:rsidR="001F3F9C" w:rsidRPr="00EB2E7B">
        <w:rPr>
          <w:rFonts w:asciiTheme="minorHAnsi" w:hAnsiTheme="minorHAnsi" w:cstheme="minorHAnsi"/>
          <w:sz w:val="20"/>
          <w:szCs w:val="20"/>
        </w:rPr>
        <w:t>.</w:t>
      </w:r>
    </w:p>
    <w:p w14:paraId="20B8D7F1" w14:textId="77777777" w:rsidR="001F3F9C" w:rsidRPr="00EB2E7B" w:rsidRDefault="001F3F9C"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 normalnych warunkach pracy systemu i farmy wiatrowej, moc czynna wprowadzana do sieci przez farmę wiatrową nie może przekraczać limitu mocy (z dokładnością ± 5%) przydzielonego operatywnie przez odpowiedniego Operatora systemu i mocy przyłączeniowej określonej w umowie o przyłączenie. </w:t>
      </w:r>
    </w:p>
    <w:p w14:paraId="0AF7CBB9" w14:textId="62716993" w:rsidR="001F3F9C" w:rsidRPr="00EB2E7B" w:rsidRDefault="001F3F9C" w:rsidP="009A432E">
      <w:pPr>
        <w:pStyle w:val="ANagwek4"/>
        <w:numPr>
          <w:ilvl w:val="2"/>
          <w:numId w:val="442"/>
        </w:numPr>
        <w:rPr>
          <w:rFonts w:asciiTheme="minorHAnsi" w:hAnsiTheme="minorHAnsi" w:cstheme="minorHAnsi"/>
          <w:sz w:val="20"/>
          <w:szCs w:val="20"/>
        </w:rPr>
      </w:pPr>
      <w:bookmarkStart w:id="798" w:name="_Ref190165892"/>
      <w:r w:rsidRPr="00EB2E7B">
        <w:rPr>
          <w:rFonts w:asciiTheme="minorHAnsi" w:hAnsiTheme="minorHAnsi" w:cstheme="minorHAnsi"/>
          <w:sz w:val="20"/>
          <w:szCs w:val="20"/>
        </w:rPr>
        <w:t xml:space="preserve">W normalnych warunkach pracy farmy wiatrowej przyłączanej do sieci SN, w tym również podczas normalnych uruchomień i </w:t>
      </w:r>
      <w:proofErr w:type="spellStart"/>
      <w:r w:rsidRPr="00EB2E7B">
        <w:rPr>
          <w:rFonts w:asciiTheme="minorHAnsi" w:hAnsiTheme="minorHAnsi" w:cstheme="minorHAnsi"/>
          <w:sz w:val="20"/>
          <w:szCs w:val="20"/>
        </w:rPr>
        <w:t>odstawień</w:t>
      </w:r>
      <w:proofErr w:type="spellEnd"/>
      <w:r w:rsidRPr="00EB2E7B">
        <w:rPr>
          <w:rFonts w:asciiTheme="minorHAnsi" w:hAnsiTheme="minorHAnsi" w:cstheme="minorHAnsi"/>
          <w:sz w:val="20"/>
          <w:szCs w:val="20"/>
        </w:rPr>
        <w:t xml:space="preserve">, gradient średni zmiany mocy czynnej farmy wiatrowej za okres 15 </w:t>
      </w:r>
      <w:r w:rsidRPr="00EB2E7B">
        <w:rPr>
          <w:rFonts w:asciiTheme="minorHAnsi" w:hAnsiTheme="minorHAnsi" w:cstheme="minorHAnsi"/>
          <w:sz w:val="20"/>
          <w:szCs w:val="20"/>
        </w:rPr>
        <w:lastRenderedPageBreak/>
        <w:t>minut nie może przekraczać 10% mocy znamionowej farmy wiatrowej na minutę. Gradient średni w okresie 1 minuty nie powinien przekraczać 30% mocy znamionowej na minutę.</w:t>
      </w:r>
      <w:bookmarkEnd w:id="798"/>
      <w:r w:rsidRPr="00EB2E7B">
        <w:rPr>
          <w:rFonts w:asciiTheme="minorHAnsi" w:hAnsiTheme="minorHAnsi" w:cstheme="minorHAnsi"/>
          <w:sz w:val="20"/>
          <w:szCs w:val="20"/>
        </w:rPr>
        <w:t xml:space="preserve"> </w:t>
      </w:r>
    </w:p>
    <w:p w14:paraId="3288A263" w14:textId="2D5CF6B6" w:rsidR="001F3F9C" w:rsidRPr="00EB2E7B" w:rsidRDefault="001F3F9C"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 sytuacjach zakłóceniowych w systemie elektroenergetycznym, wyżej określony gradient zmian obciążenia może być przekroczony przez farmy wiatrowe uczestniczące w regulacji częstotliwości lub w sytuacji, gdy ACPRO poleci szybkie odciążenie lub, jeśli jest to technicznie możliwe, dociążenie farmy wiatrowej. </w:t>
      </w:r>
    </w:p>
    <w:p w14:paraId="457DDEAE" w14:textId="77777777" w:rsidR="001F3F9C" w:rsidRPr="00EB2E7B" w:rsidRDefault="001F3F9C"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Układ regulacji mocy poszczególnych jednostek wytwórczych, powinien zapewnić zmniejszenie mocy do co najmniej 20% mocy znamionowej w czasie mniejszym od 2 s.</w:t>
      </w:r>
    </w:p>
    <w:p w14:paraId="3E154B73" w14:textId="02864594" w:rsidR="001F3CC4" w:rsidRPr="00EB2E7B" w:rsidRDefault="001F3CC4" w:rsidP="009A432E">
      <w:pPr>
        <w:pStyle w:val="ANagwek4"/>
        <w:numPr>
          <w:ilvl w:val="2"/>
          <w:numId w:val="442"/>
        </w:numPr>
        <w:rPr>
          <w:rFonts w:asciiTheme="minorHAnsi" w:hAnsiTheme="minorHAnsi" w:cstheme="minorHAnsi"/>
          <w:sz w:val="20"/>
          <w:szCs w:val="20"/>
        </w:rPr>
      </w:pPr>
      <w:bookmarkStart w:id="799" w:name="_Ref190165262"/>
      <w:r w:rsidRPr="00EB2E7B">
        <w:rPr>
          <w:rFonts w:asciiTheme="minorHAnsi" w:hAnsiTheme="minorHAnsi" w:cstheme="minorHAnsi"/>
          <w:sz w:val="20"/>
          <w:szCs w:val="20"/>
        </w:rPr>
        <w:t>Farma wiatrowa powinna być wyposażona w system sterowania i regulacji mocy czynnej umożliwiający</w:t>
      </w:r>
      <w:r w:rsidR="00CE213F" w:rsidRPr="00EB2E7B">
        <w:rPr>
          <w:rFonts w:asciiTheme="minorHAnsi" w:hAnsiTheme="minorHAnsi" w:cstheme="minorHAnsi"/>
          <w:sz w:val="20"/>
          <w:szCs w:val="20"/>
        </w:rPr>
        <w:t>:</w:t>
      </w:r>
      <w:bookmarkEnd w:id="799"/>
    </w:p>
    <w:p w14:paraId="79CBAAA8" w14:textId="4C76172F" w:rsidR="00CE213F" w:rsidRPr="00EB2E7B" w:rsidRDefault="000B4132" w:rsidP="00751260">
      <w:pPr>
        <w:pStyle w:val="Akapitzlist"/>
        <w:numPr>
          <w:ilvl w:val="1"/>
          <w:numId w:val="518"/>
        </w:numPr>
        <w:snapToGrid w:val="0"/>
        <w:spacing w:line="266" w:lineRule="auto"/>
        <w:ind w:left="1701" w:hanging="567"/>
        <w:contextualSpacing w:val="0"/>
        <w:rPr>
          <w:rFonts w:asciiTheme="minorHAnsi" w:hAnsiTheme="minorHAnsi" w:cstheme="minorHAnsi"/>
          <w:sz w:val="20"/>
          <w:szCs w:val="20"/>
        </w:rPr>
      </w:pPr>
      <w:bookmarkStart w:id="800" w:name="_Ref190165286"/>
      <w:r w:rsidRPr="00EB2E7B">
        <w:rPr>
          <w:rFonts w:asciiTheme="minorHAnsi" w:hAnsiTheme="minorHAnsi" w:cstheme="minorHAnsi"/>
          <w:sz w:val="20"/>
          <w:szCs w:val="20"/>
        </w:rPr>
        <w:t xml:space="preserve">pracę farmy wiatrowej bez ograniczeń, odpowiednio do warunków wiatrowych. Podczas pracy farmy wiatrowej bez ograniczeń, odpowiednio do warunków wiatrowych, a także w trakcie uruchomień i </w:t>
      </w:r>
      <w:proofErr w:type="spellStart"/>
      <w:r w:rsidRPr="00EB2E7B">
        <w:rPr>
          <w:rFonts w:asciiTheme="minorHAnsi" w:hAnsiTheme="minorHAnsi" w:cstheme="minorHAnsi"/>
          <w:sz w:val="20"/>
          <w:szCs w:val="20"/>
        </w:rPr>
        <w:t>odstawień</w:t>
      </w:r>
      <w:proofErr w:type="spellEnd"/>
      <w:r w:rsidRPr="00EB2E7B">
        <w:rPr>
          <w:rFonts w:asciiTheme="minorHAnsi" w:hAnsiTheme="minorHAnsi" w:cstheme="minorHAnsi"/>
          <w:sz w:val="20"/>
          <w:szCs w:val="20"/>
        </w:rPr>
        <w:t xml:space="preserve"> farmy wiatrowej, gradient średni zmiany mocy czynnej farmy wiatrowej nie może przekraczać 10% mocy znamionowej farmy wiatrowej na minutę. W przypadku przekroczenia maksymalnej dopuszczalnej prędkości wiatru proces odstawiania z pracy poszczególnych turbin wiatrowych powinien odbywać się w jak najdłuższym czasie, przy zapewnieniu bezpieczeństwa urządzeń</w:t>
      </w:r>
      <w:bookmarkEnd w:id="800"/>
    </w:p>
    <w:p w14:paraId="7033D763" w14:textId="77777777" w:rsidR="00DD4AF1" w:rsidRPr="00EB2E7B" w:rsidRDefault="000B4132" w:rsidP="00751260">
      <w:pPr>
        <w:pStyle w:val="Akapitzlist"/>
        <w:numPr>
          <w:ilvl w:val="1"/>
          <w:numId w:val="518"/>
        </w:numPr>
        <w:snapToGrid w:val="0"/>
        <w:spacing w:line="266" w:lineRule="auto"/>
        <w:ind w:left="1701" w:hanging="567"/>
        <w:contextualSpacing w:val="0"/>
        <w:rPr>
          <w:rFonts w:asciiTheme="minorHAnsi" w:hAnsiTheme="minorHAnsi" w:cstheme="minorHAnsi"/>
          <w:sz w:val="20"/>
          <w:szCs w:val="20"/>
        </w:rPr>
      </w:pPr>
      <w:bookmarkStart w:id="801" w:name="_Ref190165336"/>
      <w:r w:rsidRPr="00EB2E7B">
        <w:rPr>
          <w:rFonts w:asciiTheme="minorHAnsi" w:hAnsiTheme="minorHAnsi" w:cstheme="minorHAnsi"/>
          <w:sz w:val="20"/>
          <w:szCs w:val="20"/>
        </w:rPr>
        <w:t>ograniczanie maksymalnego dopuszczalnego obciążenia mocą czynną (wykorzystanie interwencyjne farmy wiatrowej).</w:t>
      </w:r>
      <w:bookmarkEnd w:id="801"/>
      <w:r w:rsidRPr="00EB2E7B">
        <w:rPr>
          <w:rFonts w:asciiTheme="minorHAnsi" w:hAnsiTheme="minorHAnsi" w:cstheme="minorHAnsi"/>
          <w:sz w:val="20"/>
          <w:szCs w:val="20"/>
        </w:rPr>
        <w:t xml:space="preserve"> </w:t>
      </w:r>
    </w:p>
    <w:p w14:paraId="10BCE674" w14:textId="77777777" w:rsidR="00DD4AF1" w:rsidRPr="00EB2E7B" w:rsidRDefault="000B4132" w:rsidP="00751260">
      <w:pPr>
        <w:pStyle w:val="Akapitzlist"/>
        <w:snapToGrid w:val="0"/>
        <w:spacing w:line="266" w:lineRule="auto"/>
        <w:ind w:left="1701" w:firstLine="0"/>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Wartość zadanej, w trybie interwencyjnym przez operatora systemu, mocy czynnej powinna być utrzymywana z dokładnością co najmniej ±5% </w:t>
      </w:r>
      <w:proofErr w:type="spellStart"/>
      <w:r w:rsidRPr="00EB2E7B">
        <w:rPr>
          <w:rFonts w:asciiTheme="minorHAnsi" w:hAnsiTheme="minorHAnsi" w:cstheme="minorHAnsi"/>
          <w:sz w:val="20"/>
          <w:szCs w:val="20"/>
        </w:rPr>
        <w:t>Pz</w:t>
      </w:r>
      <w:proofErr w:type="spellEnd"/>
      <w:r w:rsidRPr="00EB2E7B">
        <w:rPr>
          <w:rFonts w:asciiTheme="minorHAnsi" w:hAnsiTheme="minorHAnsi" w:cstheme="minorHAnsi"/>
          <w:sz w:val="20"/>
          <w:szCs w:val="20"/>
        </w:rPr>
        <w:t xml:space="preserve"> (wartości zadanej), przy uwzględnieniu ograniczeń wynikających z warunków wiatrowych. </w:t>
      </w:r>
    </w:p>
    <w:p w14:paraId="46A1B35B" w14:textId="4C87CC7E" w:rsidR="000B4132" w:rsidRPr="00EB2E7B" w:rsidRDefault="000B4132" w:rsidP="00751260">
      <w:pPr>
        <w:pStyle w:val="Akapitzlist"/>
        <w:snapToGrid w:val="0"/>
        <w:spacing w:line="266" w:lineRule="auto"/>
        <w:ind w:left="1701" w:firstLine="0"/>
        <w:contextualSpacing w:val="0"/>
        <w:rPr>
          <w:rFonts w:asciiTheme="minorHAnsi" w:hAnsiTheme="minorHAnsi" w:cstheme="minorHAnsi"/>
          <w:sz w:val="20"/>
          <w:szCs w:val="20"/>
        </w:rPr>
      </w:pPr>
      <w:r w:rsidRPr="00EB2E7B">
        <w:rPr>
          <w:rFonts w:asciiTheme="minorHAnsi" w:hAnsiTheme="minorHAnsi" w:cstheme="minorHAnsi"/>
          <w:sz w:val="20"/>
          <w:szCs w:val="20"/>
        </w:rPr>
        <w:t>Prędkość redukcji mocy, powinna wynosić domyślnie 2% mocy znamionowej farmy wiatrowej na sekundę, w zakresie obciążenia farmy od 100% do 20% mocy znamionowej. W przypadku pracy farmy z obciążeniem poniżej 20% mocy znamionowej, dopuszcza się mniejszą prędkość redukcji mocy ale nie mniejszą niż 10% mocy znamionowej na minutę.</w:t>
      </w:r>
    </w:p>
    <w:p w14:paraId="7560AE2D" w14:textId="77777777" w:rsidR="00DD4AF1" w:rsidRPr="00EB2E7B" w:rsidRDefault="00DD4AF1" w:rsidP="00751260">
      <w:pPr>
        <w:pStyle w:val="Akapitzlist"/>
        <w:numPr>
          <w:ilvl w:val="1"/>
          <w:numId w:val="518"/>
        </w:numPr>
        <w:snapToGrid w:val="0"/>
        <w:spacing w:line="266" w:lineRule="auto"/>
        <w:ind w:left="1701" w:hanging="567"/>
        <w:contextualSpacing w:val="0"/>
        <w:rPr>
          <w:rFonts w:asciiTheme="minorHAnsi" w:hAnsiTheme="minorHAnsi" w:cstheme="minorHAnsi"/>
          <w:sz w:val="20"/>
          <w:szCs w:val="20"/>
        </w:rPr>
      </w:pPr>
      <w:bookmarkStart w:id="802" w:name="_Ref190165338"/>
      <w:r w:rsidRPr="00EB2E7B">
        <w:rPr>
          <w:rFonts w:asciiTheme="minorHAnsi" w:hAnsiTheme="minorHAnsi" w:cstheme="minorHAnsi"/>
          <w:sz w:val="20"/>
          <w:szCs w:val="20"/>
        </w:rPr>
        <w:t>automatyczną redukcję mocy czynnej, przy wzroście częstotliwości.</w:t>
      </w:r>
      <w:bookmarkEnd w:id="802"/>
      <w:r w:rsidRPr="00EB2E7B">
        <w:rPr>
          <w:rFonts w:asciiTheme="minorHAnsi" w:hAnsiTheme="minorHAnsi" w:cstheme="minorHAnsi"/>
          <w:sz w:val="20"/>
          <w:szCs w:val="20"/>
        </w:rPr>
        <w:t xml:space="preserve"> </w:t>
      </w:r>
    </w:p>
    <w:p w14:paraId="605E5BBD" w14:textId="475DD02F" w:rsidR="00AF760D" w:rsidRPr="00EB2E7B" w:rsidRDefault="00DD4AF1" w:rsidP="00751260">
      <w:pPr>
        <w:pStyle w:val="Akapitzlist"/>
        <w:snapToGrid w:val="0"/>
        <w:spacing w:line="266" w:lineRule="auto"/>
        <w:ind w:left="1701" w:firstLine="0"/>
        <w:contextualSpacing w:val="0"/>
        <w:rPr>
          <w:rFonts w:asciiTheme="minorHAnsi" w:hAnsiTheme="minorHAnsi" w:cstheme="minorHAnsi"/>
          <w:sz w:val="20"/>
          <w:szCs w:val="20"/>
        </w:rPr>
      </w:pPr>
      <w:r w:rsidRPr="00EB2E7B">
        <w:rPr>
          <w:rFonts w:asciiTheme="minorHAnsi" w:hAnsiTheme="minorHAnsi" w:cstheme="minorHAnsi"/>
          <w:sz w:val="20"/>
          <w:szCs w:val="20"/>
        </w:rPr>
        <w:t>Przy wzroście częstotliwości w miejscu przyłączenia farmy wiatrowej, układ regulacji mocy czynnej farmy wiatrowej, powinien być zdolny do automatycznej redukcji mocy czynnej, zgodnie z ustawioną charakterystyką statyczną</w:t>
      </w:r>
      <w:r w:rsidR="007C5039" w:rsidRPr="00EB2E7B">
        <w:rPr>
          <w:rFonts w:asciiTheme="minorHAnsi" w:hAnsiTheme="minorHAnsi" w:cstheme="minorHAnsi"/>
          <w:sz w:val="20"/>
          <w:szCs w:val="20"/>
        </w:rPr>
        <w:t xml:space="preserve"> przedstawioną na rysunku poniżej. W takim przypadku jako wartość domyślną prędkości redukcji mocy czynnej, należy przyjąć 5% mocy znamionowej farmy wiatrowej na sekundę dla całego zakresu obciążenia mocą czynną farmy wiatrowej.</w:t>
      </w:r>
    </w:p>
    <w:p w14:paraId="31C00393" w14:textId="77777777" w:rsidR="0001313A" w:rsidRPr="00EB2E7B" w:rsidRDefault="0001313A" w:rsidP="0001313A">
      <w:pPr>
        <w:pStyle w:val="Akapitzlist"/>
        <w:ind w:left="1701" w:firstLine="0"/>
        <w:rPr>
          <w:rFonts w:asciiTheme="minorHAnsi" w:hAnsiTheme="minorHAnsi" w:cstheme="minorHAnsi"/>
          <w:sz w:val="20"/>
          <w:szCs w:val="20"/>
        </w:rPr>
      </w:pPr>
    </w:p>
    <w:p w14:paraId="4C48AD7D" w14:textId="4741CC01" w:rsidR="0001313A" w:rsidRPr="00EB2E7B" w:rsidRDefault="0001313A" w:rsidP="00751260">
      <w:pPr>
        <w:pStyle w:val="Akapitzlist"/>
        <w:ind w:left="1701" w:firstLine="0"/>
        <w:rPr>
          <w:rFonts w:asciiTheme="minorHAnsi" w:hAnsiTheme="minorHAnsi" w:cstheme="minorHAnsi"/>
          <w:sz w:val="20"/>
          <w:szCs w:val="20"/>
        </w:rPr>
      </w:pPr>
      <w:r w:rsidRPr="00EB2E7B">
        <w:rPr>
          <w:rFonts w:asciiTheme="minorHAnsi" w:hAnsiTheme="minorHAnsi" w:cstheme="minorHAnsi"/>
          <w:noProof/>
          <w:sz w:val="20"/>
          <w:szCs w:val="20"/>
        </w:rPr>
        <w:lastRenderedPageBreak/>
        <w:drawing>
          <wp:inline distT="0" distB="0" distL="0" distR="0" wp14:anchorId="423C1D2D" wp14:editId="0F82FB9E">
            <wp:extent cx="3959874" cy="2695698"/>
            <wp:effectExtent l="0" t="0" r="2540" b="9525"/>
            <wp:docPr id="15749542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54230" name=""/>
                    <pic:cNvPicPr/>
                  </pic:nvPicPr>
                  <pic:blipFill>
                    <a:blip r:embed="rId25"/>
                    <a:stretch>
                      <a:fillRect/>
                    </a:stretch>
                  </pic:blipFill>
                  <pic:spPr>
                    <a:xfrm>
                      <a:off x="0" y="0"/>
                      <a:ext cx="3975419" cy="2706280"/>
                    </a:xfrm>
                    <a:prstGeom prst="rect">
                      <a:avLst/>
                    </a:prstGeom>
                  </pic:spPr>
                </pic:pic>
              </a:graphicData>
            </a:graphic>
          </wp:inline>
        </w:drawing>
      </w:r>
    </w:p>
    <w:p w14:paraId="224B4865" w14:textId="0A0628AE" w:rsidR="0001313A" w:rsidRPr="00EB2E7B" w:rsidRDefault="00BA509B" w:rsidP="00751260">
      <w:pPr>
        <w:ind w:left="70" w:firstLine="0"/>
        <w:rPr>
          <w:rFonts w:asciiTheme="minorHAnsi" w:hAnsiTheme="minorHAnsi" w:cstheme="minorHAnsi"/>
          <w:sz w:val="20"/>
          <w:szCs w:val="20"/>
        </w:rPr>
      </w:pPr>
      <w:r w:rsidRPr="00EB2E7B">
        <w:rPr>
          <w:rFonts w:asciiTheme="minorHAnsi" w:hAnsiTheme="minorHAnsi" w:cstheme="minorHAnsi"/>
          <w:noProof/>
          <w:sz w:val="20"/>
          <w:szCs w:val="20"/>
        </w:rPr>
        <w:lastRenderedPageBreak/>
        <w:drawing>
          <wp:inline distT="0" distB="0" distL="0" distR="0" wp14:anchorId="2953458C" wp14:editId="675C993D">
            <wp:extent cx="5829935" cy="6238240"/>
            <wp:effectExtent l="0" t="0" r="0" b="0"/>
            <wp:docPr id="9991630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63026" name=""/>
                    <pic:cNvPicPr/>
                  </pic:nvPicPr>
                  <pic:blipFill>
                    <a:blip r:embed="rId26"/>
                    <a:stretch>
                      <a:fillRect/>
                    </a:stretch>
                  </pic:blipFill>
                  <pic:spPr>
                    <a:xfrm>
                      <a:off x="0" y="0"/>
                      <a:ext cx="5829935" cy="6238240"/>
                    </a:xfrm>
                    <a:prstGeom prst="rect">
                      <a:avLst/>
                    </a:prstGeom>
                  </pic:spPr>
                </pic:pic>
              </a:graphicData>
            </a:graphic>
          </wp:inline>
        </w:drawing>
      </w:r>
    </w:p>
    <w:p w14:paraId="7013C08B" w14:textId="78D0F39C" w:rsidR="00AF760D" w:rsidRPr="00EB2E7B" w:rsidRDefault="008103B1"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Zmniejszanie mocy wymagane przy zwyżce częstotliwości ponad 50,5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powinno być realizowane w pierwszej kolejności poprzez możliwości regulacyjne poszczególnych turbin wiatrowych, a następnie poprzez wyłączanie poszczególnych pracujących turbin wiatrowych farmy wiatrowej.</w:t>
      </w:r>
    </w:p>
    <w:p w14:paraId="6761A7A2" w14:textId="69CE6DB7" w:rsidR="00AF760D" w:rsidRPr="00EB2E7B" w:rsidRDefault="008103B1"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Określona w pkt </w:t>
      </w:r>
      <w:r w:rsidR="00916D43" w:rsidRPr="00EB2E7B">
        <w:rPr>
          <w:rFonts w:asciiTheme="minorHAnsi" w:hAnsiTheme="minorHAnsi" w:cstheme="minorHAnsi"/>
          <w:sz w:val="20"/>
          <w:szCs w:val="20"/>
        </w:rPr>
        <w:fldChar w:fldCharType="begin"/>
      </w:r>
      <w:r w:rsidR="00916D43" w:rsidRPr="00EB2E7B">
        <w:rPr>
          <w:rFonts w:asciiTheme="minorHAnsi" w:hAnsiTheme="minorHAnsi" w:cstheme="minorHAnsi"/>
          <w:sz w:val="20"/>
          <w:szCs w:val="20"/>
        </w:rPr>
        <w:instrText xml:space="preserve"> REF _Ref190165262 \r \h </w:instrText>
      </w:r>
      <w:r w:rsidR="0009397D" w:rsidRPr="00EB2E7B">
        <w:rPr>
          <w:rFonts w:asciiTheme="minorHAnsi" w:hAnsiTheme="minorHAnsi" w:cstheme="minorHAnsi"/>
          <w:sz w:val="20"/>
          <w:szCs w:val="20"/>
        </w:rPr>
        <w:instrText xml:space="preserve"> \* MERGEFORMAT </w:instrText>
      </w:r>
      <w:r w:rsidR="00916D43" w:rsidRPr="00EB2E7B">
        <w:rPr>
          <w:rFonts w:asciiTheme="minorHAnsi" w:hAnsiTheme="minorHAnsi" w:cstheme="minorHAnsi"/>
          <w:sz w:val="20"/>
          <w:szCs w:val="20"/>
        </w:rPr>
      </w:r>
      <w:r w:rsidR="00916D43"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8.2.6</w:t>
      </w:r>
      <w:r w:rsidR="00916D43"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0009397D" w:rsidRPr="00EB2E7B">
        <w:rPr>
          <w:rFonts w:asciiTheme="minorHAnsi" w:hAnsiTheme="minorHAnsi" w:cstheme="minorHAnsi"/>
          <w:sz w:val="20"/>
          <w:szCs w:val="20"/>
        </w:rPr>
        <w:fldChar w:fldCharType="begin"/>
      </w:r>
      <w:r w:rsidR="0009397D" w:rsidRPr="00EB2E7B">
        <w:rPr>
          <w:rFonts w:asciiTheme="minorHAnsi" w:hAnsiTheme="minorHAnsi" w:cstheme="minorHAnsi"/>
          <w:sz w:val="20"/>
          <w:szCs w:val="20"/>
        </w:rPr>
        <w:instrText xml:space="preserve"> REF _Ref190165286 \r \h  \* MERGEFORMAT </w:instrText>
      </w:r>
      <w:r w:rsidR="0009397D" w:rsidRPr="00EB2E7B">
        <w:rPr>
          <w:rFonts w:asciiTheme="minorHAnsi" w:hAnsiTheme="minorHAnsi" w:cstheme="minorHAnsi"/>
          <w:sz w:val="20"/>
          <w:szCs w:val="20"/>
        </w:rPr>
      </w:r>
      <w:r w:rsidR="0009397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w:t>
      </w:r>
      <w:r w:rsidR="0009397D"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dopuszczalna prędkość zmian obciążenia nie ma zastosowania w przypadku odciążania farmy wiatrowej ze względu na wzrost częstotliwości powyżej 50,5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zgodnie z charakterystyką statyczną korekcji mocy farmy wiatrowej w funkcji wzrostu częstotliwości P = f(</w:t>
      </w:r>
      <w:proofErr w:type="spellStart"/>
      <w:r w:rsidRPr="00EB2E7B">
        <w:rPr>
          <w:rFonts w:asciiTheme="minorHAnsi" w:hAnsiTheme="minorHAnsi" w:cstheme="minorHAnsi"/>
          <w:sz w:val="20"/>
          <w:szCs w:val="20"/>
        </w:rPr>
        <w:t>df</w:t>
      </w:r>
      <w:proofErr w:type="spellEnd"/>
      <w:r w:rsidRPr="00EB2E7B">
        <w:rPr>
          <w:rFonts w:asciiTheme="minorHAnsi" w:hAnsiTheme="minorHAnsi" w:cstheme="minorHAnsi"/>
          <w:sz w:val="20"/>
          <w:szCs w:val="20"/>
        </w:rPr>
        <w:t xml:space="preserve">) oraz w sytuacjach zakłóceniowych w systemie, w przypadku gdy OSP lub ACPRO poleci szybkie odciążenie lub, jeśli jest to technicznie możliwe, dociążenie farmy wiatrowej. W takich przypadkach należy zapewnić prędkość redukcji mocy zgodnie z postanowieniami pkt </w:t>
      </w:r>
      <w:r w:rsidR="0009397D" w:rsidRPr="00EB2E7B">
        <w:rPr>
          <w:rFonts w:asciiTheme="minorHAnsi" w:hAnsiTheme="minorHAnsi" w:cstheme="minorHAnsi"/>
          <w:sz w:val="20"/>
          <w:szCs w:val="20"/>
        </w:rPr>
        <w:fldChar w:fldCharType="begin"/>
      </w:r>
      <w:r w:rsidR="0009397D" w:rsidRPr="00EB2E7B">
        <w:rPr>
          <w:rFonts w:asciiTheme="minorHAnsi" w:hAnsiTheme="minorHAnsi" w:cstheme="minorHAnsi"/>
          <w:sz w:val="20"/>
          <w:szCs w:val="20"/>
        </w:rPr>
        <w:instrText xml:space="preserve"> REF _Ref190165262 \r \h  \* MERGEFORMAT </w:instrText>
      </w:r>
      <w:r w:rsidR="0009397D" w:rsidRPr="00EB2E7B">
        <w:rPr>
          <w:rFonts w:asciiTheme="minorHAnsi" w:hAnsiTheme="minorHAnsi" w:cstheme="minorHAnsi"/>
          <w:sz w:val="20"/>
          <w:szCs w:val="20"/>
        </w:rPr>
      </w:r>
      <w:r w:rsidR="0009397D"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8.2.6</w:t>
      </w:r>
      <w:r w:rsidR="0009397D" w:rsidRPr="00EB2E7B">
        <w:rPr>
          <w:rFonts w:asciiTheme="minorHAnsi" w:hAnsiTheme="minorHAnsi" w:cstheme="minorHAnsi"/>
          <w:sz w:val="20"/>
          <w:szCs w:val="20"/>
        </w:rPr>
        <w:fldChar w:fldCharType="end"/>
      </w:r>
      <w:r w:rsidR="0009397D" w:rsidRPr="00EB2E7B">
        <w:rPr>
          <w:rFonts w:asciiTheme="minorHAnsi" w:hAnsiTheme="minorHAnsi" w:cstheme="minorHAnsi"/>
          <w:sz w:val="20"/>
          <w:szCs w:val="20"/>
        </w:rPr>
        <w:t xml:space="preserve">. </w:t>
      </w:r>
      <w:r w:rsidR="007B0AF9" w:rsidRPr="00EB2E7B">
        <w:rPr>
          <w:rFonts w:asciiTheme="minorHAnsi" w:hAnsiTheme="minorHAnsi" w:cstheme="minorHAnsi"/>
          <w:sz w:val="20"/>
          <w:szCs w:val="20"/>
        </w:rPr>
        <w:fldChar w:fldCharType="begin"/>
      </w:r>
      <w:r w:rsidR="007B0AF9" w:rsidRPr="00EB2E7B">
        <w:rPr>
          <w:rFonts w:asciiTheme="minorHAnsi" w:hAnsiTheme="minorHAnsi" w:cstheme="minorHAnsi"/>
          <w:sz w:val="20"/>
          <w:szCs w:val="20"/>
        </w:rPr>
        <w:instrText xml:space="preserve"> REF _Ref190165336 \r \h  \* MERGEFORMAT </w:instrText>
      </w:r>
      <w:r w:rsidR="007B0AF9" w:rsidRPr="00EB2E7B">
        <w:rPr>
          <w:rFonts w:asciiTheme="minorHAnsi" w:hAnsiTheme="minorHAnsi" w:cstheme="minorHAnsi"/>
          <w:sz w:val="20"/>
          <w:szCs w:val="20"/>
        </w:rPr>
      </w:r>
      <w:r w:rsidR="007B0AF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2)</w:t>
      </w:r>
      <w:r w:rsidR="007B0AF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t>
      </w:r>
      <w:r w:rsidR="007B0AF9" w:rsidRPr="00EB2E7B">
        <w:rPr>
          <w:rFonts w:asciiTheme="minorHAnsi" w:hAnsiTheme="minorHAnsi" w:cstheme="minorHAnsi"/>
          <w:sz w:val="20"/>
          <w:szCs w:val="20"/>
        </w:rPr>
        <w:fldChar w:fldCharType="begin"/>
      </w:r>
      <w:r w:rsidR="007B0AF9" w:rsidRPr="00EB2E7B">
        <w:rPr>
          <w:rFonts w:asciiTheme="minorHAnsi" w:hAnsiTheme="minorHAnsi" w:cstheme="minorHAnsi"/>
          <w:sz w:val="20"/>
          <w:szCs w:val="20"/>
        </w:rPr>
        <w:instrText xml:space="preserve"> REF _Ref190165338 \r \h  \* MERGEFORMAT </w:instrText>
      </w:r>
      <w:r w:rsidR="007B0AF9" w:rsidRPr="00EB2E7B">
        <w:rPr>
          <w:rFonts w:asciiTheme="minorHAnsi" w:hAnsiTheme="minorHAnsi" w:cstheme="minorHAnsi"/>
          <w:sz w:val="20"/>
          <w:szCs w:val="20"/>
        </w:rPr>
      </w:r>
      <w:r w:rsidR="007B0AF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3)</w:t>
      </w:r>
      <w:r w:rsidR="007B0AF9"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44E9EFAF" w14:textId="2222740C" w:rsidR="00AF760D" w:rsidRPr="00EB2E7B" w:rsidRDefault="008103B1"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lastRenderedPageBreak/>
        <w:t>W celu zapewnienia właściwości dynamicznych dla całej farmy wiatrowej zaleca się aby każda pojedyncza turbina wiatrowa farmy wiatrowej była zdolna do redukcji</w:t>
      </w:r>
      <w:r w:rsidR="00751260" w:rsidRPr="00EB2E7B">
        <w:rPr>
          <w:rFonts w:asciiTheme="minorHAnsi" w:hAnsiTheme="minorHAnsi" w:cstheme="minorHAnsi"/>
          <w:sz w:val="20"/>
          <w:szCs w:val="20"/>
        </w:rPr>
        <w:t xml:space="preserve"> mocy czynnej z prędkością nie mniejszą niż 5% </w:t>
      </w:r>
      <w:proofErr w:type="spellStart"/>
      <w:r w:rsidR="00751260" w:rsidRPr="00EB2E7B">
        <w:rPr>
          <w:rFonts w:asciiTheme="minorHAnsi" w:hAnsiTheme="minorHAnsi" w:cstheme="minorHAnsi"/>
          <w:sz w:val="20"/>
          <w:szCs w:val="20"/>
        </w:rPr>
        <w:t>Pn</w:t>
      </w:r>
      <w:proofErr w:type="spellEnd"/>
      <w:r w:rsidR="00751260" w:rsidRPr="00EB2E7B">
        <w:rPr>
          <w:rFonts w:asciiTheme="minorHAnsi" w:hAnsiTheme="minorHAnsi" w:cstheme="minorHAnsi"/>
          <w:sz w:val="20"/>
          <w:szCs w:val="20"/>
        </w:rPr>
        <w:t xml:space="preserve"> mocy znamionowej na sekundę w zakresie od 100% do 40% mocy generowanej.</w:t>
      </w:r>
    </w:p>
    <w:p w14:paraId="1FAFAD73" w14:textId="77777777" w:rsidR="00751260" w:rsidRPr="00EB2E7B" w:rsidRDefault="0075126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ACPRO z co najmniej pięciodniowym wyprzedzeniem, powiadamia właściciela farmy wiatrowej o konieczności jej wyłączenia, w celu dokonania określonych planowych prac modernizacyjnych lub naprawczych w sieci elektroenergetycznej. </w:t>
      </w:r>
    </w:p>
    <w:p w14:paraId="319DCC73" w14:textId="77777777" w:rsidR="00751260" w:rsidRPr="00EB2E7B" w:rsidRDefault="0075126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W sytuacjach zagrożenia bezpieczeństwa pracy systemu elektroenergetycznego odpowiedni operator systemu, może polecić całkowite wyłączenie farmy wiatrowej. ACPRO określa w warunkach przyłączenia do sieci wymagania w zakresie przystosowania farmy wiatrowej do zdalnego wyłączania, monitorowania i transmisji danych.</w:t>
      </w:r>
    </w:p>
    <w:p w14:paraId="2C0A2778" w14:textId="77777777" w:rsidR="004F2E4C" w:rsidRPr="00EB2E7B" w:rsidRDefault="004F2E4C" w:rsidP="00B01C33">
      <w:pPr>
        <w:pStyle w:val="NormalnyIRiESD"/>
        <w:numPr>
          <w:ilvl w:val="0"/>
          <w:numId w:val="0"/>
        </w:numPr>
        <w:rPr>
          <w:rFonts w:asciiTheme="minorHAnsi" w:hAnsiTheme="minorHAnsi" w:cstheme="minorHAnsi"/>
          <w:sz w:val="20"/>
          <w:szCs w:val="20"/>
        </w:rPr>
      </w:pPr>
    </w:p>
    <w:p w14:paraId="34A41C6D" w14:textId="2E3C0669" w:rsidR="00AF2D89" w:rsidRPr="00EB2E7B" w:rsidRDefault="00AF2D89"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Praca farmy wiatrowej w zależności od częstotliwości i napięcia</w:t>
      </w:r>
    </w:p>
    <w:p w14:paraId="73830905" w14:textId="77777777" w:rsidR="00844894" w:rsidRPr="00EB2E7B" w:rsidRDefault="00844894" w:rsidP="009A432E">
      <w:pPr>
        <w:pStyle w:val="ANagwek4"/>
        <w:numPr>
          <w:ilvl w:val="2"/>
          <w:numId w:val="442"/>
        </w:numPr>
        <w:rPr>
          <w:rFonts w:asciiTheme="minorHAnsi" w:hAnsiTheme="minorHAnsi" w:cstheme="minorHAnsi"/>
          <w:sz w:val="20"/>
          <w:szCs w:val="20"/>
        </w:rPr>
      </w:pPr>
      <w:bookmarkStart w:id="803" w:name="_Ref190165632"/>
      <w:r w:rsidRPr="00EB2E7B">
        <w:rPr>
          <w:rFonts w:asciiTheme="minorHAnsi" w:hAnsiTheme="minorHAnsi" w:cstheme="minorHAnsi"/>
          <w:sz w:val="20"/>
          <w:szCs w:val="20"/>
        </w:rPr>
        <w:t>Farma wiatrowa powinna mieć możliwość pracy w następującym zakresie częstotliwości:</w:t>
      </w:r>
      <w:bookmarkEnd w:id="803"/>
    </w:p>
    <w:p w14:paraId="4D54B6AD" w14:textId="77777777" w:rsidR="00844894" w:rsidRPr="00EB2E7B" w:rsidRDefault="00844894" w:rsidP="00541FD9">
      <w:pPr>
        <w:pStyle w:val="Akapitzlist"/>
        <w:numPr>
          <w:ilvl w:val="0"/>
          <w:numId w:val="451"/>
        </w:numPr>
        <w:spacing w:line="266" w:lineRule="auto"/>
        <w:ind w:left="1701" w:hanging="567"/>
        <w:contextualSpacing w:val="0"/>
        <w:rPr>
          <w:rFonts w:asciiTheme="minorHAnsi" w:hAnsiTheme="minorHAnsi" w:cstheme="minorHAnsi"/>
          <w:sz w:val="20"/>
          <w:szCs w:val="20"/>
        </w:rPr>
      </w:pPr>
      <w:bookmarkStart w:id="804" w:name="_Ref190165659"/>
      <w:r w:rsidRPr="00EB2E7B">
        <w:rPr>
          <w:rFonts w:asciiTheme="minorHAnsi" w:hAnsiTheme="minorHAnsi" w:cstheme="minorHAnsi"/>
          <w:sz w:val="20"/>
          <w:szCs w:val="20"/>
        </w:rPr>
        <w:t xml:space="preserve">przy 49,5 ≤ f ≤ 50,5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farma wiatrowa musi mieć możliwość pracy trwałej z mocą znamionową,</w:t>
      </w:r>
      <w:bookmarkEnd w:id="804"/>
      <w:r w:rsidRPr="00EB2E7B">
        <w:rPr>
          <w:rFonts w:asciiTheme="minorHAnsi" w:hAnsiTheme="minorHAnsi" w:cstheme="minorHAnsi"/>
          <w:sz w:val="20"/>
          <w:szCs w:val="20"/>
        </w:rPr>
        <w:t xml:space="preserve"> </w:t>
      </w:r>
    </w:p>
    <w:p w14:paraId="73AE6A51" w14:textId="5AF6F77E" w:rsidR="00844894" w:rsidRPr="00EB2E7B" w:rsidRDefault="00844894" w:rsidP="00541FD9">
      <w:pPr>
        <w:pStyle w:val="Akapitzlist"/>
        <w:numPr>
          <w:ilvl w:val="0"/>
          <w:numId w:val="451"/>
        </w:numPr>
        <w:spacing w:line="266" w:lineRule="auto"/>
        <w:ind w:left="1701" w:hanging="567"/>
        <w:contextualSpacing w:val="0"/>
        <w:rPr>
          <w:rFonts w:asciiTheme="minorHAnsi" w:hAnsiTheme="minorHAnsi" w:cstheme="minorHAnsi"/>
          <w:sz w:val="20"/>
          <w:szCs w:val="20"/>
        </w:rPr>
      </w:pPr>
      <w:bookmarkStart w:id="805" w:name="_Ref190165688"/>
      <w:r w:rsidRPr="00EB2E7B">
        <w:rPr>
          <w:rFonts w:asciiTheme="minorHAnsi" w:hAnsiTheme="minorHAnsi" w:cstheme="minorHAnsi"/>
          <w:sz w:val="20"/>
          <w:szCs w:val="20"/>
        </w:rPr>
        <w:t xml:space="preserve">przy 48,5 ≤ f &lt; 49,5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farma wiatrowa musi mieć możliwość pracy z mocą większą niż 90% mocy wynikającej z aktualnej prędkości wiatru, przez co najmniej 30 min.,</w:t>
      </w:r>
      <w:bookmarkEnd w:id="805"/>
      <w:r w:rsidRPr="00EB2E7B">
        <w:rPr>
          <w:rFonts w:asciiTheme="minorHAnsi" w:hAnsiTheme="minorHAnsi" w:cstheme="minorHAnsi"/>
          <w:sz w:val="20"/>
          <w:szCs w:val="20"/>
        </w:rPr>
        <w:t xml:space="preserve"> </w:t>
      </w:r>
    </w:p>
    <w:p w14:paraId="590EE712" w14:textId="77777777" w:rsidR="00844894" w:rsidRPr="00EB2E7B" w:rsidRDefault="00844894" w:rsidP="00541FD9">
      <w:pPr>
        <w:pStyle w:val="Akapitzlist"/>
        <w:numPr>
          <w:ilvl w:val="0"/>
          <w:numId w:val="45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przy 48,0 ≤ f &lt; 48,5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farma wiatrowa musi mieć możliwość pracy z mocą większą niż 85% mocy wynikającej z aktualnej prędkości wiatru, przez co najmniej 20 min., </w:t>
      </w:r>
    </w:p>
    <w:p w14:paraId="2CDC8A42" w14:textId="77777777" w:rsidR="00844894" w:rsidRPr="00EB2E7B" w:rsidRDefault="00844894" w:rsidP="00541FD9">
      <w:pPr>
        <w:pStyle w:val="Akapitzlist"/>
        <w:numPr>
          <w:ilvl w:val="0"/>
          <w:numId w:val="45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przy 47,5 ≤ f &lt; 48,0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farma wiatrowa musi mieć możliwość pracy z mocą większą niż 80% mocy wynikającej z aktualnej prędkości wiatru, przez co najmniej 10 min., </w:t>
      </w:r>
    </w:p>
    <w:p w14:paraId="3AAEEA01" w14:textId="77777777" w:rsidR="00844894" w:rsidRPr="00EB2E7B" w:rsidRDefault="00844894" w:rsidP="00541FD9">
      <w:pPr>
        <w:pStyle w:val="Akapitzlist"/>
        <w:numPr>
          <w:ilvl w:val="0"/>
          <w:numId w:val="45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przy f &lt; 47,5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farmę wiatrową można odłączyć od sieci ze zwłoką czasową uzgodnioną z operatorem systemu, </w:t>
      </w:r>
    </w:p>
    <w:p w14:paraId="06EB57E6" w14:textId="77777777" w:rsidR="00844894" w:rsidRPr="00EB2E7B" w:rsidRDefault="00844894" w:rsidP="00541FD9">
      <w:pPr>
        <w:pStyle w:val="Akapitzlist"/>
        <w:numPr>
          <w:ilvl w:val="0"/>
          <w:numId w:val="45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przy 50,5 &lt; f ≤ 51,5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farma wiatrowa musi mieć możliwość trwałej pracy z mocą ograniczaną wraz ze wzrostem częstotliwości, do zera przy częstotliwości 51,5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w:t>
      </w:r>
    </w:p>
    <w:p w14:paraId="1F6CAA11" w14:textId="2A1BC899" w:rsidR="00844894" w:rsidRPr="00EB2E7B" w:rsidRDefault="00844894" w:rsidP="00541FD9">
      <w:pPr>
        <w:pStyle w:val="Akapitzlist"/>
        <w:numPr>
          <w:ilvl w:val="0"/>
          <w:numId w:val="45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przy f &gt; 51,5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farmę wiatrową należy odłączyć od sieci w ciągu maks. 0,3 s, o ile operator systemu nie określi inaczej w warunkach przyłączenia do sieci.</w:t>
      </w:r>
    </w:p>
    <w:p w14:paraId="1C8A39F6" w14:textId="48A0C9C8" w:rsidR="00B02FE0" w:rsidRPr="00EB2E7B" w:rsidRDefault="00B02FE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Farma wiatrowa powinna spełniać warunki wymienione w pkt. </w:t>
      </w:r>
      <w:r w:rsidR="00CD3B84" w:rsidRPr="00EB2E7B">
        <w:rPr>
          <w:rFonts w:asciiTheme="minorHAnsi" w:hAnsiTheme="minorHAnsi" w:cstheme="minorHAnsi"/>
          <w:sz w:val="20"/>
          <w:szCs w:val="20"/>
        </w:rPr>
        <w:fldChar w:fldCharType="begin"/>
      </w:r>
      <w:r w:rsidR="00CD3B84" w:rsidRPr="00EB2E7B">
        <w:rPr>
          <w:rFonts w:asciiTheme="minorHAnsi" w:hAnsiTheme="minorHAnsi" w:cstheme="minorHAnsi"/>
          <w:sz w:val="20"/>
          <w:szCs w:val="20"/>
        </w:rPr>
        <w:instrText xml:space="preserve"> REF _Ref190165632 \r \h </w:instrText>
      </w:r>
      <w:r w:rsidR="00C0502E" w:rsidRPr="00EB2E7B">
        <w:rPr>
          <w:rFonts w:asciiTheme="minorHAnsi" w:hAnsiTheme="minorHAnsi" w:cstheme="minorHAnsi"/>
          <w:sz w:val="20"/>
          <w:szCs w:val="20"/>
        </w:rPr>
        <w:instrText xml:space="preserve"> \* MERGEFORMAT </w:instrText>
      </w:r>
      <w:r w:rsidR="00CD3B84" w:rsidRPr="00EB2E7B">
        <w:rPr>
          <w:rFonts w:asciiTheme="minorHAnsi" w:hAnsiTheme="minorHAnsi" w:cstheme="minorHAnsi"/>
          <w:sz w:val="20"/>
          <w:szCs w:val="20"/>
        </w:rPr>
      </w:r>
      <w:r w:rsidR="00CD3B8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8.3.1</w:t>
      </w:r>
      <w:r w:rsidR="00CD3B84" w:rsidRPr="00EB2E7B">
        <w:rPr>
          <w:rFonts w:asciiTheme="minorHAnsi" w:hAnsiTheme="minorHAnsi" w:cstheme="minorHAnsi"/>
          <w:sz w:val="20"/>
          <w:szCs w:val="20"/>
        </w:rPr>
        <w:fldChar w:fldCharType="end"/>
      </w:r>
      <w:r w:rsidR="00C221E3" w:rsidRPr="00EB2E7B">
        <w:rPr>
          <w:rFonts w:asciiTheme="minorHAnsi" w:hAnsiTheme="minorHAnsi" w:cstheme="minorHAnsi"/>
          <w:sz w:val="20"/>
          <w:szCs w:val="20"/>
        </w:rPr>
        <w:t xml:space="preserve"> lit. </w:t>
      </w:r>
      <w:r w:rsidR="00C0502E" w:rsidRPr="00EB2E7B">
        <w:rPr>
          <w:rFonts w:asciiTheme="minorHAnsi" w:hAnsiTheme="minorHAnsi" w:cstheme="minorHAnsi"/>
          <w:sz w:val="20"/>
          <w:szCs w:val="20"/>
        </w:rPr>
        <w:fldChar w:fldCharType="begin"/>
      </w:r>
      <w:r w:rsidR="00C0502E" w:rsidRPr="00EB2E7B">
        <w:rPr>
          <w:rFonts w:asciiTheme="minorHAnsi" w:hAnsiTheme="minorHAnsi" w:cstheme="minorHAnsi"/>
          <w:sz w:val="20"/>
          <w:szCs w:val="20"/>
        </w:rPr>
        <w:instrText xml:space="preserve"> REF _Ref190165659 \r \h  \* MERGEFORMAT </w:instrText>
      </w:r>
      <w:r w:rsidR="00C0502E" w:rsidRPr="00EB2E7B">
        <w:rPr>
          <w:rFonts w:asciiTheme="minorHAnsi" w:hAnsiTheme="minorHAnsi" w:cstheme="minorHAnsi"/>
          <w:sz w:val="20"/>
          <w:szCs w:val="20"/>
        </w:rPr>
      </w:r>
      <w:r w:rsidR="00C0502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C0502E"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i pkt.</w:t>
      </w:r>
      <w:r w:rsidR="00C221E3" w:rsidRPr="00EB2E7B">
        <w:rPr>
          <w:rFonts w:asciiTheme="minorHAnsi" w:hAnsiTheme="minorHAnsi" w:cstheme="minorHAnsi"/>
          <w:sz w:val="20"/>
          <w:szCs w:val="20"/>
        </w:rPr>
        <w:t xml:space="preserve"> </w:t>
      </w:r>
      <w:r w:rsidR="00C0502E" w:rsidRPr="00EB2E7B">
        <w:rPr>
          <w:rFonts w:asciiTheme="minorHAnsi" w:hAnsiTheme="minorHAnsi" w:cstheme="minorHAnsi"/>
          <w:sz w:val="20"/>
          <w:szCs w:val="20"/>
        </w:rPr>
        <w:fldChar w:fldCharType="begin"/>
      </w:r>
      <w:r w:rsidR="00C0502E" w:rsidRPr="00EB2E7B">
        <w:rPr>
          <w:rFonts w:asciiTheme="minorHAnsi" w:hAnsiTheme="minorHAnsi" w:cstheme="minorHAnsi"/>
          <w:sz w:val="20"/>
          <w:szCs w:val="20"/>
        </w:rPr>
        <w:instrText xml:space="preserve"> REF _Ref190165632 \r \h </w:instrText>
      </w:r>
      <w:r w:rsidR="00340639" w:rsidRPr="00EB2E7B">
        <w:rPr>
          <w:rFonts w:asciiTheme="minorHAnsi" w:hAnsiTheme="minorHAnsi" w:cstheme="minorHAnsi"/>
          <w:sz w:val="20"/>
          <w:szCs w:val="20"/>
        </w:rPr>
        <w:instrText xml:space="preserve"> \* MERGEFORMAT </w:instrText>
      </w:r>
      <w:r w:rsidR="00C0502E" w:rsidRPr="00EB2E7B">
        <w:rPr>
          <w:rFonts w:asciiTheme="minorHAnsi" w:hAnsiTheme="minorHAnsi" w:cstheme="minorHAnsi"/>
          <w:sz w:val="20"/>
          <w:szCs w:val="20"/>
        </w:rPr>
      </w:r>
      <w:r w:rsidR="00C0502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8.3.1</w:t>
      </w:r>
      <w:r w:rsidR="00C0502E"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r w:rsidR="00C221E3" w:rsidRPr="00EB2E7B">
        <w:rPr>
          <w:rFonts w:asciiTheme="minorHAnsi" w:hAnsiTheme="minorHAnsi" w:cstheme="minorHAnsi"/>
          <w:sz w:val="20"/>
          <w:szCs w:val="20"/>
        </w:rPr>
        <w:t xml:space="preserve"> lit. </w:t>
      </w:r>
      <w:r w:rsidR="00340639" w:rsidRPr="00EB2E7B">
        <w:rPr>
          <w:rFonts w:asciiTheme="minorHAnsi" w:hAnsiTheme="minorHAnsi" w:cstheme="minorHAnsi"/>
          <w:sz w:val="20"/>
          <w:szCs w:val="20"/>
        </w:rPr>
        <w:fldChar w:fldCharType="begin"/>
      </w:r>
      <w:r w:rsidR="00340639" w:rsidRPr="00EB2E7B">
        <w:rPr>
          <w:rFonts w:asciiTheme="minorHAnsi" w:hAnsiTheme="minorHAnsi" w:cstheme="minorHAnsi"/>
          <w:sz w:val="20"/>
          <w:szCs w:val="20"/>
        </w:rPr>
        <w:instrText xml:space="preserve"> REF _Ref190165688 \r \h  \* MERGEFORMAT </w:instrText>
      </w:r>
      <w:r w:rsidR="00340639" w:rsidRPr="00EB2E7B">
        <w:rPr>
          <w:rFonts w:asciiTheme="minorHAnsi" w:hAnsiTheme="minorHAnsi" w:cstheme="minorHAnsi"/>
          <w:sz w:val="20"/>
          <w:szCs w:val="20"/>
        </w:rPr>
      </w:r>
      <w:r w:rsidR="00340639"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b)</w:t>
      </w:r>
      <w:r w:rsidR="00340639"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przy zmianach napięcia w miejscu przyłączenia do sieci w następującym zakresie</w:t>
      </w:r>
      <w:r w:rsidR="00131AA7" w:rsidRPr="00EB2E7B">
        <w:rPr>
          <w:rFonts w:asciiTheme="minorHAnsi" w:hAnsiTheme="minorHAnsi" w:cstheme="minorHAnsi"/>
          <w:sz w:val="20"/>
          <w:szCs w:val="20"/>
        </w:rPr>
        <w:t>:</w:t>
      </w:r>
      <w:r w:rsidR="00E53442" w:rsidRPr="00EB2E7B">
        <w:rPr>
          <w:rFonts w:asciiTheme="minorHAnsi" w:hAnsiTheme="minorHAnsi" w:cstheme="minorHAnsi"/>
          <w:sz w:val="20"/>
          <w:szCs w:val="20"/>
        </w:rPr>
        <w:t xml:space="preserve"> ±10% </w:t>
      </w:r>
      <w:proofErr w:type="spellStart"/>
      <w:r w:rsidR="00E53442" w:rsidRPr="00EB2E7B">
        <w:rPr>
          <w:rFonts w:asciiTheme="minorHAnsi" w:hAnsiTheme="minorHAnsi" w:cstheme="minorHAnsi"/>
          <w:sz w:val="20"/>
          <w:szCs w:val="20"/>
        </w:rPr>
        <w:t>Un</w:t>
      </w:r>
      <w:proofErr w:type="spellEnd"/>
      <w:r w:rsidR="00E53442" w:rsidRPr="00EB2E7B">
        <w:rPr>
          <w:rFonts w:asciiTheme="minorHAnsi" w:hAnsiTheme="minorHAnsi" w:cstheme="minorHAnsi"/>
          <w:sz w:val="20"/>
          <w:szCs w:val="20"/>
        </w:rPr>
        <w:t xml:space="preserve"> – dla sieci SN.</w:t>
      </w:r>
    </w:p>
    <w:p w14:paraId="33C82AF7" w14:textId="66C7932D" w:rsidR="002770D0" w:rsidRPr="00EB2E7B" w:rsidRDefault="002770D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Wartości napięcia i częstotliwości podane w powyższych punktach są quasi-stacjonarnymi, z gradientem zmian dla częstotliwości mniejszym niż 0,5% na minutę, a dla napięcia mniejszym niż 5% na minutę. </w:t>
      </w:r>
    </w:p>
    <w:p w14:paraId="1F2164D1" w14:textId="77777777" w:rsidR="002770D0" w:rsidRPr="00EB2E7B" w:rsidRDefault="002770D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Zmniejszanie mocy wymagane przy zwyżce częstotliwości ponad 50,5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może być realizowane poprzez kolejne wyłączanie jednostek pracujących w farmy wiatrowej. </w:t>
      </w:r>
    </w:p>
    <w:p w14:paraId="4B643144" w14:textId="30868A61" w:rsidR="002770D0" w:rsidRPr="00EB2E7B" w:rsidRDefault="002770D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ACPRO może określić w warunkach przyłączenia farm wiatrowych przystosowanie do udziału w regulacji częstotliwości w systemie elektroenergetycznym, poprzez zmianę mocy po zmianie częstotliwości. Wymaganie to dotyczy pełnego zakresu obciążenia farmy wiatrowej. </w:t>
      </w:r>
    </w:p>
    <w:p w14:paraId="3F2D2221" w14:textId="3180FD27" w:rsidR="00792CFF" w:rsidRPr="00EB2E7B" w:rsidRDefault="002770D0" w:rsidP="009A432E">
      <w:pPr>
        <w:pStyle w:val="ANagwek4"/>
        <w:numPr>
          <w:ilvl w:val="2"/>
          <w:numId w:val="442"/>
        </w:numPr>
        <w:rPr>
          <w:rFonts w:asciiTheme="minorHAnsi" w:hAnsiTheme="minorHAnsi" w:cstheme="minorHAnsi"/>
          <w:sz w:val="20"/>
          <w:szCs w:val="20"/>
        </w:rPr>
      </w:pPr>
      <w:bookmarkStart w:id="806" w:name="_Ref190165844"/>
      <w:r w:rsidRPr="00EB2E7B">
        <w:rPr>
          <w:rFonts w:asciiTheme="minorHAnsi" w:hAnsiTheme="minorHAnsi" w:cstheme="minorHAnsi"/>
          <w:sz w:val="20"/>
          <w:szCs w:val="20"/>
        </w:rPr>
        <w:t>ACPRO w uzgodnieniu z operatorem systemu przesyłowego</w:t>
      </w:r>
      <w:r w:rsidR="00C430FC" w:rsidRPr="00EB2E7B">
        <w:rPr>
          <w:rFonts w:asciiTheme="minorHAnsi" w:hAnsiTheme="minorHAnsi" w:cstheme="minorHAnsi"/>
          <w:sz w:val="20"/>
          <w:szCs w:val="20"/>
        </w:rPr>
        <w:t xml:space="preserve"> za pośrednictwem </w:t>
      </w:r>
      <w:proofErr w:type="spellStart"/>
      <w:r w:rsidR="00C430FC"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określa w warunkach przyłączenia do sieci farmy wiatrowej, warunki udziału tej farmy w regulacji częstotliwości i wymagane parametry regulacji</w:t>
      </w:r>
      <w:r w:rsidR="00792CFF" w:rsidRPr="00EB2E7B">
        <w:rPr>
          <w:rFonts w:asciiTheme="minorHAnsi" w:hAnsiTheme="minorHAnsi" w:cstheme="minorHAnsi"/>
          <w:sz w:val="20"/>
          <w:szCs w:val="20"/>
        </w:rPr>
        <w:t>.</w:t>
      </w:r>
      <w:bookmarkEnd w:id="806"/>
    </w:p>
    <w:p w14:paraId="4FE3C29A" w14:textId="552A9F6C" w:rsidR="003C7605" w:rsidRPr="00EB2E7B" w:rsidRDefault="00792CFF"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lastRenderedPageBreak/>
        <w:t xml:space="preserve">W zależności od lokalizacji i skali rozwoju energetyki wiatrowej, ACPRO może w warunkach przyłączenia do sieci dopuścić odstępstwa od podanych wymagań określonych w pkt. od </w:t>
      </w:r>
      <w:r w:rsidR="00934982" w:rsidRPr="00EB2E7B">
        <w:rPr>
          <w:rFonts w:asciiTheme="minorHAnsi" w:hAnsiTheme="minorHAnsi" w:cstheme="minorHAnsi"/>
          <w:sz w:val="20"/>
          <w:szCs w:val="20"/>
        </w:rPr>
        <w:fldChar w:fldCharType="begin"/>
      </w:r>
      <w:r w:rsidR="00934982" w:rsidRPr="00EB2E7B">
        <w:rPr>
          <w:rFonts w:asciiTheme="minorHAnsi" w:hAnsiTheme="minorHAnsi" w:cstheme="minorHAnsi"/>
          <w:sz w:val="20"/>
          <w:szCs w:val="20"/>
        </w:rPr>
        <w:instrText xml:space="preserve"> REF _Ref190165632 \r \h  \* MERGEFORMAT </w:instrText>
      </w:r>
      <w:r w:rsidR="00934982" w:rsidRPr="00EB2E7B">
        <w:rPr>
          <w:rFonts w:asciiTheme="minorHAnsi" w:hAnsiTheme="minorHAnsi" w:cstheme="minorHAnsi"/>
          <w:sz w:val="20"/>
          <w:szCs w:val="20"/>
        </w:rPr>
      </w:r>
      <w:r w:rsidR="0093498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8.3.1</w:t>
      </w:r>
      <w:r w:rsidR="0093498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 </w:t>
      </w:r>
      <w:r w:rsidR="00934982" w:rsidRPr="00EB2E7B">
        <w:rPr>
          <w:rFonts w:asciiTheme="minorHAnsi" w:hAnsiTheme="minorHAnsi" w:cstheme="minorHAnsi"/>
          <w:sz w:val="20"/>
          <w:szCs w:val="20"/>
        </w:rPr>
        <w:fldChar w:fldCharType="begin"/>
      </w:r>
      <w:r w:rsidR="00934982" w:rsidRPr="00EB2E7B">
        <w:rPr>
          <w:rFonts w:asciiTheme="minorHAnsi" w:hAnsiTheme="minorHAnsi" w:cstheme="minorHAnsi"/>
          <w:sz w:val="20"/>
          <w:szCs w:val="20"/>
        </w:rPr>
        <w:instrText xml:space="preserve"> REF _Ref190165844 \r \h  \* MERGEFORMAT </w:instrText>
      </w:r>
      <w:r w:rsidR="00934982" w:rsidRPr="00EB2E7B">
        <w:rPr>
          <w:rFonts w:asciiTheme="minorHAnsi" w:hAnsiTheme="minorHAnsi" w:cstheme="minorHAnsi"/>
          <w:sz w:val="20"/>
          <w:szCs w:val="20"/>
        </w:rPr>
      </w:r>
      <w:r w:rsidR="0093498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8.3.6</w:t>
      </w:r>
      <w:r w:rsidR="00934982" w:rsidRPr="00EB2E7B">
        <w:rPr>
          <w:rFonts w:asciiTheme="minorHAnsi" w:hAnsiTheme="minorHAnsi" w:cstheme="minorHAnsi"/>
          <w:sz w:val="20"/>
          <w:szCs w:val="20"/>
        </w:rPr>
        <w:fldChar w:fldCharType="end"/>
      </w:r>
      <w:r w:rsidRPr="00EB2E7B">
        <w:rPr>
          <w:rFonts w:asciiTheme="minorHAnsi" w:hAnsiTheme="minorHAnsi" w:cstheme="minorHAnsi"/>
          <w:sz w:val="20"/>
          <w:szCs w:val="20"/>
        </w:rPr>
        <w:t>.</w:t>
      </w:r>
    </w:p>
    <w:p w14:paraId="4DA8D692" w14:textId="23445B5F" w:rsidR="00AF2D89" w:rsidRPr="00EB2E7B" w:rsidRDefault="003034C5"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Załączanie i wyłączanie farm wiatrowych</w:t>
      </w:r>
    </w:p>
    <w:p w14:paraId="1B2D1965" w14:textId="77777777" w:rsidR="003B1AE2" w:rsidRPr="00EB2E7B" w:rsidRDefault="003B1AE2"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Farma wiatrowa powinna przekazywać do odpowiedniego Operatora systemu sygnał informujący o aktualnym stanie jej jednostek wytwórczych. Sygnał ten powinien być generowany na podstawie identyfikacji stanu i przyczyn odstawienia jednostki. </w:t>
      </w:r>
    </w:p>
    <w:p w14:paraId="2B90C6CB" w14:textId="3AF9C481" w:rsidR="003B1AE2" w:rsidRPr="00EB2E7B" w:rsidRDefault="003B1AE2"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Podczas każdego uruchamiania farmy wiatrowej gradient przyrostu mocy farmy wiatrowej nie może przekraczać wartości określonej w pkt. </w:t>
      </w:r>
      <w:r w:rsidR="0000133A" w:rsidRPr="00EB2E7B">
        <w:rPr>
          <w:rFonts w:asciiTheme="minorHAnsi" w:hAnsiTheme="minorHAnsi" w:cstheme="minorHAnsi"/>
          <w:sz w:val="20"/>
          <w:szCs w:val="20"/>
        </w:rPr>
        <w:fldChar w:fldCharType="begin"/>
      </w:r>
      <w:r w:rsidR="0000133A" w:rsidRPr="00EB2E7B">
        <w:rPr>
          <w:rFonts w:asciiTheme="minorHAnsi" w:hAnsiTheme="minorHAnsi" w:cstheme="minorHAnsi"/>
          <w:sz w:val="20"/>
          <w:szCs w:val="20"/>
        </w:rPr>
        <w:instrText xml:space="preserve"> REF _Ref190165892 \r \h  \* MERGEFORMAT </w:instrText>
      </w:r>
      <w:r w:rsidR="0000133A" w:rsidRPr="00EB2E7B">
        <w:rPr>
          <w:rFonts w:asciiTheme="minorHAnsi" w:hAnsiTheme="minorHAnsi" w:cstheme="minorHAnsi"/>
          <w:sz w:val="20"/>
          <w:szCs w:val="20"/>
        </w:rPr>
      </w:r>
      <w:r w:rsidR="0000133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8.2.3</w:t>
      </w:r>
      <w:r w:rsidR="0000133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niniejszego załącznika. </w:t>
      </w:r>
    </w:p>
    <w:p w14:paraId="3C27294E" w14:textId="5119E811" w:rsidR="003B1AE2" w:rsidRPr="00EB2E7B" w:rsidRDefault="003B1AE2"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Algorytm uruchamiania farmy wiatrowej musi zawierać kontrolę warunków napięciowych w miejscu przyłączenia do sieci. </w:t>
      </w:r>
    </w:p>
    <w:p w14:paraId="0C06B3EE" w14:textId="2E081338" w:rsidR="003C7605" w:rsidRPr="00EB2E7B" w:rsidRDefault="003B1AE2"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Z wyjątkiem przypadków zakłóceń w sieci i awarii farmy wiatrowej, redukcja mocy farmy wiatrowej powinna być realizowana zgodnie ze zdefiniowanym w pkt. </w:t>
      </w:r>
      <w:r w:rsidR="00037601" w:rsidRPr="00EB2E7B">
        <w:rPr>
          <w:rFonts w:asciiTheme="minorHAnsi" w:hAnsiTheme="minorHAnsi" w:cstheme="minorHAnsi"/>
          <w:sz w:val="20"/>
          <w:szCs w:val="20"/>
        </w:rPr>
        <w:fldChar w:fldCharType="begin"/>
      </w:r>
      <w:r w:rsidR="00037601" w:rsidRPr="00EB2E7B">
        <w:rPr>
          <w:rFonts w:asciiTheme="minorHAnsi" w:hAnsiTheme="minorHAnsi" w:cstheme="minorHAnsi"/>
          <w:sz w:val="20"/>
          <w:szCs w:val="20"/>
        </w:rPr>
        <w:instrText xml:space="preserve"> REF _Ref190165892 \r \h  \* MERGEFORMAT </w:instrText>
      </w:r>
      <w:r w:rsidR="00037601" w:rsidRPr="00EB2E7B">
        <w:rPr>
          <w:rFonts w:asciiTheme="minorHAnsi" w:hAnsiTheme="minorHAnsi" w:cstheme="minorHAnsi"/>
          <w:sz w:val="20"/>
          <w:szCs w:val="20"/>
        </w:rPr>
      </w:r>
      <w:r w:rsidR="0003760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8.2.3</w:t>
      </w:r>
      <w:r w:rsidR="00037601" w:rsidRPr="00EB2E7B">
        <w:rPr>
          <w:rFonts w:asciiTheme="minorHAnsi" w:hAnsiTheme="minorHAnsi" w:cstheme="minorHAnsi"/>
          <w:sz w:val="20"/>
          <w:szCs w:val="20"/>
        </w:rPr>
        <w:fldChar w:fldCharType="end"/>
      </w:r>
      <w:r w:rsidR="00037601"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 niniejszego załącznika gradientem zmiany mocy czynnej.</w:t>
      </w:r>
    </w:p>
    <w:p w14:paraId="373875A9" w14:textId="77777777" w:rsidR="003C7605" w:rsidRPr="00EB2E7B" w:rsidRDefault="003C7605" w:rsidP="00B01C33">
      <w:pPr>
        <w:pStyle w:val="NormalnyIRiESD"/>
        <w:numPr>
          <w:ilvl w:val="0"/>
          <w:numId w:val="0"/>
        </w:numPr>
        <w:rPr>
          <w:rFonts w:asciiTheme="minorHAnsi" w:hAnsiTheme="minorHAnsi" w:cstheme="minorHAnsi"/>
          <w:sz w:val="20"/>
          <w:szCs w:val="20"/>
        </w:rPr>
      </w:pPr>
    </w:p>
    <w:p w14:paraId="470956DD" w14:textId="55CF0CB9" w:rsidR="00AF2D89" w:rsidRPr="00EB2E7B" w:rsidRDefault="003034C5"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Regulacja napięcia i mocy biernej</w:t>
      </w:r>
    </w:p>
    <w:p w14:paraId="2885B131" w14:textId="77777777" w:rsidR="003355DC" w:rsidRPr="00EB2E7B" w:rsidRDefault="003355DC"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Wyposażenie farmy wiatrowej musi być tak dobrane, aby zapewnić utrzymanie, określonych w warunkach przyłączenia, warunków napięciowych (w miejscu przyłączenia do sieci lub innym określonym w warunkach przyłączenia) oraz stabilność współpracy z systemem elektroenergetycznym. </w:t>
      </w:r>
    </w:p>
    <w:p w14:paraId="0AFFB3E8" w14:textId="324DCEE6" w:rsidR="003355DC" w:rsidRPr="00EB2E7B" w:rsidRDefault="003355DC"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Farma wiatrowa musi mieć możliwość regulacji współczynnika mocy lub napięcia w miejscu przyłączenia do sieci lub innym określonym w warunkach przyłączenia. </w:t>
      </w:r>
      <w:r w:rsidR="00EB739F"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w warunkach przyłączenia do sieci określa wymagania w tym zakresie, wraz z potrzebą zastosowania automatycznej regulacji zdalnej</w:t>
      </w:r>
    </w:p>
    <w:p w14:paraId="25FB80A3" w14:textId="66C3BD3A" w:rsidR="00EB739F" w:rsidRPr="00EB2E7B" w:rsidRDefault="00EB739F"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 zależności od warunków napięciowych w miejscu przyłączenia farmy wiatrowej do sieci, odpowiedni operator systemu może w trybie operatywnym zmieniać ww. zakres regulacji współczynnika mocy lub wymagać pracy z określonym stałym współczynnikiem mocy. </w:t>
      </w:r>
    </w:p>
    <w:p w14:paraId="1F258199" w14:textId="397A8FA8" w:rsidR="003C7605" w:rsidRPr="00EB2E7B" w:rsidRDefault="00EB739F"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Dla farm wiatrowych o mocy znamionowej w miejscu przyłączenia, równej 50 MW i wyższej, należy zapewnić system zdalnego sterowania napięciem farmy i mocą bierną, z zachowaniem możliwości współpracy z nadrzędnymi układami regulacji napięcia i mocy biernej, w tym także z istniejącymi układami regulacji napięcia na stacji ARST.</w:t>
      </w:r>
    </w:p>
    <w:p w14:paraId="0D17CE5D" w14:textId="12AB6F07" w:rsidR="00AF2D89" w:rsidRPr="00EB2E7B" w:rsidRDefault="00E7460C"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Praca farm wiatrowych przy zakłóceniach w sieci</w:t>
      </w:r>
    </w:p>
    <w:p w14:paraId="0A85377E" w14:textId="5A2B97B6" w:rsidR="00A32D90" w:rsidRPr="00EB2E7B" w:rsidRDefault="00A32D9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 niektórych lokalizacjach, </w:t>
      </w:r>
      <w:r w:rsidR="00CA0F5F"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może wymagać, by farmy wiatrowe podczas zakłóceń w systemie produkowały możliwie dużą, w ramach ograniczeń technicznych moc bierną. Wymaganie to określa </w:t>
      </w:r>
      <w:r w:rsidR="005F1F50"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w warunkach przyłączenia do sieci lub umowie o przyłączenie. </w:t>
      </w:r>
    </w:p>
    <w:p w14:paraId="7C1D3370" w14:textId="23E68B56" w:rsidR="003C7605" w:rsidRPr="00EB2E7B" w:rsidRDefault="00A32D90"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Wymagania w zakresie pracy farmy wiatrowej przy zakłóceniach w sieci, </w:t>
      </w:r>
      <w:r w:rsidR="00F70834"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określa w warunkach przyłączenia do sieci, biorąc pod uwagę rodzaj zastosowanych generatorów, moc farmy wiatrowej, jej położenie w sieci, koncentrację generacji wiatrowej w systemie i wyniki ekspertyzy wpływu przyłączanej farmy wiatrowej na system.</w:t>
      </w:r>
    </w:p>
    <w:p w14:paraId="20829EB0" w14:textId="2BF5E052" w:rsidR="00AF2D89" w:rsidRPr="00EB2E7B" w:rsidRDefault="00E7460C"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Dotrzymanie standardów jakości energii</w:t>
      </w:r>
    </w:p>
    <w:p w14:paraId="2331264C" w14:textId="77777777" w:rsidR="008E3BE1" w:rsidRPr="00EB2E7B" w:rsidRDefault="008E3BE1" w:rsidP="009A432E">
      <w:pPr>
        <w:pStyle w:val="ANagwek4"/>
        <w:numPr>
          <w:ilvl w:val="2"/>
          <w:numId w:val="442"/>
        </w:numPr>
        <w:rPr>
          <w:rFonts w:asciiTheme="minorHAnsi" w:hAnsiTheme="minorHAnsi" w:cstheme="minorHAnsi"/>
          <w:sz w:val="20"/>
          <w:szCs w:val="20"/>
        </w:rPr>
      </w:pPr>
      <w:bookmarkStart w:id="807" w:name="_Ref190166029"/>
      <w:r w:rsidRPr="00EB2E7B">
        <w:rPr>
          <w:rFonts w:asciiTheme="minorHAnsi" w:hAnsiTheme="minorHAnsi" w:cstheme="minorHAnsi"/>
          <w:sz w:val="20"/>
          <w:szCs w:val="20"/>
        </w:rPr>
        <w:t xml:space="preserve">Farma wiatrowa nie powinna powodować nagłych zmian i skoków napięcia przekraczających 3 %. W przypadku, gdy zakłócenia napięcia spowodowane pracą farmy wiatrowej mają charakter powtarzający </w:t>
      </w:r>
      <w:r w:rsidRPr="00EB2E7B">
        <w:rPr>
          <w:rFonts w:asciiTheme="minorHAnsi" w:hAnsiTheme="minorHAnsi" w:cstheme="minorHAnsi"/>
          <w:sz w:val="20"/>
          <w:szCs w:val="20"/>
        </w:rPr>
        <w:lastRenderedPageBreak/>
        <w:t xml:space="preserve">się, zakres jednorazowej szybkiej zmiany wartości skutecznej napięcia nie może przekraczać 2,5% dla częstości do 10 zakłóceń/godz. i 1,5% dla częstości do 100 zakłóceń/godz. Wymagania powyższe dotyczą również przypadków rozruchu i </w:t>
      </w:r>
      <w:proofErr w:type="spellStart"/>
      <w:r w:rsidRPr="00EB2E7B">
        <w:rPr>
          <w:rFonts w:asciiTheme="minorHAnsi" w:hAnsiTheme="minorHAnsi" w:cstheme="minorHAnsi"/>
          <w:sz w:val="20"/>
          <w:szCs w:val="20"/>
        </w:rPr>
        <w:t>wyłączeń</w:t>
      </w:r>
      <w:proofErr w:type="spellEnd"/>
      <w:r w:rsidRPr="00EB2E7B">
        <w:rPr>
          <w:rFonts w:asciiTheme="minorHAnsi" w:hAnsiTheme="minorHAnsi" w:cstheme="minorHAnsi"/>
          <w:sz w:val="20"/>
          <w:szCs w:val="20"/>
        </w:rPr>
        <w:t xml:space="preserve"> jednostek wytwórczych.</w:t>
      </w:r>
      <w:bookmarkEnd w:id="807"/>
      <w:r w:rsidRPr="00EB2E7B">
        <w:rPr>
          <w:rFonts w:asciiTheme="minorHAnsi" w:hAnsiTheme="minorHAnsi" w:cstheme="minorHAnsi"/>
          <w:sz w:val="20"/>
          <w:szCs w:val="20"/>
        </w:rPr>
        <w:t xml:space="preserve"> </w:t>
      </w:r>
    </w:p>
    <w:p w14:paraId="7908AB3A" w14:textId="77777777" w:rsidR="008E3BE1" w:rsidRPr="00EB2E7B" w:rsidRDefault="008E3BE1"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Szybkie zmiany napięcia spowodowane pulsacją mocy farmy wiatrowej o częstotliwości rzędu 1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powinny mieć amplitudę nie większą niż 0,7%. </w:t>
      </w:r>
    </w:p>
    <w:p w14:paraId="181FF6AF" w14:textId="77777777" w:rsidR="008E3BE1" w:rsidRPr="00EB2E7B" w:rsidRDefault="008E3BE1" w:rsidP="009A432E">
      <w:pPr>
        <w:pStyle w:val="ANagwek4"/>
        <w:numPr>
          <w:ilvl w:val="2"/>
          <w:numId w:val="442"/>
        </w:numPr>
        <w:rPr>
          <w:rFonts w:asciiTheme="minorHAnsi" w:hAnsiTheme="minorHAnsi" w:cstheme="minorHAnsi"/>
          <w:sz w:val="20"/>
          <w:szCs w:val="20"/>
        </w:rPr>
      </w:pPr>
      <w:bookmarkStart w:id="808" w:name="_Ref190164881"/>
      <w:r w:rsidRPr="00EB2E7B">
        <w:rPr>
          <w:rFonts w:asciiTheme="minorHAnsi" w:hAnsiTheme="minorHAnsi" w:cstheme="minorHAnsi"/>
          <w:sz w:val="20"/>
          <w:szCs w:val="20"/>
        </w:rPr>
        <w:t>Wskaźniki krótkookresowego (P</w:t>
      </w:r>
      <w:r w:rsidRPr="00EB2E7B">
        <w:rPr>
          <w:rFonts w:asciiTheme="minorHAnsi" w:hAnsiTheme="minorHAnsi" w:cstheme="minorHAnsi"/>
          <w:sz w:val="20"/>
          <w:szCs w:val="20"/>
          <w:vertAlign w:val="subscript"/>
        </w:rPr>
        <w:t>st</w:t>
      </w:r>
      <w:r w:rsidRPr="00EB2E7B">
        <w:rPr>
          <w:rFonts w:asciiTheme="minorHAnsi" w:hAnsiTheme="minorHAnsi" w:cstheme="minorHAnsi"/>
          <w:sz w:val="20"/>
          <w:szCs w:val="20"/>
        </w:rPr>
        <w:t>) i długookresowego (</w:t>
      </w:r>
      <w:proofErr w:type="spellStart"/>
      <w:r w:rsidRPr="00EB2E7B">
        <w:rPr>
          <w:rFonts w:asciiTheme="minorHAnsi" w:hAnsiTheme="minorHAnsi" w:cstheme="minorHAnsi"/>
          <w:sz w:val="20"/>
          <w:szCs w:val="20"/>
        </w:rPr>
        <w:t>P</w:t>
      </w:r>
      <w:r w:rsidRPr="00EB2E7B">
        <w:rPr>
          <w:rFonts w:asciiTheme="minorHAnsi" w:hAnsiTheme="minorHAnsi" w:cstheme="minorHAnsi"/>
          <w:sz w:val="20"/>
          <w:szCs w:val="20"/>
          <w:vertAlign w:val="subscript"/>
        </w:rPr>
        <w:t>lt</w:t>
      </w:r>
      <w:proofErr w:type="spellEnd"/>
      <w:r w:rsidRPr="00EB2E7B">
        <w:rPr>
          <w:rFonts w:asciiTheme="minorHAnsi" w:hAnsiTheme="minorHAnsi" w:cstheme="minorHAnsi"/>
          <w:sz w:val="20"/>
          <w:szCs w:val="20"/>
        </w:rPr>
        <w:t>) migotania napięcia farm wiatrowych przyłączonych do sieci SN nie powinny przekraczać odpowiednio wartości:</w:t>
      </w:r>
      <w:bookmarkEnd w:id="808"/>
    </w:p>
    <w:p w14:paraId="0FD20940" w14:textId="274DFCED" w:rsidR="008E3BE1" w:rsidRPr="00EB2E7B" w:rsidRDefault="002F2D28" w:rsidP="00B01C33">
      <w:pPr>
        <w:pStyle w:val="Akapitzlist"/>
        <w:numPr>
          <w:ilvl w:val="0"/>
          <w:numId w:val="452"/>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w:t>
      </w:r>
      <w:r w:rsidRPr="00EB2E7B">
        <w:rPr>
          <w:rFonts w:asciiTheme="minorHAnsi" w:hAnsiTheme="minorHAnsi" w:cstheme="minorHAnsi"/>
          <w:sz w:val="20"/>
          <w:szCs w:val="20"/>
          <w:vertAlign w:val="subscript"/>
        </w:rPr>
        <w:t>st</w:t>
      </w:r>
      <w:r w:rsidRPr="00EB2E7B">
        <w:rPr>
          <w:rFonts w:asciiTheme="minorHAnsi" w:hAnsiTheme="minorHAnsi" w:cstheme="minorHAnsi"/>
          <w:sz w:val="20"/>
          <w:szCs w:val="20"/>
        </w:rPr>
        <w:t xml:space="preserve"> &lt; 0,45 dla sieci SN,</w:t>
      </w:r>
    </w:p>
    <w:p w14:paraId="0FB8C907" w14:textId="106D0A31" w:rsidR="002F2D28" w:rsidRPr="00EB2E7B" w:rsidRDefault="002F2D28" w:rsidP="00B01C33">
      <w:pPr>
        <w:pStyle w:val="Akapitzlist"/>
        <w:numPr>
          <w:ilvl w:val="0"/>
          <w:numId w:val="452"/>
        </w:numPr>
        <w:spacing w:line="266" w:lineRule="auto"/>
        <w:ind w:left="1701" w:hanging="567"/>
        <w:contextualSpacing w:val="0"/>
        <w:rPr>
          <w:rFonts w:asciiTheme="minorHAnsi" w:hAnsiTheme="minorHAnsi" w:cstheme="minorHAnsi"/>
          <w:sz w:val="20"/>
          <w:szCs w:val="20"/>
        </w:rPr>
      </w:pPr>
      <w:proofErr w:type="spellStart"/>
      <w:r w:rsidRPr="00EB2E7B">
        <w:rPr>
          <w:rFonts w:asciiTheme="minorHAnsi" w:hAnsiTheme="minorHAnsi" w:cstheme="minorHAnsi"/>
          <w:sz w:val="20"/>
          <w:szCs w:val="20"/>
        </w:rPr>
        <w:t>P</w:t>
      </w:r>
      <w:r w:rsidRPr="00EB2E7B">
        <w:rPr>
          <w:rFonts w:asciiTheme="minorHAnsi" w:hAnsiTheme="minorHAnsi" w:cstheme="minorHAnsi"/>
          <w:sz w:val="20"/>
          <w:szCs w:val="20"/>
          <w:vertAlign w:val="subscript"/>
        </w:rPr>
        <w:t>lt</w:t>
      </w:r>
      <w:proofErr w:type="spellEnd"/>
      <w:r w:rsidRPr="00EB2E7B">
        <w:rPr>
          <w:rFonts w:asciiTheme="minorHAnsi" w:hAnsiTheme="minorHAnsi" w:cstheme="minorHAnsi"/>
          <w:sz w:val="20"/>
          <w:szCs w:val="20"/>
        </w:rPr>
        <w:t xml:space="preserve"> &lt; 0,35 dla sieci SN.</w:t>
      </w:r>
    </w:p>
    <w:p w14:paraId="67E02056" w14:textId="60D19A85" w:rsidR="00AF4FEE" w:rsidRPr="00EB2E7B" w:rsidRDefault="00AF4FEE"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Farmy wiatrowe nie powinny powodować w miejscu przyłączenia emisji pojedynczych harmonicznych napięcia rzędu od 2 do 50 większych niż 1,5% dla sieci SN. Współczynnik dystorsji harmonicznych THD w miejscu przyłączenia do sieci powinien być mniejszy od 4% dla sieci SN. </w:t>
      </w:r>
    </w:p>
    <w:p w14:paraId="23D15705" w14:textId="1B8F96BD" w:rsidR="00350E20" w:rsidRPr="00EB2E7B" w:rsidRDefault="00AF4FEE"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 ciągu każdego tygodnia 99% ze zbioru 10-minutowych średnich wartości skutecznych podanych powyżej w pkt. od </w:t>
      </w:r>
      <w:r w:rsidR="00007324" w:rsidRPr="00EB2E7B">
        <w:rPr>
          <w:rFonts w:asciiTheme="minorHAnsi" w:hAnsiTheme="minorHAnsi" w:cstheme="minorHAnsi"/>
          <w:sz w:val="20"/>
          <w:szCs w:val="20"/>
        </w:rPr>
        <w:fldChar w:fldCharType="begin"/>
      </w:r>
      <w:r w:rsidR="00007324" w:rsidRPr="00EB2E7B">
        <w:rPr>
          <w:rFonts w:asciiTheme="minorHAnsi" w:hAnsiTheme="minorHAnsi" w:cstheme="minorHAnsi"/>
          <w:sz w:val="20"/>
          <w:szCs w:val="20"/>
        </w:rPr>
        <w:instrText xml:space="preserve"> REF _Ref190166029 \r \h  \* MERGEFORMAT </w:instrText>
      </w:r>
      <w:r w:rsidR="00007324" w:rsidRPr="00EB2E7B">
        <w:rPr>
          <w:rFonts w:asciiTheme="minorHAnsi" w:hAnsiTheme="minorHAnsi" w:cstheme="minorHAnsi"/>
          <w:sz w:val="20"/>
          <w:szCs w:val="20"/>
        </w:rPr>
      </w:r>
      <w:r w:rsidR="0000732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8.7.1</w:t>
      </w:r>
      <w:r w:rsidR="0000732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do </w:t>
      </w:r>
      <w:r w:rsidR="00007324" w:rsidRPr="00EB2E7B">
        <w:rPr>
          <w:rFonts w:asciiTheme="minorHAnsi" w:hAnsiTheme="minorHAnsi" w:cstheme="minorHAnsi"/>
          <w:sz w:val="20"/>
          <w:szCs w:val="20"/>
        </w:rPr>
        <w:fldChar w:fldCharType="begin"/>
      </w:r>
      <w:r w:rsidR="00007324" w:rsidRPr="00EB2E7B">
        <w:rPr>
          <w:rFonts w:asciiTheme="minorHAnsi" w:hAnsiTheme="minorHAnsi" w:cstheme="minorHAnsi"/>
          <w:sz w:val="20"/>
          <w:szCs w:val="20"/>
        </w:rPr>
        <w:instrText xml:space="preserve"> REF _Ref190164881 \r \h  \* MERGEFORMAT </w:instrText>
      </w:r>
      <w:r w:rsidR="00007324" w:rsidRPr="00EB2E7B">
        <w:rPr>
          <w:rFonts w:asciiTheme="minorHAnsi" w:hAnsiTheme="minorHAnsi" w:cstheme="minorHAnsi"/>
          <w:sz w:val="20"/>
          <w:szCs w:val="20"/>
        </w:rPr>
      </w:r>
      <w:r w:rsidR="0000732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8.7.3</w:t>
      </w:r>
      <w:r w:rsidR="0000732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współczynników jakości energii, powinno mieścić się w granicach określonych w tych punktach. </w:t>
      </w:r>
    </w:p>
    <w:p w14:paraId="31A5CA49" w14:textId="562F12DF" w:rsidR="00350E20" w:rsidRPr="00EB2E7B" w:rsidRDefault="00AF4FEE"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Farmy wiatrowe powinny być wyposażone w system pomiaru i rejestracji parametrów jakości energii (pomiar współczynnika migotania światła oraz harmonicznych napięcia i prądu). </w:t>
      </w:r>
    </w:p>
    <w:p w14:paraId="7868C75B" w14:textId="77777777" w:rsidR="00350E20" w:rsidRPr="00EB2E7B" w:rsidRDefault="00AF4FEE"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Współczynnik zakłóceń harmonicznymi telefonii THFF powinien być poniżej 1%. </w:t>
      </w:r>
    </w:p>
    <w:p w14:paraId="557395E7" w14:textId="23BF2E87" w:rsidR="003C7605" w:rsidRPr="00EB2E7B" w:rsidRDefault="00AF4FEE"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Ze względu na ochronę urządzeń telekomunikacyjnych poziom zakłóceń powodowany przez farmę wiatrową w miejscu przyłączenia do sieci, powinien spełniać wymagania odpowiednich przepisów telekomunikacyjnych.</w:t>
      </w:r>
    </w:p>
    <w:p w14:paraId="5A480DD4" w14:textId="1F8427C1" w:rsidR="00AF2D89" w:rsidRPr="00EB2E7B" w:rsidRDefault="00E7460C"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Elektroenergetyczna automatyka zabezpieczeniowa</w:t>
      </w:r>
    </w:p>
    <w:p w14:paraId="6CC751AF" w14:textId="77777777" w:rsidR="005922CB" w:rsidRPr="00EB2E7B" w:rsidRDefault="005922CB"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Właściciel farmy wiatrowej ponosi odpowiedzialność za projekt i instalację zabezpieczeń chroniących farmę przed skutkami prądów zwarciowych, napięć powrotnych po wyłączeniu zwarć w systemie, pracy asynchronicznej farmy oraz innymi oddziaływaniami zakłóceń systemowych. </w:t>
      </w:r>
    </w:p>
    <w:p w14:paraId="31EDB248" w14:textId="77777777" w:rsidR="005922CB" w:rsidRPr="00EB2E7B" w:rsidRDefault="005922CB"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Nastawienia zabezpieczeń farmy wiatrowej powinny być skoordynowane z zabezpieczeniami zainstalowanymi w sieci elektroenergetycznej.</w:t>
      </w:r>
    </w:p>
    <w:p w14:paraId="1857D184" w14:textId="77777777" w:rsidR="005922CB" w:rsidRPr="00EB2E7B" w:rsidRDefault="005922CB"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Nastawy zabezpieczeń farmy wiatrowej muszą zapewniać selektywność współdziałania z zabezpieczeniami sieci dla zwarć w sieci i w tej farmy wiatrowej. </w:t>
      </w:r>
    </w:p>
    <w:p w14:paraId="0270887D" w14:textId="77777777" w:rsidR="005922CB" w:rsidRPr="00EB2E7B" w:rsidRDefault="005922CB"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Zwarcia wewnątrz farmy wiatrowej powinny być likwidowane selektywnie i powodować możliwie jak najmniejszy ubytek mocy tej farmy. </w:t>
      </w:r>
    </w:p>
    <w:p w14:paraId="318C17E2" w14:textId="77777777" w:rsidR="005922CB" w:rsidRPr="00EB2E7B" w:rsidRDefault="005922CB"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Na etapie opracowywania dokumentacji projektowej farmy wiatrowej, właściciel farmy jest zobowiązany przeprowadzić i uzgodnić z odpowiednim operatorem systemu analizę zabezpieczeń obejmującą m.in. sprawdzenie:</w:t>
      </w:r>
    </w:p>
    <w:p w14:paraId="3130BBC2" w14:textId="77777777" w:rsidR="00DC79AC" w:rsidRPr="00EB2E7B" w:rsidRDefault="00DC79AC" w:rsidP="00B01C33">
      <w:pPr>
        <w:pStyle w:val="Akapitzlist"/>
        <w:numPr>
          <w:ilvl w:val="0"/>
          <w:numId w:val="453"/>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kompletności zabezpieczeń, </w:t>
      </w:r>
    </w:p>
    <w:p w14:paraId="40E6FFBF" w14:textId="77777777" w:rsidR="00DC79AC" w:rsidRPr="00EB2E7B" w:rsidRDefault="00DC79AC" w:rsidP="00B01C33">
      <w:pPr>
        <w:pStyle w:val="Akapitzlist"/>
        <w:numPr>
          <w:ilvl w:val="0"/>
          <w:numId w:val="453"/>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poprawności nastaw na poszczególnych jednostkach wytwórczych i w rozdzielni farmy wiatrowej,</w:t>
      </w:r>
    </w:p>
    <w:p w14:paraId="711B6683" w14:textId="113F3528" w:rsidR="005922CB" w:rsidRPr="00EB2E7B" w:rsidRDefault="00DC79AC" w:rsidP="00B01C33">
      <w:pPr>
        <w:pStyle w:val="Akapitzlist"/>
        <w:numPr>
          <w:ilvl w:val="0"/>
          <w:numId w:val="453"/>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koordynacji z zabezpieczeniami systemu dystrybucyjnego i/lub przesyłowego.</w:t>
      </w:r>
    </w:p>
    <w:p w14:paraId="5EA689E5" w14:textId="61B08DF5" w:rsidR="003C7605" w:rsidRPr="00EB2E7B" w:rsidRDefault="00DC79AC"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lastRenderedPageBreak/>
        <w:t xml:space="preserve">Analizę zabezpieczeń należy przekazać </w:t>
      </w:r>
      <w:r w:rsidR="005F1F50" w:rsidRPr="00EB2E7B">
        <w:rPr>
          <w:rFonts w:asciiTheme="minorHAnsi" w:hAnsiTheme="minorHAnsi" w:cstheme="minorHAnsi"/>
          <w:sz w:val="20"/>
          <w:szCs w:val="20"/>
        </w:rPr>
        <w:t>ACPRO</w:t>
      </w:r>
      <w:r w:rsidR="003C7605" w:rsidRPr="00EB2E7B">
        <w:rPr>
          <w:rFonts w:asciiTheme="minorHAnsi" w:hAnsiTheme="minorHAnsi" w:cstheme="minorHAnsi"/>
          <w:sz w:val="20"/>
          <w:szCs w:val="20"/>
        </w:rPr>
        <w:t>.</w:t>
      </w:r>
    </w:p>
    <w:p w14:paraId="50E1F3F5" w14:textId="746D4886" w:rsidR="00AF2D89" w:rsidRPr="00EB2E7B" w:rsidRDefault="00E7460C"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Monitoring i komunikacja farmy wiatrowej z operatorem systemu</w:t>
      </w:r>
    </w:p>
    <w:p w14:paraId="5BA148BB" w14:textId="77777777" w:rsidR="000C7BD9" w:rsidRPr="00EB2E7B" w:rsidRDefault="000C7BD9"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Operator systemu, do sieci którego przyłączana jest farma wiatrowa, musi otrzymywać sygnały pomiarowe i rejestrowane parametry farmy. Zakres danych przekazywanych do operatora systemu przesyłowego i dystrybucyjnego oraz miejsce ich dostarczania określa w warunkach przyłączenia ACPRO. </w:t>
      </w:r>
    </w:p>
    <w:p w14:paraId="26E61FFC" w14:textId="77777777" w:rsidR="000C7BD9" w:rsidRPr="00EB2E7B" w:rsidRDefault="000C7BD9"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Minimalny zakres przekazywanych operatorowi systemu pomiarów wielkości z farmy wiatrowej obejmuje wartości chwilowe:</w:t>
      </w:r>
    </w:p>
    <w:p w14:paraId="34BDFC66" w14:textId="77777777" w:rsidR="004B518B" w:rsidRPr="00EB2E7B" w:rsidRDefault="004B518B" w:rsidP="00B01C33">
      <w:pPr>
        <w:pStyle w:val="Akapitzlist"/>
        <w:numPr>
          <w:ilvl w:val="0"/>
          <w:numId w:val="45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mocy czynnej, </w:t>
      </w:r>
    </w:p>
    <w:p w14:paraId="1A3A08AD" w14:textId="77777777" w:rsidR="004B518B" w:rsidRPr="00EB2E7B" w:rsidRDefault="004B518B" w:rsidP="00B01C33">
      <w:pPr>
        <w:pStyle w:val="Akapitzlist"/>
        <w:numPr>
          <w:ilvl w:val="0"/>
          <w:numId w:val="45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mocy biernej, </w:t>
      </w:r>
    </w:p>
    <w:p w14:paraId="27AF8B8F" w14:textId="77777777" w:rsidR="004B518B" w:rsidRPr="00EB2E7B" w:rsidRDefault="004B518B" w:rsidP="00B01C33">
      <w:pPr>
        <w:pStyle w:val="Akapitzlist"/>
        <w:numPr>
          <w:ilvl w:val="0"/>
          <w:numId w:val="45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napięcia i prądu w miejscu przyłączenia do sieci, </w:t>
      </w:r>
    </w:p>
    <w:p w14:paraId="43694EE1" w14:textId="768459D8" w:rsidR="004B518B" w:rsidRPr="00EB2E7B" w:rsidRDefault="004B518B" w:rsidP="00B01C33">
      <w:pPr>
        <w:pStyle w:val="Akapitzlist"/>
        <w:numPr>
          <w:ilvl w:val="0"/>
          <w:numId w:val="45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współczynnika mocy cos </w:t>
      </w:r>
      <w:r w:rsidR="00295DCC" w:rsidRPr="00EB2E7B">
        <w:rPr>
          <w:rFonts w:asciiTheme="minorHAnsi" w:hAnsiTheme="minorHAnsi" w:cstheme="minorHAnsi"/>
          <w:sz w:val="20"/>
          <w:szCs w:val="20"/>
        </w:rPr>
        <w:t>φ</w:t>
      </w:r>
      <w:r w:rsidRPr="00EB2E7B">
        <w:rPr>
          <w:rFonts w:asciiTheme="minorHAnsi" w:hAnsiTheme="minorHAnsi" w:cstheme="minorHAnsi"/>
          <w:sz w:val="20"/>
          <w:szCs w:val="20"/>
        </w:rPr>
        <w:t xml:space="preserve">, </w:t>
      </w:r>
    </w:p>
    <w:p w14:paraId="7A95E8A2" w14:textId="211BD28E" w:rsidR="000C7BD9" w:rsidRPr="00EB2E7B" w:rsidRDefault="004B518B" w:rsidP="00B01C33">
      <w:pPr>
        <w:pStyle w:val="Akapitzlist"/>
        <w:numPr>
          <w:ilvl w:val="0"/>
          <w:numId w:val="454"/>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średniej dla farmy prędkości wiatru.</w:t>
      </w:r>
    </w:p>
    <w:p w14:paraId="2664B58F" w14:textId="77777777" w:rsidR="008E05E9" w:rsidRPr="00EB2E7B" w:rsidRDefault="000C7BD9"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Minimalny zakres przekazywanych operatorowi systemu danych dwustanowych obejmuje:</w:t>
      </w:r>
    </w:p>
    <w:p w14:paraId="4B16AEBA" w14:textId="1C5C75D4" w:rsidR="00396B5E" w:rsidRPr="00EB2E7B" w:rsidRDefault="00396B5E" w:rsidP="00541FD9">
      <w:pPr>
        <w:pStyle w:val="Akapitzlist"/>
        <w:numPr>
          <w:ilvl w:val="0"/>
          <w:numId w:val="45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aktualny stan jednostek wytwórczych farmy, w tym liczbę jednostek pracujących, gotowych do pracy i przyczyny postoju pozostałych, </w:t>
      </w:r>
    </w:p>
    <w:p w14:paraId="36CB4200" w14:textId="06000D9B" w:rsidR="008E05E9" w:rsidRPr="00EB2E7B" w:rsidRDefault="00396B5E" w:rsidP="00541FD9">
      <w:pPr>
        <w:pStyle w:val="Akapitzlist"/>
        <w:numPr>
          <w:ilvl w:val="0"/>
          <w:numId w:val="455"/>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inne dane mogące skutkować wyłączeniem farmy wiatrowej, na warunkach uzgodnionych w umowie o przyłączenie.</w:t>
      </w:r>
    </w:p>
    <w:p w14:paraId="050178B9" w14:textId="77777777" w:rsidR="00D852FF" w:rsidRPr="00EB2E7B" w:rsidRDefault="00D852FF"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Właściciel farmy wiatrowej dostarcza odpowiedniemu operatorowi systemu, aktualne parametry wyposażenia farmy wiatrowej (urządzeń podstawowych i układów regulacji), niezbędne dla przeprowadzania analiz systemowych. W fazie przed uruchomieniem farmy wiatrowej są to dane producentów urządzeń. </w:t>
      </w:r>
    </w:p>
    <w:p w14:paraId="3DF6FDF2" w14:textId="0AE368D6" w:rsidR="00D852FF" w:rsidRPr="00EB2E7B" w:rsidRDefault="00D852FF"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ACPRO określa w warunkach przyłączenia do sieci zakres danych technicznych dla danej farmy wiatrowej, które są niezbędne do prowadzenia i planowania ruchu systemu. </w:t>
      </w:r>
    </w:p>
    <w:p w14:paraId="6A48222C" w14:textId="438082C0" w:rsidR="003C7605" w:rsidRPr="00EB2E7B" w:rsidRDefault="00D852FF"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Parametry techniczne systemu wymiany informacji, w tym protokoły komunikacji, pomiędzy farmą wiatrową i ACPRO określa ACPRO na etapie projektowania</w:t>
      </w:r>
      <w:r w:rsidR="003C7605" w:rsidRPr="00EB2E7B">
        <w:rPr>
          <w:rFonts w:asciiTheme="minorHAnsi" w:hAnsiTheme="minorHAnsi" w:cstheme="minorHAnsi"/>
          <w:sz w:val="20"/>
          <w:szCs w:val="20"/>
        </w:rPr>
        <w:t>.</w:t>
      </w:r>
    </w:p>
    <w:p w14:paraId="3875E500" w14:textId="5E300CF0" w:rsidR="00AA4A2D" w:rsidRPr="00EB2E7B" w:rsidRDefault="00A05512" w:rsidP="004854C6">
      <w:pPr>
        <w:pStyle w:val="ANagwek3"/>
        <w:numPr>
          <w:ilvl w:val="1"/>
          <w:numId w:val="442"/>
        </w:numPr>
        <w:rPr>
          <w:rFonts w:asciiTheme="minorHAnsi" w:hAnsiTheme="minorHAnsi" w:cstheme="minorHAnsi"/>
          <w:sz w:val="20"/>
          <w:szCs w:val="20"/>
        </w:rPr>
      </w:pPr>
      <w:r w:rsidRPr="00EB2E7B">
        <w:rPr>
          <w:rFonts w:asciiTheme="minorHAnsi" w:hAnsiTheme="minorHAnsi" w:cstheme="minorHAnsi"/>
          <w:sz w:val="20"/>
          <w:szCs w:val="20"/>
        </w:rPr>
        <w:t>Testy sprawdzające</w:t>
      </w:r>
    </w:p>
    <w:p w14:paraId="78F8CFE3" w14:textId="77777777" w:rsidR="00E66F79" w:rsidRPr="00EB2E7B" w:rsidRDefault="00E66F79"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Właściciel farmy wiatrowej przyłączanej do sieci dystrybucyjnej jest zobowiązany do przeprowadzenia w okresie pierwszego roku pracy farmy, testów sprawdzających spełnienie wymagań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Sposób i zakres przeprowadzenia testów farmy wiatrowej uzgadniany jest z właściwym operatorem systemu. Uzgodnienie to powinno nastąpić co najmniej na 6 miesięcy przed terminem uruchomienia farmy wiatrowej. </w:t>
      </w:r>
    </w:p>
    <w:p w14:paraId="3CBFAB06" w14:textId="77777777" w:rsidR="00E66F79" w:rsidRPr="00EB2E7B" w:rsidRDefault="00E66F79"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Właściciel farmy wiatrowej na co najmniej 2 miesiące przed terminem przyłączenia farmy wiatrowej dostarcza odpowiedniemu operatorowi systemu zakres, program i harmonogram przeprowadzania testów, dostarczając równocześnie inne niezbędne dokumenty, jak instrukcje układów regulacji i instrukcję współpracy ruchowej. Powyższe dokumenty podlegają uzgodnieniu z właściwym operatorem systemu. Uzgodnienie to powinno być zakończone w terminie 30 dni roboczych przed rozpoczęciem testów sprawdzających. </w:t>
      </w:r>
    </w:p>
    <w:p w14:paraId="1A0C6062" w14:textId="4B54A7F7" w:rsidR="00E66F79" w:rsidRPr="00EB2E7B" w:rsidRDefault="00E66F79" w:rsidP="00B01C33">
      <w:pPr>
        <w:ind w:left="1134"/>
        <w:rPr>
          <w:rFonts w:asciiTheme="minorHAnsi" w:hAnsiTheme="minorHAnsi" w:cstheme="minorHAnsi"/>
          <w:sz w:val="20"/>
          <w:szCs w:val="20"/>
        </w:rPr>
      </w:pPr>
      <w:r w:rsidRPr="00EB2E7B">
        <w:rPr>
          <w:rFonts w:asciiTheme="minorHAnsi" w:hAnsiTheme="minorHAnsi" w:cstheme="minorHAnsi"/>
          <w:sz w:val="20"/>
          <w:szCs w:val="20"/>
        </w:rPr>
        <w:lastRenderedPageBreak/>
        <w:t>Testy powinny być wykonane zgodnie z obowiązującymi przepisami przy zachowaniu należytej staranności i wiedzy technicznej, przez niezależną firmę ekspercką posiadającą odpowiednie kwalifikacje, wiedzę i doświadczenie, uzgodnioną</w:t>
      </w:r>
      <w:r w:rsidR="002C3362" w:rsidRPr="00EB2E7B">
        <w:rPr>
          <w:rFonts w:asciiTheme="minorHAnsi" w:hAnsiTheme="minorHAnsi" w:cstheme="minorHAnsi"/>
          <w:sz w:val="20"/>
          <w:szCs w:val="20"/>
        </w:rPr>
        <w:t xml:space="preserve"> między</w:t>
      </w:r>
      <w:r w:rsidRPr="00EB2E7B">
        <w:rPr>
          <w:rFonts w:asciiTheme="minorHAnsi" w:hAnsiTheme="minorHAnsi" w:cstheme="minorHAnsi"/>
          <w:sz w:val="20"/>
          <w:szCs w:val="20"/>
        </w:rPr>
        <w:t xml:space="preserve"> ACPRO</w:t>
      </w:r>
      <w:r w:rsidR="006837FC" w:rsidRPr="00EB2E7B">
        <w:rPr>
          <w:rFonts w:asciiTheme="minorHAnsi" w:hAnsiTheme="minorHAnsi" w:cstheme="minorHAnsi"/>
          <w:sz w:val="20"/>
          <w:szCs w:val="20"/>
        </w:rPr>
        <w:t xml:space="preserve"> i podmiotem posiadającym farmę wiatrową,</w:t>
      </w:r>
      <w:r w:rsidRPr="00EB2E7B">
        <w:rPr>
          <w:rFonts w:asciiTheme="minorHAnsi" w:hAnsiTheme="minorHAnsi" w:cstheme="minorHAnsi"/>
          <w:sz w:val="20"/>
          <w:szCs w:val="20"/>
        </w:rPr>
        <w:t xml:space="preserve"> według programu uzgodnionego z ACPRO. Firma ekspercka nie powinna być zaangażowana w jakiekolwiek prace przy budowie farmy wiatrowej, będące przedmiotem przeprowadzania obiektowych testów sprawdzających. Operator systemu ma prawo uczestniczyć w przeprowadzeniu testów. </w:t>
      </w:r>
    </w:p>
    <w:p w14:paraId="2A9CFB13" w14:textId="77777777" w:rsidR="006A01C8" w:rsidRPr="00EB2E7B" w:rsidRDefault="00E66F79"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Testy obejmować powinny w szczególności:</w:t>
      </w:r>
    </w:p>
    <w:p w14:paraId="62B9661C" w14:textId="77777777" w:rsidR="00402795" w:rsidRPr="00EB2E7B" w:rsidRDefault="00402795" w:rsidP="00B01C33">
      <w:pPr>
        <w:pStyle w:val="Akapitzlist"/>
        <w:numPr>
          <w:ilvl w:val="0"/>
          <w:numId w:val="45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charakterystyki mocy farmy wiatrowej w funkcji prędkości wiatru, </w:t>
      </w:r>
    </w:p>
    <w:p w14:paraId="06B21217" w14:textId="77777777" w:rsidR="00402795" w:rsidRPr="00EB2E7B" w:rsidRDefault="00402795" w:rsidP="00B01C33">
      <w:pPr>
        <w:pStyle w:val="Akapitzlist"/>
        <w:numPr>
          <w:ilvl w:val="0"/>
          <w:numId w:val="45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uruchomienia farmy wiatrowej przy wietrze umożliwiającym osiągnięcie co najmniej 75% mocy znamionowej, z kontrolą gradientu wzrostu mocy i zmian napięcia, </w:t>
      </w:r>
    </w:p>
    <w:p w14:paraId="4A8A0613" w14:textId="77777777" w:rsidR="00402795" w:rsidRPr="00EB2E7B" w:rsidRDefault="00402795" w:rsidP="00B01C33">
      <w:pPr>
        <w:pStyle w:val="Akapitzlist"/>
        <w:numPr>
          <w:ilvl w:val="0"/>
          <w:numId w:val="45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odstawiania farmy wiatrowej przy prędkości wiatru przekraczającej wartość, przy której osiągana jest moc znamionowa, </w:t>
      </w:r>
    </w:p>
    <w:p w14:paraId="623E5BA3" w14:textId="77777777" w:rsidR="00402795" w:rsidRPr="00EB2E7B" w:rsidRDefault="00402795" w:rsidP="00B01C33">
      <w:pPr>
        <w:pStyle w:val="Akapitzlist"/>
        <w:numPr>
          <w:ilvl w:val="0"/>
          <w:numId w:val="45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szybkości zmian napięcia przez układ regulacji napięcia, </w:t>
      </w:r>
    </w:p>
    <w:p w14:paraId="513D1C73" w14:textId="77777777" w:rsidR="00402795" w:rsidRPr="00EB2E7B" w:rsidRDefault="00402795" w:rsidP="00B01C33">
      <w:pPr>
        <w:pStyle w:val="Akapitzlist"/>
        <w:numPr>
          <w:ilvl w:val="0"/>
          <w:numId w:val="45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działania układu regulacji mocy i częstotliwości, </w:t>
      </w:r>
    </w:p>
    <w:p w14:paraId="13CA9704" w14:textId="2CEE68F4" w:rsidR="006A01C8" w:rsidRPr="00EB2E7B" w:rsidRDefault="00402795" w:rsidP="00B01C33">
      <w:pPr>
        <w:pStyle w:val="Akapitzlist"/>
        <w:numPr>
          <w:ilvl w:val="0"/>
          <w:numId w:val="456"/>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wpływ farmy wiatrowej na jakość energii.</w:t>
      </w:r>
    </w:p>
    <w:p w14:paraId="2F1C7A97" w14:textId="5387DC20" w:rsidR="006A01C8" w:rsidRPr="00EB2E7B" w:rsidRDefault="006A01C8"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ACPRO wydaje zgodę na pierwsze uruchomienie farmy wiatrowej i przeprowadzenie testów. </w:t>
      </w:r>
    </w:p>
    <w:p w14:paraId="41147C0D" w14:textId="29F9C0C0" w:rsidR="006A01C8" w:rsidRPr="00EB2E7B" w:rsidRDefault="006A01C8"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Szczegółowy raport z przeprowadzonych testów dostarczany jest ACPRO w terminie do 6 tygodni po ich zakończeniu. </w:t>
      </w:r>
    </w:p>
    <w:p w14:paraId="357714B2" w14:textId="02F5B75E" w:rsidR="003C7605" w:rsidRPr="00EB2E7B" w:rsidRDefault="006A01C8" w:rsidP="009A432E">
      <w:pPr>
        <w:pStyle w:val="ANagwek4"/>
        <w:numPr>
          <w:ilvl w:val="2"/>
          <w:numId w:val="442"/>
        </w:numPr>
        <w:rPr>
          <w:rFonts w:asciiTheme="minorHAnsi" w:hAnsiTheme="minorHAnsi" w:cstheme="minorHAnsi"/>
          <w:sz w:val="20"/>
          <w:szCs w:val="20"/>
        </w:rPr>
      </w:pPr>
      <w:r w:rsidRPr="00EB2E7B">
        <w:rPr>
          <w:rFonts w:asciiTheme="minorHAnsi" w:hAnsiTheme="minorHAnsi" w:cstheme="minorHAnsi"/>
          <w:sz w:val="20"/>
          <w:szCs w:val="20"/>
        </w:rPr>
        <w:t xml:space="preserve">W przypadku gdy przeprowadzone testy wykażą, iż farma wiatrowa nie spełnia wymagań określonych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oraz umowie o przyłączenie, właściwy operator systemu wyznacza termin na usunięcie nieprawidłowości i powtórne wykonanie testów. W przypadku dalszego nie spełnienia wymagań określonych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oraz umowie o przyłączenie, operator systemu ma prawo do odłączenia farmy wiatrowej, do czasu usunięcia nieprawidłowości</w:t>
      </w:r>
      <w:r w:rsidR="003C7605" w:rsidRPr="00EB2E7B">
        <w:rPr>
          <w:rFonts w:asciiTheme="minorHAnsi" w:hAnsiTheme="minorHAnsi" w:cstheme="minorHAnsi"/>
          <w:sz w:val="20"/>
          <w:szCs w:val="20"/>
        </w:rPr>
        <w:t>.</w:t>
      </w:r>
    </w:p>
    <w:p w14:paraId="16435150" w14:textId="758614D7" w:rsidR="00EF5EEC" w:rsidRPr="00EB2E7B" w:rsidRDefault="00A47A87" w:rsidP="00472992">
      <w:pPr>
        <w:pStyle w:val="ANagwek2"/>
        <w:numPr>
          <w:ilvl w:val="6"/>
          <w:numId w:val="384"/>
        </w:numPr>
        <w:ind w:left="1134" w:hanging="1134"/>
        <w:rPr>
          <w:rFonts w:asciiTheme="minorHAnsi" w:hAnsiTheme="minorHAnsi" w:cstheme="minorHAnsi"/>
          <w:sz w:val="20"/>
          <w:szCs w:val="20"/>
        </w:rPr>
      </w:pPr>
      <w:bookmarkStart w:id="809" w:name="_Toc189833864"/>
      <w:bookmarkStart w:id="810" w:name="_Ref190164046"/>
      <w:bookmarkStart w:id="811" w:name="_Toc239333464"/>
      <w:r w:rsidRPr="00EB2E7B">
        <w:rPr>
          <w:rFonts w:asciiTheme="minorHAnsi" w:hAnsiTheme="minorHAnsi" w:cstheme="minorHAnsi"/>
          <w:sz w:val="20"/>
          <w:szCs w:val="20"/>
        </w:rPr>
        <w:t>DODATKOWE WYMAGANIA DLA MIKROINSTALACJI</w:t>
      </w:r>
      <w:bookmarkEnd w:id="809"/>
      <w:bookmarkEnd w:id="810"/>
      <w:bookmarkEnd w:id="811"/>
    </w:p>
    <w:p w14:paraId="1F9600F5" w14:textId="77777777" w:rsidR="004063C4" w:rsidRPr="00EB2E7B" w:rsidRDefault="004063C4" w:rsidP="004854C6">
      <w:pPr>
        <w:pStyle w:val="ANagwek3"/>
        <w:numPr>
          <w:ilvl w:val="1"/>
          <w:numId w:val="443"/>
        </w:numPr>
        <w:rPr>
          <w:rFonts w:asciiTheme="minorHAnsi" w:hAnsiTheme="minorHAnsi" w:cstheme="minorHAnsi"/>
          <w:sz w:val="20"/>
          <w:szCs w:val="20"/>
        </w:rPr>
      </w:pPr>
      <w:r w:rsidRPr="00EB2E7B">
        <w:rPr>
          <w:rFonts w:asciiTheme="minorHAnsi" w:hAnsiTheme="minorHAnsi" w:cstheme="minorHAnsi"/>
          <w:sz w:val="20"/>
          <w:szCs w:val="20"/>
        </w:rPr>
        <w:t>Wymagania techniczne</w:t>
      </w:r>
    </w:p>
    <w:p w14:paraId="0EAEE656" w14:textId="77777777" w:rsidR="00FE7985" w:rsidRPr="00EB2E7B" w:rsidRDefault="00FE7985" w:rsidP="009A432E">
      <w:pPr>
        <w:pStyle w:val="ANagwek4"/>
        <w:numPr>
          <w:ilvl w:val="2"/>
          <w:numId w:val="443"/>
        </w:numPr>
        <w:rPr>
          <w:rFonts w:asciiTheme="minorHAnsi" w:hAnsiTheme="minorHAnsi" w:cstheme="minorHAnsi"/>
          <w:sz w:val="20"/>
          <w:szCs w:val="20"/>
        </w:rPr>
      </w:pPr>
      <w:r w:rsidRPr="00EB2E7B">
        <w:rPr>
          <w:rFonts w:asciiTheme="minorHAnsi" w:hAnsiTheme="minorHAnsi" w:cstheme="minorHAnsi"/>
          <w:sz w:val="20"/>
          <w:szCs w:val="20"/>
        </w:rPr>
        <w:t>Wymagania ogólne</w:t>
      </w:r>
    </w:p>
    <w:p w14:paraId="10F5FDEF" w14:textId="3D78EA30" w:rsidR="00603766" w:rsidRPr="00EB2E7B" w:rsidRDefault="00603766" w:rsidP="006C12D5">
      <w:pPr>
        <w:pStyle w:val="ANagwek5"/>
        <w:numPr>
          <w:ilvl w:val="3"/>
          <w:numId w:val="443"/>
        </w:numPr>
        <w:ind w:left="1134" w:hanging="1134"/>
        <w:rPr>
          <w:rFonts w:asciiTheme="minorHAnsi" w:hAnsiTheme="minorHAnsi" w:cstheme="minorHAnsi"/>
          <w:sz w:val="20"/>
          <w:szCs w:val="20"/>
        </w:rPr>
      </w:pPr>
      <w:bookmarkStart w:id="812" w:name="_Ref190166096"/>
      <w:proofErr w:type="spellStart"/>
      <w:r w:rsidRPr="00EB2E7B">
        <w:rPr>
          <w:rFonts w:asciiTheme="minorHAnsi" w:hAnsiTheme="minorHAnsi" w:cstheme="minorHAnsi"/>
          <w:sz w:val="20"/>
          <w:szCs w:val="20"/>
        </w:rPr>
        <w:t>Mikroinstalacja</w:t>
      </w:r>
      <w:proofErr w:type="spellEnd"/>
      <w:r w:rsidRPr="00EB2E7B">
        <w:rPr>
          <w:rFonts w:asciiTheme="minorHAnsi" w:hAnsiTheme="minorHAnsi" w:cstheme="minorHAnsi"/>
          <w:sz w:val="20"/>
          <w:szCs w:val="20"/>
        </w:rPr>
        <w:t xml:space="preserve"> przyłączona do sieci </w:t>
      </w:r>
      <w:r w:rsidR="00E32AC7" w:rsidRPr="00EB2E7B">
        <w:rPr>
          <w:rFonts w:asciiTheme="minorHAnsi" w:hAnsiTheme="minorHAnsi" w:cstheme="minorHAnsi"/>
          <w:sz w:val="20"/>
          <w:szCs w:val="20"/>
        </w:rPr>
        <w:t>ACPRO</w:t>
      </w:r>
      <w:r w:rsidRPr="00EB2E7B">
        <w:rPr>
          <w:rFonts w:asciiTheme="minorHAnsi" w:hAnsiTheme="minorHAnsi" w:cstheme="minorHAnsi"/>
          <w:sz w:val="20"/>
          <w:szCs w:val="20"/>
        </w:rPr>
        <w:t xml:space="preserve">, powinna umożliwiać </w:t>
      </w:r>
      <w:r w:rsidR="00E32AC7"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monitorowanie i sterowanie jej parametrami w sposób zintegrowany (jedno urządzenie sterujące tj. falownik lub integrator w przypadku więcej niż jednego falownika, zapewniające wspólne i jednoczesne sterowanie pracą całej mikroinstalacji).</w:t>
      </w:r>
      <w:bookmarkEnd w:id="812"/>
      <w:r w:rsidRPr="00EB2E7B">
        <w:rPr>
          <w:rFonts w:asciiTheme="minorHAnsi" w:hAnsiTheme="minorHAnsi" w:cstheme="minorHAnsi"/>
          <w:sz w:val="20"/>
          <w:szCs w:val="20"/>
        </w:rPr>
        <w:t xml:space="preserve"> </w:t>
      </w:r>
    </w:p>
    <w:p w14:paraId="7E4B4340" w14:textId="1EE50990" w:rsidR="00603766" w:rsidRPr="00EB2E7B" w:rsidRDefault="00603766" w:rsidP="006C12D5">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Dla jednego przyłącza dopuszcza się zabudowę mikroinstalacji za pomocą falowników jednofazowych o łącznej mocy nie większej niż 3,68 kW na każdej fazie, pod warunkiem spełnienia wymagań z pkt </w:t>
      </w:r>
      <w:r w:rsidR="009E5090" w:rsidRPr="00EB2E7B">
        <w:rPr>
          <w:rFonts w:asciiTheme="minorHAnsi" w:hAnsiTheme="minorHAnsi" w:cstheme="minorHAnsi"/>
          <w:sz w:val="20"/>
          <w:szCs w:val="20"/>
        </w:rPr>
        <w:fldChar w:fldCharType="begin"/>
      </w:r>
      <w:r w:rsidR="009E5090" w:rsidRPr="00EB2E7B">
        <w:rPr>
          <w:rFonts w:asciiTheme="minorHAnsi" w:hAnsiTheme="minorHAnsi" w:cstheme="minorHAnsi"/>
          <w:sz w:val="20"/>
          <w:szCs w:val="20"/>
        </w:rPr>
        <w:instrText xml:space="preserve"> REF _Ref190166096 \r \h  \* MERGEFORMAT </w:instrText>
      </w:r>
      <w:r w:rsidR="009E5090" w:rsidRPr="00EB2E7B">
        <w:rPr>
          <w:rFonts w:asciiTheme="minorHAnsi" w:hAnsiTheme="minorHAnsi" w:cstheme="minorHAnsi"/>
          <w:sz w:val="20"/>
          <w:szCs w:val="20"/>
        </w:rPr>
      </w:r>
      <w:r w:rsidR="009E509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9.1.1.1</w:t>
      </w:r>
      <w:r w:rsidR="009E5090"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
    <w:p w14:paraId="05C451FF" w14:textId="1F4B5FEB" w:rsidR="00D92B5F" w:rsidRPr="00EB2E7B" w:rsidRDefault="00603766" w:rsidP="00B01C33">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Urządzenie sterujące, o którym mowa w pkt </w:t>
      </w:r>
      <w:r w:rsidR="009E5090" w:rsidRPr="00EB2E7B">
        <w:rPr>
          <w:rFonts w:asciiTheme="minorHAnsi" w:hAnsiTheme="minorHAnsi" w:cstheme="minorHAnsi"/>
          <w:sz w:val="20"/>
          <w:szCs w:val="20"/>
        </w:rPr>
        <w:fldChar w:fldCharType="begin"/>
      </w:r>
      <w:r w:rsidR="009E5090" w:rsidRPr="00EB2E7B">
        <w:rPr>
          <w:rFonts w:asciiTheme="minorHAnsi" w:hAnsiTheme="minorHAnsi" w:cstheme="minorHAnsi"/>
          <w:sz w:val="20"/>
          <w:szCs w:val="20"/>
        </w:rPr>
        <w:instrText xml:space="preserve"> REF _Ref190166096 \r \h  \* MERGEFORMAT </w:instrText>
      </w:r>
      <w:r w:rsidR="009E5090" w:rsidRPr="00EB2E7B">
        <w:rPr>
          <w:rFonts w:asciiTheme="minorHAnsi" w:hAnsiTheme="minorHAnsi" w:cstheme="minorHAnsi"/>
          <w:sz w:val="20"/>
          <w:szCs w:val="20"/>
        </w:rPr>
      </w:r>
      <w:r w:rsidR="009E5090"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9.1.1.1</w:t>
      </w:r>
      <w:r w:rsidR="009E5090" w:rsidRPr="00EB2E7B">
        <w:rPr>
          <w:rFonts w:asciiTheme="minorHAnsi" w:hAnsiTheme="minorHAnsi" w:cstheme="minorHAnsi"/>
          <w:sz w:val="20"/>
          <w:szCs w:val="20"/>
        </w:rPr>
        <w:fldChar w:fldCharType="end"/>
      </w:r>
      <w:r w:rsidR="009E5090" w:rsidRPr="00EB2E7B">
        <w:rPr>
          <w:rFonts w:asciiTheme="minorHAnsi" w:hAnsiTheme="minorHAnsi" w:cstheme="minorHAnsi"/>
          <w:sz w:val="20"/>
          <w:szCs w:val="20"/>
        </w:rPr>
        <w:t>.</w:t>
      </w:r>
      <w:r w:rsidRPr="00EB2E7B">
        <w:rPr>
          <w:rFonts w:asciiTheme="minorHAnsi" w:hAnsiTheme="minorHAnsi" w:cstheme="minorHAnsi"/>
          <w:sz w:val="20"/>
          <w:szCs w:val="20"/>
        </w:rPr>
        <w:t xml:space="preserve"> powinno być wyposażone w port wejściowy RS485 obsługujący protokół komunikacji SUNSPEC, który umożliwia przyjęcie od </w:t>
      </w:r>
      <w:r w:rsidR="00E32AC7"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poleceń sterujących. Port wejściowy RS485 powinien być zlokalizowany w miejscu zapewniającym łatwy dostęp dla służb technicznych ACPRO. </w:t>
      </w:r>
      <w:r w:rsidR="00D92B5F" w:rsidRPr="00EB2E7B">
        <w:rPr>
          <w:rFonts w:asciiTheme="minorHAnsi" w:hAnsiTheme="minorHAnsi" w:cstheme="minorHAnsi"/>
          <w:sz w:val="20"/>
          <w:szCs w:val="20"/>
        </w:rPr>
        <w:t xml:space="preserve"> </w:t>
      </w:r>
    </w:p>
    <w:p w14:paraId="1ABD4C1D" w14:textId="77777777" w:rsidR="00D92B5F" w:rsidRPr="00EB2E7B" w:rsidRDefault="00D92B5F" w:rsidP="00B01C33">
      <w:pPr>
        <w:pStyle w:val="NormalnyIRiESD"/>
        <w:numPr>
          <w:ilvl w:val="0"/>
          <w:numId w:val="0"/>
        </w:numPr>
        <w:rPr>
          <w:rFonts w:asciiTheme="minorHAnsi" w:hAnsiTheme="minorHAnsi" w:cstheme="minorHAnsi"/>
          <w:sz w:val="20"/>
          <w:szCs w:val="20"/>
        </w:rPr>
      </w:pPr>
    </w:p>
    <w:p w14:paraId="18AA1954" w14:textId="77777777" w:rsidR="00B20832" w:rsidRPr="00EB2E7B" w:rsidRDefault="004D7819" w:rsidP="009A432E">
      <w:pPr>
        <w:pStyle w:val="ANagwek4"/>
        <w:numPr>
          <w:ilvl w:val="2"/>
          <w:numId w:val="443"/>
        </w:numPr>
        <w:rPr>
          <w:rFonts w:asciiTheme="minorHAnsi" w:hAnsiTheme="minorHAnsi" w:cstheme="minorHAnsi"/>
          <w:sz w:val="20"/>
          <w:szCs w:val="20"/>
        </w:rPr>
      </w:pPr>
      <w:r w:rsidRPr="00EB2E7B">
        <w:rPr>
          <w:rFonts w:asciiTheme="minorHAnsi" w:hAnsiTheme="minorHAnsi" w:cstheme="minorHAnsi"/>
          <w:sz w:val="20"/>
          <w:szCs w:val="20"/>
        </w:rPr>
        <w:lastRenderedPageBreak/>
        <w:t>Wymagania w zakresie regulacji mocy biernej</w:t>
      </w:r>
    </w:p>
    <w:p w14:paraId="5C3457C4" w14:textId="77777777" w:rsidR="00E94438" w:rsidRPr="00EB2E7B" w:rsidRDefault="00E94438" w:rsidP="006C12D5">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ogólne: </w:t>
      </w:r>
    </w:p>
    <w:p w14:paraId="50A58624" w14:textId="77777777" w:rsidR="00E94438" w:rsidRPr="00EB2E7B" w:rsidRDefault="00E94438" w:rsidP="00B01C33">
      <w:pPr>
        <w:ind w:left="1134"/>
        <w:rPr>
          <w:rFonts w:asciiTheme="minorHAnsi" w:hAnsiTheme="minorHAnsi" w:cstheme="minorHAnsi"/>
          <w:sz w:val="20"/>
          <w:szCs w:val="20"/>
        </w:rPr>
      </w:pPr>
      <w:proofErr w:type="spellStart"/>
      <w:r w:rsidRPr="00EB2E7B">
        <w:rPr>
          <w:rFonts w:asciiTheme="minorHAnsi" w:hAnsiTheme="minorHAnsi" w:cstheme="minorHAnsi"/>
          <w:sz w:val="20"/>
          <w:szCs w:val="20"/>
        </w:rPr>
        <w:t>Mikroinstalacja</w:t>
      </w:r>
      <w:proofErr w:type="spellEnd"/>
      <w:r w:rsidRPr="00EB2E7B">
        <w:rPr>
          <w:rFonts w:asciiTheme="minorHAnsi" w:hAnsiTheme="minorHAnsi" w:cstheme="minorHAnsi"/>
          <w:sz w:val="20"/>
          <w:szCs w:val="20"/>
        </w:rPr>
        <w:t xml:space="preserve"> przyłączona przez falownik ma być zdolna do pracy w normalnych warunkach eksploatacji w paśmie tolerancji napięcia od 0,85 </w:t>
      </w:r>
      <w:proofErr w:type="spellStart"/>
      <w:r w:rsidRPr="00EB2E7B">
        <w:rPr>
          <w:rFonts w:asciiTheme="minorHAnsi" w:hAnsiTheme="minorHAnsi" w:cstheme="minorHAnsi"/>
          <w:sz w:val="20"/>
          <w:szCs w:val="20"/>
        </w:rPr>
        <w:t>Un</w:t>
      </w:r>
      <w:proofErr w:type="spellEnd"/>
      <w:r w:rsidRPr="00EB2E7B">
        <w:rPr>
          <w:rFonts w:asciiTheme="minorHAnsi" w:hAnsiTheme="minorHAnsi" w:cstheme="minorHAnsi"/>
          <w:sz w:val="20"/>
          <w:szCs w:val="20"/>
        </w:rPr>
        <w:t xml:space="preserve"> do 1,1 </w:t>
      </w:r>
      <w:proofErr w:type="spellStart"/>
      <w:r w:rsidRPr="00EB2E7B">
        <w:rPr>
          <w:rFonts w:asciiTheme="minorHAnsi" w:hAnsiTheme="minorHAnsi" w:cstheme="minorHAnsi"/>
          <w:sz w:val="20"/>
          <w:szCs w:val="20"/>
        </w:rPr>
        <w:t>Un</w:t>
      </w:r>
      <w:proofErr w:type="spellEnd"/>
      <w:r w:rsidRPr="00EB2E7B">
        <w:rPr>
          <w:rFonts w:asciiTheme="minorHAnsi" w:hAnsiTheme="minorHAnsi" w:cstheme="minorHAnsi"/>
          <w:sz w:val="20"/>
          <w:szCs w:val="20"/>
        </w:rPr>
        <w:t xml:space="preserve"> z następującą mocą bierną</w:t>
      </w:r>
    </w:p>
    <w:p w14:paraId="6A5E3A25" w14:textId="2ECF2ED0" w:rsidR="00E71A69" w:rsidRPr="00EB2E7B" w:rsidRDefault="00E71A69" w:rsidP="00B01C33">
      <w:pPr>
        <w:pStyle w:val="Akapitzlist"/>
        <w:numPr>
          <w:ilvl w:val="0"/>
          <w:numId w:val="457"/>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zgodnie z krzywą charakterystyki zadanej przez </w:t>
      </w:r>
      <w:r w:rsidR="005F1F50"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w obrębie współczynników przesunięcia fazowego podstawowych harmonicznych napięcia i prądu od cos φ=0,9</w:t>
      </w:r>
      <w:r w:rsidRPr="00EB2E7B">
        <w:rPr>
          <w:rFonts w:asciiTheme="minorHAnsi" w:hAnsiTheme="minorHAnsi" w:cstheme="minorHAnsi"/>
          <w:sz w:val="20"/>
          <w:szCs w:val="20"/>
          <w:vertAlign w:val="subscript"/>
        </w:rPr>
        <w:t xml:space="preserve">ind </w:t>
      </w:r>
      <w:r w:rsidRPr="00EB2E7B">
        <w:rPr>
          <w:rFonts w:asciiTheme="minorHAnsi" w:hAnsiTheme="minorHAnsi" w:cstheme="minorHAnsi"/>
          <w:sz w:val="20"/>
          <w:szCs w:val="20"/>
        </w:rPr>
        <w:t>do cos φ =0,9</w:t>
      </w:r>
      <w:r w:rsidRPr="00EB2E7B">
        <w:rPr>
          <w:rFonts w:asciiTheme="minorHAnsi" w:hAnsiTheme="minorHAnsi" w:cstheme="minorHAnsi"/>
          <w:sz w:val="20"/>
          <w:szCs w:val="20"/>
          <w:vertAlign w:val="subscript"/>
        </w:rPr>
        <w:t>poj</w:t>
      </w:r>
      <w:r w:rsidRPr="00EB2E7B">
        <w:rPr>
          <w:rFonts w:asciiTheme="minorHAnsi" w:hAnsiTheme="minorHAnsi" w:cstheme="minorHAnsi"/>
          <w:sz w:val="20"/>
          <w:szCs w:val="20"/>
        </w:rPr>
        <w:t xml:space="preserve">, gdzie moc czynna wyjściowa mikroinstalacji jest równa 20% znamionowej mocy czynnej lub większa, </w:t>
      </w:r>
    </w:p>
    <w:p w14:paraId="7AF9B225" w14:textId="61D32890" w:rsidR="00E71A69" w:rsidRPr="00EB2E7B" w:rsidRDefault="00E71A69" w:rsidP="00B01C33">
      <w:pPr>
        <w:pStyle w:val="Akapitzlist"/>
        <w:numPr>
          <w:ilvl w:val="0"/>
          <w:numId w:val="457"/>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bez zmian mocy biernej więcej niż o 10% znamionowej mocy czynnej mikroinstalacji przy mocy czynnej niższej niż 20% znamionowej mocy czynnej.</w:t>
      </w:r>
    </w:p>
    <w:p w14:paraId="025D4341" w14:textId="5F5D644E" w:rsidR="006C12D5" w:rsidRPr="00EB2E7B" w:rsidRDefault="00E71A69" w:rsidP="00B01C33">
      <w:pPr>
        <w:ind w:left="1134"/>
        <w:rPr>
          <w:rFonts w:asciiTheme="minorHAnsi" w:hAnsiTheme="minorHAnsi" w:cstheme="minorHAnsi"/>
          <w:sz w:val="20"/>
          <w:szCs w:val="20"/>
        </w:rPr>
      </w:pPr>
      <w:r w:rsidRPr="00EB2E7B">
        <w:rPr>
          <w:rFonts w:asciiTheme="minorHAnsi" w:hAnsiTheme="minorHAnsi" w:cstheme="minorHAnsi"/>
          <w:sz w:val="20"/>
          <w:szCs w:val="20"/>
        </w:rPr>
        <w:t>Wymaganie to przedstawiono na rys</w:t>
      </w:r>
      <w:r w:rsidR="00D22784" w:rsidRPr="00EB2E7B">
        <w:rPr>
          <w:rFonts w:asciiTheme="minorHAnsi" w:hAnsiTheme="minorHAnsi" w:cstheme="minorHAnsi"/>
          <w:sz w:val="20"/>
          <w:szCs w:val="20"/>
        </w:rPr>
        <w:t>. 2</w:t>
      </w:r>
    </w:p>
    <w:p w14:paraId="069E45A2" w14:textId="7707D184" w:rsidR="006C12D5" w:rsidRPr="00EB2E7B" w:rsidRDefault="00DB2853" w:rsidP="00B01C33">
      <w:pPr>
        <w:pStyle w:val="NormalnyIRiESD"/>
        <w:numPr>
          <w:ilvl w:val="0"/>
          <w:numId w:val="0"/>
        </w:numPr>
        <w:rPr>
          <w:rFonts w:asciiTheme="minorHAnsi" w:hAnsiTheme="minorHAnsi" w:cstheme="minorHAnsi"/>
          <w:sz w:val="20"/>
          <w:szCs w:val="20"/>
        </w:rPr>
      </w:pPr>
      <w:r w:rsidRPr="00EB2E7B">
        <w:rPr>
          <w:rFonts w:asciiTheme="minorHAnsi" w:hAnsiTheme="minorHAnsi" w:cstheme="minorHAnsi"/>
          <w:noProof/>
          <w:sz w:val="20"/>
          <w:szCs w:val="20"/>
        </w:rPr>
        <w:drawing>
          <wp:inline distT="0" distB="0" distL="0" distR="0" wp14:anchorId="01FDA4D3" wp14:editId="4153A5BF">
            <wp:extent cx="3467584" cy="2943636"/>
            <wp:effectExtent l="0" t="0" r="0" b="9525"/>
            <wp:docPr id="927014311" name="Obraz 1" descr="Obraz zawierający diagram, linia, krąg,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14311" name="Obraz 1" descr="Obraz zawierający diagram, linia, krąg, Wykres&#10;&#10;Opis wygenerowany automatycznie"/>
                    <pic:cNvPicPr/>
                  </pic:nvPicPr>
                  <pic:blipFill>
                    <a:blip r:embed="rId27"/>
                    <a:stretch>
                      <a:fillRect/>
                    </a:stretch>
                  </pic:blipFill>
                  <pic:spPr>
                    <a:xfrm>
                      <a:off x="0" y="0"/>
                      <a:ext cx="3467584" cy="2943636"/>
                    </a:xfrm>
                    <a:prstGeom prst="rect">
                      <a:avLst/>
                    </a:prstGeom>
                  </pic:spPr>
                </pic:pic>
              </a:graphicData>
            </a:graphic>
          </wp:inline>
        </w:drawing>
      </w:r>
    </w:p>
    <w:p w14:paraId="6F81E4E0" w14:textId="2ADB227B" w:rsidR="00DB2853" w:rsidRPr="00EB2E7B" w:rsidRDefault="00D22784" w:rsidP="00B01C33">
      <w:pPr>
        <w:ind w:left="1134"/>
        <w:rPr>
          <w:rFonts w:asciiTheme="minorHAnsi" w:hAnsiTheme="minorHAnsi" w:cstheme="minorHAnsi"/>
          <w:i/>
          <w:sz w:val="20"/>
          <w:szCs w:val="20"/>
        </w:rPr>
      </w:pPr>
      <w:r w:rsidRPr="00EB2E7B">
        <w:rPr>
          <w:rFonts w:asciiTheme="minorHAnsi" w:hAnsiTheme="minorHAnsi" w:cstheme="minorHAnsi"/>
          <w:i/>
          <w:sz w:val="20"/>
          <w:szCs w:val="20"/>
        </w:rPr>
        <w:t xml:space="preserve">Rys. 2 </w:t>
      </w:r>
      <w:r w:rsidR="00BB502B" w:rsidRPr="00EB2E7B">
        <w:rPr>
          <w:rFonts w:asciiTheme="minorHAnsi" w:hAnsiTheme="minorHAnsi" w:cstheme="minorHAnsi"/>
          <w:i/>
          <w:sz w:val="20"/>
          <w:szCs w:val="20"/>
        </w:rPr>
        <w:t>Zdolność do generacji mocy biernej w obciążeniowym układzie odniesienia</w:t>
      </w:r>
    </w:p>
    <w:p w14:paraId="7CAF6B7B" w14:textId="483C08D4" w:rsidR="00D2797E" w:rsidRPr="00EB2E7B" w:rsidRDefault="00D2797E" w:rsidP="00C94D17">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Wymagane tryby regulacji mocy biernej:</w:t>
      </w:r>
    </w:p>
    <w:p w14:paraId="20958AB8" w14:textId="77777777" w:rsidR="00D2797E" w:rsidRPr="00EB2E7B" w:rsidRDefault="00D2797E" w:rsidP="00B01C33">
      <w:pPr>
        <w:ind w:left="1134" w:firstLine="0"/>
        <w:rPr>
          <w:rFonts w:asciiTheme="minorHAnsi" w:hAnsiTheme="minorHAnsi" w:cstheme="minorHAnsi"/>
          <w:sz w:val="20"/>
          <w:szCs w:val="20"/>
        </w:rPr>
      </w:pPr>
      <w:proofErr w:type="spellStart"/>
      <w:r w:rsidRPr="00EB2E7B">
        <w:rPr>
          <w:rFonts w:asciiTheme="minorHAnsi" w:hAnsiTheme="minorHAnsi" w:cstheme="minorHAnsi"/>
          <w:sz w:val="20"/>
          <w:szCs w:val="20"/>
        </w:rPr>
        <w:t>Mikroinstalacja</w:t>
      </w:r>
      <w:proofErr w:type="spellEnd"/>
      <w:r w:rsidRPr="00EB2E7B">
        <w:rPr>
          <w:rFonts w:asciiTheme="minorHAnsi" w:hAnsiTheme="minorHAnsi" w:cstheme="minorHAnsi"/>
          <w:sz w:val="20"/>
          <w:szCs w:val="20"/>
        </w:rPr>
        <w:t xml:space="preserve"> ma być zdolna do działania w następujących trybach sterowania</w:t>
      </w:r>
    </w:p>
    <w:p w14:paraId="10A04640" w14:textId="113013D4" w:rsidR="004953AC" w:rsidRPr="00EB2E7B" w:rsidRDefault="004953AC" w:rsidP="00B01C33">
      <w:pPr>
        <w:pStyle w:val="Akapitzlist"/>
        <w:numPr>
          <w:ilvl w:val="0"/>
          <w:numId w:val="458"/>
        </w:numPr>
        <w:spacing w:line="266" w:lineRule="auto"/>
        <w:ind w:left="1701" w:hanging="567"/>
        <w:contextualSpacing w:val="0"/>
        <w:rPr>
          <w:rFonts w:asciiTheme="minorHAnsi" w:hAnsiTheme="minorHAnsi" w:cstheme="minorHAnsi"/>
          <w:sz w:val="20"/>
          <w:szCs w:val="20"/>
        </w:rPr>
      </w:pPr>
      <w:bookmarkStart w:id="813" w:name="_Ref190166246"/>
      <w:r w:rsidRPr="00EB2E7B">
        <w:rPr>
          <w:rFonts w:asciiTheme="minorHAnsi" w:hAnsiTheme="minorHAnsi" w:cstheme="minorHAnsi"/>
          <w:sz w:val="20"/>
          <w:szCs w:val="20"/>
        </w:rPr>
        <w:t>sterowanie mocą bierną w funkcji napięcia na zaciskach generatora (tryb Q(U)) jako tryb podstawowy,</w:t>
      </w:r>
      <w:bookmarkEnd w:id="813"/>
    </w:p>
    <w:p w14:paraId="0BEF2898" w14:textId="77777777" w:rsidR="004953AC" w:rsidRPr="00EB2E7B" w:rsidRDefault="004953AC" w:rsidP="00B01C33">
      <w:pPr>
        <w:pStyle w:val="Akapitzlist"/>
        <w:numPr>
          <w:ilvl w:val="0"/>
          <w:numId w:val="458"/>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sterowanie współczynnikiem mocy w funkcji generacji mocy czynnej (tryb cos φ (P)), jako tryb alternatywny, </w:t>
      </w:r>
    </w:p>
    <w:p w14:paraId="6333AAAC" w14:textId="43A42A14" w:rsidR="00D2797E" w:rsidRPr="00EB2E7B" w:rsidRDefault="004953AC" w:rsidP="00B01C33">
      <w:pPr>
        <w:pStyle w:val="Akapitzlist"/>
        <w:numPr>
          <w:ilvl w:val="0"/>
          <w:numId w:val="458"/>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cos φ stałe, nastawiane w granicach od cos φ = 0,9</w:t>
      </w:r>
      <w:r w:rsidRPr="00EB2E7B">
        <w:rPr>
          <w:rFonts w:asciiTheme="minorHAnsi" w:hAnsiTheme="minorHAnsi" w:cstheme="minorHAnsi"/>
          <w:sz w:val="20"/>
          <w:szCs w:val="20"/>
          <w:vertAlign w:val="subscript"/>
        </w:rPr>
        <w:t>ind</w:t>
      </w:r>
      <w:r w:rsidRPr="00EB2E7B">
        <w:rPr>
          <w:rFonts w:asciiTheme="minorHAnsi" w:hAnsiTheme="minorHAnsi" w:cstheme="minorHAnsi"/>
          <w:sz w:val="20"/>
          <w:szCs w:val="20"/>
        </w:rPr>
        <w:t xml:space="preserve"> do cos φ =0,9</w:t>
      </w:r>
      <w:r w:rsidRPr="00EB2E7B">
        <w:rPr>
          <w:rFonts w:asciiTheme="minorHAnsi" w:hAnsiTheme="minorHAnsi" w:cstheme="minorHAnsi"/>
          <w:sz w:val="20"/>
          <w:szCs w:val="20"/>
          <w:vertAlign w:val="subscript"/>
        </w:rPr>
        <w:t>poj</w:t>
      </w:r>
      <w:r w:rsidRPr="00EB2E7B">
        <w:rPr>
          <w:rFonts w:asciiTheme="minorHAnsi" w:hAnsiTheme="minorHAnsi" w:cstheme="minorHAnsi"/>
          <w:sz w:val="20"/>
          <w:szCs w:val="20"/>
        </w:rPr>
        <w:t>, jako tryb dodatkowy.</w:t>
      </w:r>
    </w:p>
    <w:p w14:paraId="237C5B7E" w14:textId="3126298E" w:rsidR="001807BD" w:rsidRPr="00EB2E7B" w:rsidRDefault="001807BD"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Konfiguracja trybów sterowania oraz ich aktywacja i dezaktywacja ma być możliwa do ustawienia w miejscu zainstalowania urządzenia sterującego. W momencie uruchomienia mikroinstalacji należy ustawić tryb podstawowy zgodny z powyższym </w:t>
      </w:r>
      <w:proofErr w:type="spellStart"/>
      <w:r w:rsidRPr="00EB2E7B">
        <w:rPr>
          <w:rFonts w:asciiTheme="minorHAnsi" w:hAnsiTheme="minorHAnsi" w:cstheme="minorHAnsi"/>
          <w:sz w:val="20"/>
          <w:szCs w:val="20"/>
        </w:rPr>
        <w:t>ppkt</w:t>
      </w:r>
      <w:proofErr w:type="spellEnd"/>
      <w:r w:rsidRPr="00EB2E7B">
        <w:rPr>
          <w:rFonts w:asciiTheme="minorHAnsi" w:hAnsiTheme="minorHAnsi" w:cstheme="minorHAnsi"/>
          <w:sz w:val="20"/>
          <w:szCs w:val="20"/>
        </w:rPr>
        <w:t xml:space="preserve"> </w:t>
      </w:r>
      <w:r w:rsidR="00E80DC1" w:rsidRPr="00EB2E7B">
        <w:rPr>
          <w:rFonts w:asciiTheme="minorHAnsi" w:hAnsiTheme="minorHAnsi" w:cstheme="minorHAnsi"/>
          <w:sz w:val="20"/>
          <w:szCs w:val="20"/>
        </w:rPr>
        <w:fldChar w:fldCharType="begin"/>
      </w:r>
      <w:r w:rsidR="00E80DC1" w:rsidRPr="00EB2E7B">
        <w:rPr>
          <w:rFonts w:asciiTheme="minorHAnsi" w:hAnsiTheme="minorHAnsi" w:cstheme="minorHAnsi"/>
          <w:sz w:val="20"/>
          <w:szCs w:val="20"/>
        </w:rPr>
        <w:instrText xml:space="preserve"> REF _Ref190166246 \r \h  \* MERGEFORMAT </w:instrText>
      </w:r>
      <w:r w:rsidR="00E80DC1" w:rsidRPr="00EB2E7B">
        <w:rPr>
          <w:rFonts w:asciiTheme="minorHAnsi" w:hAnsiTheme="minorHAnsi" w:cstheme="minorHAnsi"/>
          <w:sz w:val="20"/>
          <w:szCs w:val="20"/>
        </w:rPr>
      </w:r>
      <w:r w:rsidR="00E80DC1"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a)</w:t>
      </w:r>
      <w:r w:rsidR="00E80DC1"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Zmiana trybu możliwa jest jedynie na polecenie ACPRO. Wymagane jest zapewnienie ochrony przed nieuprawnioną ingerencją w </w:t>
      </w:r>
      <w:r w:rsidRPr="00EB2E7B">
        <w:rPr>
          <w:rFonts w:asciiTheme="minorHAnsi" w:hAnsiTheme="minorHAnsi" w:cstheme="minorHAnsi"/>
          <w:sz w:val="20"/>
          <w:szCs w:val="20"/>
        </w:rPr>
        <w:lastRenderedPageBreak/>
        <w:t>ustawienia trybów pracy - zmiana trybów pracy nie może być dokonana samodzielnie przez właściciela mikroinstalacji.</w:t>
      </w:r>
    </w:p>
    <w:p w14:paraId="424CCF30" w14:textId="77777777" w:rsidR="00B731DB" w:rsidRPr="00EB2E7B" w:rsidRDefault="000C005E" w:rsidP="00C94D17">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w zakresie trybu sterowania wyjściową mocą bierną w funkcji napięcia - Q(U): </w:t>
      </w:r>
    </w:p>
    <w:p w14:paraId="6FEFBD29" w14:textId="1FB0F1E8" w:rsidR="00B731DB" w:rsidRPr="00EB2E7B" w:rsidRDefault="000C005E"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trybie Q(U) sterowanie odbywa się według krzywych przedstawionych na </w:t>
      </w:r>
      <w:r w:rsidR="00785408" w:rsidRPr="00EB2E7B">
        <w:rPr>
          <w:rFonts w:asciiTheme="minorHAnsi" w:hAnsiTheme="minorHAnsi" w:cstheme="minorHAnsi"/>
          <w:sz w:val="20"/>
          <w:szCs w:val="20"/>
        </w:rPr>
        <w:t>rys. 3 i 4</w:t>
      </w:r>
      <w:r w:rsidR="00B731DB" w:rsidRPr="00EB2E7B">
        <w:rPr>
          <w:rFonts w:asciiTheme="minorHAnsi" w:hAnsiTheme="minorHAnsi" w:cstheme="minorHAnsi"/>
          <w:sz w:val="20"/>
          <w:szCs w:val="20"/>
        </w:rPr>
        <w:t xml:space="preserve"> poniżej</w:t>
      </w:r>
      <w:r w:rsidR="00DE0D34" w:rsidRPr="00EB2E7B">
        <w:rPr>
          <w:rFonts w:asciiTheme="minorHAnsi" w:hAnsiTheme="minorHAnsi" w:cstheme="minorHAnsi"/>
          <w:sz w:val="20"/>
          <w:szCs w:val="20"/>
        </w:rPr>
        <w:t>.</w:t>
      </w:r>
    </w:p>
    <w:p w14:paraId="10E1A720" w14:textId="26E7B7C3" w:rsidR="00DE0D34" w:rsidRPr="00EB2E7B" w:rsidRDefault="00DE0D34"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Charakterystyka Q(U) ma być konfigurowalna w celu ewentualnego dostosowania pracy mikroinstalacji do warunków napięciowych w miejscu przyłączenia mikroinstalacji. Zmiana charakterystyki wymaga uzgodnienia między ACPRO a właścicielem mikroinstalacji. Dodatkowo, konfigurowalna ma być dynamiczna odpowiedź sterowania, filtr pierwszego rzędu powinien mieć nastawioną stałą czasową na czas 5 s, a czas do osiągnięcia 95% nowej nastawy w wyniku zmiany napięcia ma wynosić 3 stałe czasowe.</w:t>
      </w:r>
    </w:p>
    <w:p w14:paraId="151F555A" w14:textId="3E3CF7EA" w:rsidR="00DE0D34" w:rsidRPr="00EB2E7B" w:rsidRDefault="00133B37" w:rsidP="00B01C33">
      <w:pPr>
        <w:ind w:left="70" w:firstLine="0"/>
        <w:rPr>
          <w:rFonts w:asciiTheme="minorHAnsi" w:hAnsiTheme="minorHAnsi" w:cstheme="minorHAnsi"/>
          <w:sz w:val="20"/>
          <w:szCs w:val="20"/>
        </w:rPr>
      </w:pPr>
      <w:r w:rsidRPr="00EB2E7B">
        <w:rPr>
          <w:rFonts w:asciiTheme="minorHAnsi" w:hAnsiTheme="minorHAnsi" w:cstheme="minorHAnsi"/>
          <w:noProof/>
          <w:sz w:val="20"/>
          <w:szCs w:val="20"/>
        </w:rPr>
        <w:drawing>
          <wp:inline distT="0" distB="0" distL="0" distR="0" wp14:anchorId="43FFA94B" wp14:editId="2E098311">
            <wp:extent cx="5829935" cy="3508375"/>
            <wp:effectExtent l="0" t="0" r="0" b="0"/>
            <wp:docPr id="254761117" name="Obraz 1" descr="Obraz zawierający linia, tekst, Wykres,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61117" name="Obraz 1" descr="Obraz zawierający linia, tekst, Wykres, numer&#10;&#10;Opis wygenerowany automatycznie"/>
                    <pic:cNvPicPr/>
                  </pic:nvPicPr>
                  <pic:blipFill>
                    <a:blip r:embed="rId28"/>
                    <a:stretch>
                      <a:fillRect/>
                    </a:stretch>
                  </pic:blipFill>
                  <pic:spPr>
                    <a:xfrm>
                      <a:off x="0" y="0"/>
                      <a:ext cx="5829935" cy="3508375"/>
                    </a:xfrm>
                    <a:prstGeom prst="rect">
                      <a:avLst/>
                    </a:prstGeom>
                  </pic:spPr>
                </pic:pic>
              </a:graphicData>
            </a:graphic>
          </wp:inline>
        </w:drawing>
      </w:r>
    </w:p>
    <w:p w14:paraId="05913C6C" w14:textId="62ECCDE2" w:rsidR="000C005E" w:rsidRPr="00EB2E7B" w:rsidRDefault="00785408" w:rsidP="00B01C33">
      <w:pPr>
        <w:ind w:left="1134" w:firstLine="0"/>
        <w:rPr>
          <w:rFonts w:asciiTheme="minorHAnsi" w:hAnsiTheme="minorHAnsi" w:cstheme="minorHAnsi"/>
          <w:i/>
          <w:sz w:val="20"/>
          <w:szCs w:val="20"/>
        </w:rPr>
      </w:pPr>
      <w:r w:rsidRPr="00EB2E7B">
        <w:rPr>
          <w:rFonts w:asciiTheme="minorHAnsi" w:hAnsiTheme="minorHAnsi" w:cstheme="minorHAnsi"/>
          <w:i/>
          <w:sz w:val="20"/>
          <w:szCs w:val="20"/>
        </w:rPr>
        <w:t xml:space="preserve">Rys. 3 </w:t>
      </w:r>
      <w:r w:rsidR="00912B2F" w:rsidRPr="00EB2E7B">
        <w:rPr>
          <w:rFonts w:asciiTheme="minorHAnsi" w:hAnsiTheme="minorHAnsi" w:cstheme="minorHAnsi"/>
          <w:i/>
          <w:sz w:val="20"/>
          <w:szCs w:val="20"/>
        </w:rPr>
        <w:t>Charakterystyka sterowania mocą bierną w funkcji napięcia wymagana przez ACPRO</w:t>
      </w:r>
      <w:r w:rsidR="00B731DB" w:rsidRPr="00EB2E7B">
        <w:rPr>
          <w:rFonts w:asciiTheme="minorHAnsi" w:hAnsiTheme="minorHAnsi" w:cstheme="minorHAnsi"/>
          <w:i/>
          <w:sz w:val="20"/>
          <w:szCs w:val="20"/>
        </w:rPr>
        <w:t>.</w:t>
      </w:r>
    </w:p>
    <w:p w14:paraId="7741F9E2" w14:textId="77777777" w:rsidR="008428D9" w:rsidRPr="00EB2E7B" w:rsidRDefault="008428D9" w:rsidP="008428D9">
      <w:pPr>
        <w:ind w:left="1134" w:firstLine="0"/>
        <w:rPr>
          <w:rFonts w:asciiTheme="minorHAnsi" w:hAnsiTheme="minorHAnsi" w:cstheme="minorHAnsi"/>
          <w:i/>
          <w:sz w:val="20"/>
          <w:szCs w:val="20"/>
        </w:rPr>
      </w:pPr>
    </w:p>
    <w:p w14:paraId="7C67D1AA" w14:textId="1D5C7E8C" w:rsidR="00133B37" w:rsidRPr="00EB2E7B" w:rsidRDefault="0004290A" w:rsidP="00B01C33">
      <w:pPr>
        <w:rPr>
          <w:rFonts w:asciiTheme="minorHAnsi" w:hAnsiTheme="minorHAnsi" w:cstheme="minorHAnsi"/>
          <w:i/>
          <w:color w:val="FFFFFF" w:themeColor="background1"/>
          <w:sz w:val="20"/>
          <w:szCs w:val="20"/>
        </w:rPr>
      </w:pPr>
      <w:r w:rsidRPr="00EB2E7B">
        <w:rPr>
          <w:rFonts w:asciiTheme="minorHAnsi" w:hAnsiTheme="minorHAnsi" w:cstheme="minorHAnsi"/>
          <w:i/>
          <w:noProof/>
          <w:color w:val="FFFFFF" w:themeColor="background1"/>
          <w:sz w:val="20"/>
          <w:szCs w:val="20"/>
        </w:rPr>
        <w:lastRenderedPageBreak/>
        <w:drawing>
          <wp:inline distT="0" distB="0" distL="0" distR="0" wp14:anchorId="006F7F94" wp14:editId="5A6E4DDC">
            <wp:extent cx="5829935" cy="3505200"/>
            <wp:effectExtent l="0" t="0" r="0" b="0"/>
            <wp:docPr id="835035326" name="Obraz 1" descr="Obraz zawierający tekst, numer,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35326" name="Obraz 1" descr="Obraz zawierający tekst, numer, zrzut ekranu, linia&#10;&#10;Opis wygenerowany automatycznie"/>
                    <pic:cNvPicPr/>
                  </pic:nvPicPr>
                  <pic:blipFill>
                    <a:blip r:embed="rId29"/>
                    <a:stretch>
                      <a:fillRect/>
                    </a:stretch>
                  </pic:blipFill>
                  <pic:spPr>
                    <a:xfrm>
                      <a:off x="0" y="0"/>
                      <a:ext cx="5829935" cy="3505200"/>
                    </a:xfrm>
                    <a:prstGeom prst="rect">
                      <a:avLst/>
                    </a:prstGeom>
                  </pic:spPr>
                </pic:pic>
              </a:graphicData>
            </a:graphic>
          </wp:inline>
        </w:drawing>
      </w:r>
    </w:p>
    <w:p w14:paraId="50636CBA" w14:textId="0E5BAAFE" w:rsidR="000C005E" w:rsidRPr="00EB2E7B" w:rsidRDefault="00785408" w:rsidP="00B01C33">
      <w:pPr>
        <w:ind w:left="1134" w:firstLine="0"/>
        <w:rPr>
          <w:rFonts w:asciiTheme="minorHAnsi" w:hAnsiTheme="minorHAnsi" w:cstheme="minorHAnsi"/>
          <w:i/>
          <w:sz w:val="20"/>
          <w:szCs w:val="20"/>
        </w:rPr>
      </w:pPr>
      <w:r w:rsidRPr="00EB2E7B">
        <w:rPr>
          <w:rFonts w:asciiTheme="minorHAnsi" w:hAnsiTheme="minorHAnsi" w:cstheme="minorHAnsi"/>
          <w:i/>
          <w:sz w:val="20"/>
          <w:szCs w:val="20"/>
        </w:rPr>
        <w:t xml:space="preserve">Rys. 4 </w:t>
      </w:r>
      <w:r w:rsidR="008428D9" w:rsidRPr="00EB2E7B">
        <w:rPr>
          <w:rFonts w:asciiTheme="minorHAnsi" w:hAnsiTheme="minorHAnsi" w:cstheme="minorHAnsi"/>
          <w:i/>
          <w:sz w:val="20"/>
          <w:szCs w:val="20"/>
        </w:rPr>
        <w:t>Charakterystyka sterowania mocą bierną w funkcji napięcia dla mikroinstalacji podłączonych jednofazowo, wymagana przez ACPRO.</w:t>
      </w:r>
    </w:p>
    <w:p w14:paraId="46ED5D37" w14:textId="77777777" w:rsidR="00B1083A" w:rsidRPr="00EB2E7B" w:rsidRDefault="00B1083A" w:rsidP="00C94D17">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Wymagania w zakresie trybu sterowania współczynnikiem przesunięcia fazowego podstawowych harmonicznych napięcia i prądu w funkcji mocy czynnej generowanej - cos φ (P): </w:t>
      </w:r>
    </w:p>
    <w:p w14:paraId="683B7884" w14:textId="5B7964CD" w:rsidR="00B1083A" w:rsidRPr="00EB2E7B" w:rsidRDefault="00B1083A"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trybie cos φ (P) sterowanie odbywa się, według krzywej przedstawionej na rys. </w:t>
      </w:r>
      <w:r w:rsidR="001867FB" w:rsidRPr="00EB2E7B">
        <w:rPr>
          <w:rFonts w:asciiTheme="minorHAnsi" w:hAnsiTheme="minorHAnsi" w:cstheme="minorHAnsi"/>
          <w:sz w:val="20"/>
          <w:szCs w:val="20"/>
        </w:rPr>
        <w:t>5</w:t>
      </w:r>
      <w:r w:rsidRPr="00EB2E7B">
        <w:rPr>
          <w:rFonts w:asciiTheme="minorHAnsi" w:hAnsiTheme="minorHAnsi" w:cstheme="minorHAnsi"/>
          <w:sz w:val="20"/>
          <w:szCs w:val="20"/>
        </w:rPr>
        <w:t xml:space="preserve">. </w:t>
      </w:r>
    </w:p>
    <w:p w14:paraId="7CFD0EFB" w14:textId="77777777" w:rsidR="00B1083A" w:rsidRPr="00EB2E7B" w:rsidRDefault="00B1083A"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Nastawione nowe wartości, wynikające ze zmiany mocy czynnej generowanej, muszą być nastawione w ciągu 10 s. Zaleca się, aby szybkość zmiany mocy biernej następowała w takim samym czasie jak szybkość zmiany mocy czynnej i była zsynchronizowana z szybkością zmiany mocy czynnej</w:t>
      </w:r>
    </w:p>
    <w:p w14:paraId="7F58BA3A" w14:textId="69E0C738" w:rsidR="00B1083A" w:rsidRPr="00EB2E7B" w:rsidRDefault="00B731DB" w:rsidP="00B01C33">
      <w:pPr>
        <w:ind w:left="1134" w:firstLine="0"/>
        <w:jc w:val="center"/>
        <w:rPr>
          <w:rFonts w:asciiTheme="minorHAnsi" w:hAnsiTheme="minorHAnsi" w:cstheme="minorHAnsi"/>
          <w:sz w:val="20"/>
          <w:szCs w:val="20"/>
        </w:rPr>
      </w:pPr>
      <w:r w:rsidRPr="00EB2E7B">
        <w:rPr>
          <w:rFonts w:asciiTheme="minorHAnsi" w:hAnsiTheme="minorHAnsi" w:cstheme="minorHAnsi"/>
          <w:noProof/>
          <w:sz w:val="20"/>
          <w:szCs w:val="20"/>
        </w:rPr>
        <w:lastRenderedPageBreak/>
        <w:drawing>
          <wp:inline distT="0" distB="0" distL="0" distR="0" wp14:anchorId="6F479F22" wp14:editId="70FB1B48">
            <wp:extent cx="5715798" cy="3115110"/>
            <wp:effectExtent l="0" t="0" r="0" b="9525"/>
            <wp:docPr id="1023629266" name="Obraz 1" descr="Obraz zawierający linia, tekst, diagram,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29266" name="Obraz 1" descr="Obraz zawierający linia, tekst, diagram, Wykres&#10;&#10;Opis wygenerowany automatycznie"/>
                    <pic:cNvPicPr/>
                  </pic:nvPicPr>
                  <pic:blipFill>
                    <a:blip r:embed="rId30"/>
                    <a:stretch>
                      <a:fillRect/>
                    </a:stretch>
                  </pic:blipFill>
                  <pic:spPr>
                    <a:xfrm>
                      <a:off x="0" y="0"/>
                      <a:ext cx="5715798" cy="3115110"/>
                    </a:xfrm>
                    <a:prstGeom prst="rect">
                      <a:avLst/>
                    </a:prstGeom>
                  </pic:spPr>
                </pic:pic>
              </a:graphicData>
            </a:graphic>
          </wp:inline>
        </w:drawing>
      </w:r>
    </w:p>
    <w:p w14:paraId="113A6EFA" w14:textId="5615B593" w:rsidR="00C94D17" w:rsidRPr="00EB2E7B" w:rsidRDefault="001867FB" w:rsidP="00B01C33">
      <w:pPr>
        <w:ind w:left="1134" w:firstLine="0"/>
        <w:rPr>
          <w:rFonts w:asciiTheme="minorHAnsi" w:hAnsiTheme="minorHAnsi" w:cstheme="minorHAnsi"/>
          <w:i/>
          <w:sz w:val="20"/>
          <w:szCs w:val="20"/>
        </w:rPr>
      </w:pPr>
      <w:r w:rsidRPr="00EB2E7B">
        <w:rPr>
          <w:rFonts w:asciiTheme="minorHAnsi" w:hAnsiTheme="minorHAnsi" w:cstheme="minorHAnsi"/>
          <w:i/>
          <w:sz w:val="20"/>
          <w:szCs w:val="20"/>
        </w:rPr>
        <w:t xml:space="preserve">Rys. 5 </w:t>
      </w:r>
      <w:r w:rsidR="003B63F9" w:rsidRPr="00EB2E7B">
        <w:rPr>
          <w:rFonts w:asciiTheme="minorHAnsi" w:hAnsiTheme="minorHAnsi" w:cstheme="minorHAnsi"/>
          <w:i/>
          <w:sz w:val="20"/>
          <w:szCs w:val="20"/>
        </w:rPr>
        <w:t>Charakterystyka sterowania współczynnikiem mocy cos φ w funkcji generowanej mocy czynnej wymagana przez ACPRO.</w:t>
      </w:r>
    </w:p>
    <w:p w14:paraId="2925B505" w14:textId="77777777" w:rsidR="00C94D17" w:rsidRPr="00EB2E7B" w:rsidRDefault="00C94D17" w:rsidP="00B01C33">
      <w:pPr>
        <w:ind w:left="70" w:firstLine="0"/>
        <w:rPr>
          <w:rFonts w:asciiTheme="minorHAnsi" w:hAnsiTheme="minorHAnsi" w:cstheme="minorHAnsi"/>
          <w:sz w:val="20"/>
          <w:szCs w:val="20"/>
        </w:rPr>
      </w:pPr>
    </w:p>
    <w:p w14:paraId="4B552B62" w14:textId="4F707AD9" w:rsidR="00B20832" w:rsidRPr="00EB2E7B" w:rsidRDefault="00B20832" w:rsidP="009A432E">
      <w:pPr>
        <w:pStyle w:val="ANagwek4"/>
        <w:numPr>
          <w:ilvl w:val="2"/>
          <w:numId w:val="443"/>
        </w:numPr>
        <w:rPr>
          <w:rFonts w:asciiTheme="minorHAnsi" w:hAnsiTheme="minorHAnsi" w:cstheme="minorHAnsi"/>
          <w:sz w:val="20"/>
          <w:szCs w:val="20"/>
        </w:rPr>
      </w:pPr>
      <w:r w:rsidRPr="00EB2E7B">
        <w:rPr>
          <w:rFonts w:asciiTheme="minorHAnsi" w:hAnsiTheme="minorHAnsi" w:cstheme="minorHAnsi"/>
          <w:sz w:val="20"/>
          <w:szCs w:val="20"/>
        </w:rPr>
        <w:t>Wymagania w zakresie wyposażenia mikroinstalacji w regulację mocy czynnej</w:t>
      </w:r>
    </w:p>
    <w:p w14:paraId="757EAE6F" w14:textId="389FD485" w:rsidR="00FC4E4C" w:rsidRPr="00EB2E7B" w:rsidRDefault="00FC4E4C" w:rsidP="006C12D5">
      <w:pPr>
        <w:pStyle w:val="ANagwek5"/>
        <w:numPr>
          <w:ilvl w:val="3"/>
          <w:numId w:val="443"/>
        </w:numPr>
        <w:ind w:left="1134" w:hanging="1134"/>
        <w:rPr>
          <w:rFonts w:asciiTheme="minorHAnsi" w:hAnsiTheme="minorHAnsi" w:cstheme="minorHAnsi"/>
          <w:sz w:val="20"/>
          <w:szCs w:val="20"/>
        </w:rPr>
      </w:pPr>
      <w:proofErr w:type="spellStart"/>
      <w:r w:rsidRPr="00EB2E7B">
        <w:rPr>
          <w:rFonts w:asciiTheme="minorHAnsi" w:hAnsiTheme="minorHAnsi" w:cstheme="minorHAnsi"/>
          <w:sz w:val="20"/>
          <w:szCs w:val="20"/>
        </w:rPr>
        <w:t>Mikroinstalacja</w:t>
      </w:r>
      <w:proofErr w:type="spellEnd"/>
      <w:r w:rsidRPr="00EB2E7B">
        <w:rPr>
          <w:rFonts w:asciiTheme="minorHAnsi" w:hAnsiTheme="minorHAnsi" w:cstheme="minorHAnsi"/>
          <w:sz w:val="20"/>
          <w:szCs w:val="20"/>
        </w:rPr>
        <w:t xml:space="preserve"> powinna być przystosowana do zdalnego sterowania przez </w:t>
      </w:r>
      <w:r w:rsidR="00F943AB" w:rsidRPr="00EB2E7B">
        <w:rPr>
          <w:rFonts w:asciiTheme="minorHAnsi" w:hAnsiTheme="minorHAnsi" w:cstheme="minorHAnsi"/>
          <w:sz w:val="20"/>
          <w:szCs w:val="20"/>
        </w:rPr>
        <w:t xml:space="preserve">ACPRO </w:t>
      </w:r>
      <w:r w:rsidRPr="00EB2E7B">
        <w:rPr>
          <w:rFonts w:asciiTheme="minorHAnsi" w:hAnsiTheme="minorHAnsi" w:cstheme="minorHAnsi"/>
          <w:sz w:val="20"/>
          <w:szCs w:val="20"/>
        </w:rPr>
        <w:t xml:space="preserve">w zakresie zaprzestania generacji mocy czynnej. </w:t>
      </w:r>
      <w:r w:rsidR="00984934" w:rsidRPr="00EB2E7B">
        <w:rPr>
          <w:rFonts w:asciiTheme="minorHAnsi" w:hAnsiTheme="minorHAnsi" w:cstheme="minorHAnsi"/>
          <w:sz w:val="20"/>
          <w:szCs w:val="20"/>
        </w:rPr>
        <w:t xml:space="preserve">W przypadku mikroinstalacji o mocy zainstalowanej większej niż 10 kW powinna ona być przystosowana do ograniczenia jej pracy lub odłączenia od sieci przez ACPRO. </w:t>
      </w:r>
      <w:r w:rsidRPr="00EB2E7B">
        <w:rPr>
          <w:rFonts w:asciiTheme="minorHAnsi" w:hAnsiTheme="minorHAnsi" w:cstheme="minorHAnsi"/>
          <w:sz w:val="20"/>
          <w:szCs w:val="20"/>
        </w:rPr>
        <w:t xml:space="preserve">Dla realizacji powyższych wymagań, </w:t>
      </w:r>
      <w:proofErr w:type="spellStart"/>
      <w:r w:rsidRPr="00EB2E7B">
        <w:rPr>
          <w:rFonts w:asciiTheme="minorHAnsi" w:hAnsiTheme="minorHAnsi" w:cstheme="minorHAnsi"/>
          <w:sz w:val="20"/>
          <w:szCs w:val="20"/>
        </w:rPr>
        <w:t>mikroinstalacja</w:t>
      </w:r>
      <w:proofErr w:type="spellEnd"/>
      <w:r w:rsidRPr="00EB2E7B">
        <w:rPr>
          <w:rFonts w:asciiTheme="minorHAnsi" w:hAnsiTheme="minorHAnsi" w:cstheme="minorHAnsi"/>
          <w:sz w:val="20"/>
          <w:szCs w:val="20"/>
        </w:rPr>
        <w:t xml:space="preserve"> powinna być wyposażona co najmniej w port wejściowy RS485 obsługujący protokół komunikacji SUNSPEC. </w:t>
      </w:r>
    </w:p>
    <w:p w14:paraId="072DBC3E" w14:textId="6A91C6A6" w:rsidR="006C12D5" w:rsidRPr="00EB2E7B" w:rsidRDefault="00FC4E4C" w:rsidP="006C12D5">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W celu uniknięcia całkowitego wyłączenia mikroinstalacji spowodowanego zadziałaniem zabezpieczenia nadnapięciowego mikroinstalacji, zaleca się aby </w:t>
      </w:r>
      <w:proofErr w:type="spellStart"/>
      <w:r w:rsidRPr="00EB2E7B">
        <w:rPr>
          <w:rFonts w:asciiTheme="minorHAnsi" w:hAnsiTheme="minorHAnsi" w:cstheme="minorHAnsi"/>
          <w:sz w:val="20"/>
          <w:szCs w:val="20"/>
        </w:rPr>
        <w:t>mikroinstalacja</w:t>
      </w:r>
      <w:proofErr w:type="spellEnd"/>
      <w:r w:rsidRPr="00EB2E7B">
        <w:rPr>
          <w:rFonts w:asciiTheme="minorHAnsi" w:hAnsiTheme="minorHAnsi" w:cstheme="minorHAnsi"/>
          <w:sz w:val="20"/>
          <w:szCs w:val="20"/>
        </w:rPr>
        <w:t xml:space="preserve"> posiadała funkcję zmniejszania mocy czynnej generowanej w funkcji wzrostu napięcia. Istotne jest, aby funkcja ta działała dopiero po wyczerpaniu możliwości regulacji napięcia poborem mocy biernej w trybie Q(U) tj. powyżej 1,08 </w:t>
      </w:r>
      <w:proofErr w:type="spellStart"/>
      <w:r w:rsidRPr="00EB2E7B">
        <w:rPr>
          <w:rFonts w:asciiTheme="minorHAnsi" w:hAnsiTheme="minorHAnsi" w:cstheme="minorHAnsi"/>
          <w:sz w:val="20"/>
          <w:szCs w:val="20"/>
        </w:rPr>
        <w:t>U</w:t>
      </w:r>
      <w:r w:rsidRPr="00EB2E7B">
        <w:rPr>
          <w:rFonts w:asciiTheme="minorHAnsi" w:hAnsiTheme="minorHAnsi" w:cstheme="minorHAnsi"/>
          <w:sz w:val="20"/>
          <w:szCs w:val="20"/>
          <w:vertAlign w:val="subscript"/>
        </w:rPr>
        <w:t>n</w:t>
      </w:r>
      <w:proofErr w:type="spellEnd"/>
      <w:r w:rsidRPr="00EB2E7B">
        <w:rPr>
          <w:rFonts w:asciiTheme="minorHAnsi" w:hAnsiTheme="minorHAnsi" w:cstheme="minorHAnsi"/>
          <w:sz w:val="20"/>
          <w:szCs w:val="20"/>
        </w:rPr>
        <w:t>. Funkcja ta nie może powodować skokowych zmian mocy generowanej.</w:t>
      </w:r>
    </w:p>
    <w:p w14:paraId="62373A1F" w14:textId="77777777" w:rsidR="006C12D5" w:rsidRPr="00EB2E7B" w:rsidRDefault="006C12D5" w:rsidP="00B01C33">
      <w:pPr>
        <w:pStyle w:val="NormalnyIRiESD"/>
        <w:numPr>
          <w:ilvl w:val="0"/>
          <w:numId w:val="0"/>
        </w:numPr>
        <w:rPr>
          <w:rFonts w:asciiTheme="minorHAnsi" w:hAnsiTheme="minorHAnsi" w:cstheme="minorHAnsi"/>
          <w:sz w:val="20"/>
          <w:szCs w:val="20"/>
        </w:rPr>
      </w:pPr>
    </w:p>
    <w:p w14:paraId="7F04DF71" w14:textId="027203BE" w:rsidR="003C7605" w:rsidRPr="00EB2E7B" w:rsidRDefault="00B20832" w:rsidP="009A432E">
      <w:pPr>
        <w:pStyle w:val="ANagwek4"/>
        <w:numPr>
          <w:ilvl w:val="2"/>
          <w:numId w:val="443"/>
        </w:numPr>
        <w:rPr>
          <w:rFonts w:asciiTheme="minorHAnsi" w:hAnsiTheme="minorHAnsi" w:cstheme="minorHAnsi"/>
          <w:sz w:val="20"/>
          <w:szCs w:val="20"/>
        </w:rPr>
      </w:pPr>
      <w:r w:rsidRPr="00EB2E7B">
        <w:rPr>
          <w:rFonts w:asciiTheme="minorHAnsi" w:hAnsiTheme="minorHAnsi" w:cstheme="minorHAnsi"/>
          <w:sz w:val="20"/>
          <w:szCs w:val="20"/>
        </w:rPr>
        <w:t>Wymagania w zakresie wyposażenia mikroinstalacji w układ zabezpieczeń</w:t>
      </w:r>
    </w:p>
    <w:p w14:paraId="12034E77" w14:textId="77777777" w:rsidR="005173BC" w:rsidRPr="00EB2E7B" w:rsidRDefault="00F943AB" w:rsidP="006C12D5">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Wymagania ogólne</w:t>
      </w:r>
    </w:p>
    <w:p w14:paraId="18B03CE3" w14:textId="77777777" w:rsidR="005173BC" w:rsidRPr="00EB2E7B" w:rsidRDefault="005173BC" w:rsidP="00B01C33">
      <w:pPr>
        <w:ind w:left="1134"/>
        <w:rPr>
          <w:rFonts w:asciiTheme="minorHAnsi" w:hAnsiTheme="minorHAnsi" w:cstheme="minorHAnsi"/>
          <w:sz w:val="20"/>
          <w:szCs w:val="20"/>
        </w:rPr>
      </w:pPr>
      <w:proofErr w:type="spellStart"/>
      <w:r w:rsidRPr="00EB2E7B">
        <w:rPr>
          <w:rFonts w:asciiTheme="minorHAnsi" w:hAnsiTheme="minorHAnsi" w:cstheme="minorHAnsi"/>
          <w:sz w:val="20"/>
          <w:szCs w:val="20"/>
        </w:rPr>
        <w:t>Mikroinstalacje</w:t>
      </w:r>
      <w:proofErr w:type="spellEnd"/>
      <w:r w:rsidRPr="00EB2E7B">
        <w:rPr>
          <w:rFonts w:asciiTheme="minorHAnsi" w:hAnsiTheme="minorHAnsi" w:cstheme="minorHAnsi"/>
          <w:sz w:val="20"/>
          <w:szCs w:val="20"/>
        </w:rPr>
        <w:t xml:space="preserve"> powinny posiadać wbudowany układ zabezpieczeń, składający się co najmniej z następujących zabezpieczeń:</w:t>
      </w:r>
    </w:p>
    <w:p w14:paraId="6529919A" w14:textId="77777777" w:rsidR="00893CCA" w:rsidRPr="00EB2E7B" w:rsidRDefault="00893CCA"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 dwustopniowe zabezpieczenie nadnapięciowe, </w:t>
      </w:r>
    </w:p>
    <w:p w14:paraId="1DEFAAD3" w14:textId="77777777" w:rsidR="00893CCA" w:rsidRPr="00EB2E7B" w:rsidRDefault="00893CCA"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 zabezpieczenie podnapięciowe, </w:t>
      </w:r>
    </w:p>
    <w:p w14:paraId="595EA11F" w14:textId="77777777" w:rsidR="00893CCA" w:rsidRPr="00EB2E7B" w:rsidRDefault="00893CCA"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 zabezpieczenie </w:t>
      </w:r>
      <w:proofErr w:type="spellStart"/>
      <w:r w:rsidRPr="00EB2E7B">
        <w:rPr>
          <w:rFonts w:asciiTheme="minorHAnsi" w:hAnsiTheme="minorHAnsi" w:cstheme="minorHAnsi"/>
          <w:sz w:val="20"/>
          <w:szCs w:val="20"/>
        </w:rPr>
        <w:t>podczęstotliwościowe</w:t>
      </w:r>
      <w:proofErr w:type="spellEnd"/>
      <w:r w:rsidRPr="00EB2E7B">
        <w:rPr>
          <w:rFonts w:asciiTheme="minorHAnsi" w:hAnsiTheme="minorHAnsi" w:cstheme="minorHAnsi"/>
          <w:sz w:val="20"/>
          <w:szCs w:val="20"/>
        </w:rPr>
        <w:t xml:space="preserve">, </w:t>
      </w:r>
    </w:p>
    <w:p w14:paraId="304CC4AC" w14:textId="77777777" w:rsidR="00893CCA" w:rsidRPr="00EB2E7B" w:rsidRDefault="00893CCA"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 zabezpieczenie </w:t>
      </w:r>
      <w:proofErr w:type="spellStart"/>
      <w:r w:rsidRPr="00EB2E7B">
        <w:rPr>
          <w:rFonts w:asciiTheme="minorHAnsi" w:hAnsiTheme="minorHAnsi" w:cstheme="minorHAnsi"/>
          <w:sz w:val="20"/>
          <w:szCs w:val="20"/>
        </w:rPr>
        <w:t>nadczęstotliwościowe</w:t>
      </w:r>
      <w:proofErr w:type="spellEnd"/>
      <w:r w:rsidRPr="00EB2E7B">
        <w:rPr>
          <w:rFonts w:asciiTheme="minorHAnsi" w:hAnsiTheme="minorHAnsi" w:cstheme="minorHAnsi"/>
          <w:sz w:val="20"/>
          <w:szCs w:val="20"/>
        </w:rPr>
        <w:t xml:space="preserve">, </w:t>
      </w:r>
    </w:p>
    <w:p w14:paraId="04B3B5AE" w14:textId="77777777" w:rsidR="00893CCA" w:rsidRPr="00EB2E7B" w:rsidRDefault="00893CCA"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 zabezpieczenie od pracy wyspowej (</w:t>
      </w:r>
      <w:proofErr w:type="spellStart"/>
      <w:r w:rsidRPr="00EB2E7B">
        <w:rPr>
          <w:rFonts w:asciiTheme="minorHAnsi" w:hAnsiTheme="minorHAnsi" w:cstheme="minorHAnsi"/>
          <w:sz w:val="20"/>
          <w:szCs w:val="20"/>
        </w:rPr>
        <w:t>LoM</w:t>
      </w:r>
      <w:proofErr w:type="spellEnd"/>
      <w:r w:rsidRPr="00EB2E7B">
        <w:rPr>
          <w:rFonts w:asciiTheme="minorHAnsi" w:hAnsiTheme="minorHAnsi" w:cstheme="minorHAnsi"/>
          <w:sz w:val="20"/>
          <w:szCs w:val="20"/>
        </w:rPr>
        <w:t xml:space="preserve">). </w:t>
      </w:r>
    </w:p>
    <w:p w14:paraId="78060F4A" w14:textId="43558E55" w:rsidR="00F943AB" w:rsidRPr="00EB2E7B" w:rsidRDefault="00893CCA"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Nastawy poszczególnych zabezpieczeń muszą być możliwe do ustawienia w miejscu zainstalowania urządzenia sterującego. Wymagane jest zapewnienie ochrony przed nieuprawnioną ingerencją w ustawienia nastaw zabezpieczeń - zmiana nastaw zabezpieczeń nie może być dokonana samodzielnie przez właściciela mikroinstalacji. Nastawy poszczególnych zabezpieczeń nie mogą przekraczać granicznych wartości oraz innych parametrów ustalonych i wskazanych przez ACPRO, mających wpływ na pracę sieci elektroenergetycznej.</w:t>
      </w:r>
    </w:p>
    <w:p w14:paraId="397E033B" w14:textId="77777777" w:rsidR="00893CCA" w:rsidRPr="00EB2E7B" w:rsidRDefault="00FB03C2" w:rsidP="006C12D5">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Wymagane nastawy układu zabezpieczeń:</w:t>
      </w:r>
    </w:p>
    <w:p w14:paraId="56B8AC58" w14:textId="02F18455" w:rsidR="00A246F9" w:rsidRPr="00EB2E7B" w:rsidRDefault="00A246F9" w:rsidP="00B01C33">
      <w:pPr>
        <w:ind w:left="1134"/>
        <w:rPr>
          <w:rFonts w:asciiTheme="minorHAnsi" w:hAnsiTheme="minorHAnsi" w:cstheme="minorHAnsi"/>
          <w:sz w:val="20"/>
          <w:szCs w:val="20"/>
        </w:rPr>
      </w:pPr>
      <w:r w:rsidRPr="00EB2E7B">
        <w:rPr>
          <w:rFonts w:asciiTheme="minorHAnsi" w:hAnsiTheme="minorHAnsi" w:cstheme="minorHAnsi"/>
          <w:sz w:val="20"/>
          <w:szCs w:val="20"/>
        </w:rPr>
        <w:t xml:space="preserve">W tabeli </w:t>
      </w:r>
      <w:r w:rsidR="00A23000" w:rsidRPr="00EB2E7B">
        <w:rPr>
          <w:rFonts w:asciiTheme="minorHAnsi" w:hAnsiTheme="minorHAnsi" w:cstheme="minorHAnsi"/>
          <w:sz w:val="20"/>
          <w:szCs w:val="20"/>
        </w:rPr>
        <w:t>nr 1</w:t>
      </w:r>
      <w:r w:rsidRPr="00EB2E7B">
        <w:rPr>
          <w:rFonts w:asciiTheme="minorHAnsi" w:hAnsiTheme="minorHAnsi" w:cstheme="minorHAnsi"/>
          <w:sz w:val="20"/>
          <w:szCs w:val="20"/>
        </w:rPr>
        <w:t xml:space="preserve"> przedstawiono wymagane nastawy poszczególnych zabezpieczeń, wchodzących w skład układu zabezpieczeń</w:t>
      </w:r>
      <w:r w:rsidR="0041116F" w:rsidRPr="00EB2E7B">
        <w:rPr>
          <w:rFonts w:asciiTheme="minorHAnsi" w:hAnsiTheme="minorHAnsi" w:cstheme="minorHAnsi"/>
          <w:sz w:val="20"/>
          <w:szCs w:val="20"/>
        </w:rPr>
        <w:t>.</w:t>
      </w:r>
    </w:p>
    <w:p w14:paraId="20EC35DB" w14:textId="65D13DB4" w:rsidR="00A246F9" w:rsidRPr="00EB2E7B" w:rsidRDefault="00A246F9" w:rsidP="00A246F9">
      <w:pPr>
        <w:ind w:left="1134"/>
        <w:rPr>
          <w:rFonts w:asciiTheme="minorHAnsi" w:hAnsiTheme="minorHAnsi" w:cstheme="minorHAnsi"/>
          <w:i/>
          <w:sz w:val="20"/>
          <w:szCs w:val="20"/>
        </w:rPr>
      </w:pPr>
      <w:r w:rsidRPr="00EB2E7B">
        <w:rPr>
          <w:rFonts w:asciiTheme="minorHAnsi" w:hAnsiTheme="minorHAnsi" w:cstheme="minorHAnsi"/>
          <w:i/>
          <w:sz w:val="20"/>
          <w:szCs w:val="20"/>
        </w:rPr>
        <w:t>Tabela nr 1. Nastawy układu zabezpieczeń</w:t>
      </w:r>
    </w:p>
    <w:p w14:paraId="3CAD875A" w14:textId="4758C060" w:rsidR="00A246F9" w:rsidRPr="00EB2E7B" w:rsidRDefault="002E0AB7" w:rsidP="00B01C33">
      <w:pPr>
        <w:ind w:left="1134"/>
        <w:rPr>
          <w:rFonts w:asciiTheme="minorHAnsi" w:hAnsiTheme="minorHAnsi" w:cstheme="minorHAnsi"/>
          <w:sz w:val="20"/>
          <w:szCs w:val="20"/>
        </w:rPr>
      </w:pPr>
      <w:r w:rsidRPr="00EB2E7B">
        <w:rPr>
          <w:rFonts w:asciiTheme="minorHAnsi" w:hAnsiTheme="minorHAnsi" w:cstheme="minorHAnsi"/>
          <w:noProof/>
          <w:sz w:val="20"/>
          <w:szCs w:val="20"/>
        </w:rPr>
        <w:drawing>
          <wp:inline distT="0" distB="0" distL="0" distR="0" wp14:anchorId="17C20A15" wp14:editId="43116974">
            <wp:extent cx="5104513" cy="3057525"/>
            <wp:effectExtent l="0" t="0" r="1270" b="0"/>
            <wp:docPr id="2068495049" name="Obraz 1" descr="Obraz zawierający tekst, zrzut ekranu, numer,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95049" name="Obraz 1" descr="Obraz zawierający tekst, zrzut ekranu, numer, Czcionka&#10;&#10;Opis wygenerowany automatycznie"/>
                    <pic:cNvPicPr/>
                  </pic:nvPicPr>
                  <pic:blipFill>
                    <a:blip r:embed="rId31"/>
                    <a:stretch>
                      <a:fillRect/>
                    </a:stretch>
                  </pic:blipFill>
                  <pic:spPr>
                    <a:xfrm>
                      <a:off x="0" y="0"/>
                      <a:ext cx="5135733" cy="3076226"/>
                    </a:xfrm>
                    <a:prstGeom prst="rect">
                      <a:avLst/>
                    </a:prstGeom>
                  </pic:spPr>
                </pic:pic>
              </a:graphicData>
            </a:graphic>
          </wp:inline>
        </w:drawing>
      </w:r>
    </w:p>
    <w:p w14:paraId="608AEFD9" w14:textId="77777777" w:rsidR="0088310A" w:rsidRPr="00EB2E7B" w:rsidRDefault="00074EAF"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Zabezpieczenia </w:t>
      </w:r>
      <w:proofErr w:type="spellStart"/>
      <w:r w:rsidRPr="00EB2E7B">
        <w:rPr>
          <w:rFonts w:asciiTheme="minorHAnsi" w:hAnsiTheme="minorHAnsi" w:cstheme="minorHAnsi"/>
          <w:sz w:val="20"/>
          <w:szCs w:val="20"/>
        </w:rPr>
        <w:t>LoM</w:t>
      </w:r>
      <w:proofErr w:type="spellEnd"/>
      <w:r w:rsidRPr="00EB2E7B">
        <w:rPr>
          <w:rFonts w:asciiTheme="minorHAnsi" w:hAnsiTheme="minorHAnsi" w:cstheme="minorHAnsi"/>
          <w:sz w:val="20"/>
          <w:szCs w:val="20"/>
        </w:rPr>
        <w:t xml:space="preserve"> wykorzystują uznane techniki, wykrywające w sposób pewny zanik zasilania z sieci dystrybucyjnej.</w:t>
      </w:r>
      <w:r w:rsidR="0088310A"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Nie dopuszcza się stosowania zabezpieczeń wykorzystujących metody związane z iniekcją pulsów do sieci dystrybucyjnej. </w:t>
      </w:r>
    </w:p>
    <w:p w14:paraId="1EB32B16" w14:textId="41DDED37" w:rsidR="00074EAF" w:rsidRPr="00EB2E7B" w:rsidRDefault="00074EAF"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Informacje na temat nastaw zabezpieczeń powinny być możliwe do odczytania z mikroinstalacji w szczególności z wyświetlacza, interfejsu użytkownika lub przez port komunikacyjny oraz określone w technicznej dokumentacji indywidualnej dla danej mikroinstalacji, dołączonej przez producenta lub instalatora</w:t>
      </w:r>
      <w:r w:rsidR="00E973F5" w:rsidRPr="00EB2E7B">
        <w:rPr>
          <w:rFonts w:asciiTheme="minorHAnsi" w:hAnsiTheme="minorHAnsi" w:cstheme="minorHAnsi"/>
          <w:sz w:val="20"/>
          <w:szCs w:val="20"/>
        </w:rPr>
        <w:t>.</w:t>
      </w:r>
    </w:p>
    <w:p w14:paraId="232054B2" w14:textId="41FC3CE1" w:rsidR="006C12D5" w:rsidRPr="00EB2E7B" w:rsidRDefault="0088310A" w:rsidP="006C12D5">
      <w:pPr>
        <w:pStyle w:val="ANagwek5"/>
        <w:numPr>
          <w:ilvl w:val="3"/>
          <w:numId w:val="443"/>
        </w:numPr>
        <w:ind w:left="1134" w:hanging="1134"/>
        <w:rPr>
          <w:rFonts w:asciiTheme="minorHAnsi" w:hAnsiTheme="minorHAnsi" w:cstheme="minorHAnsi"/>
          <w:sz w:val="20"/>
          <w:szCs w:val="20"/>
        </w:rPr>
      </w:pPr>
      <w:r w:rsidRPr="00EB2E7B">
        <w:rPr>
          <w:rFonts w:asciiTheme="minorHAnsi" w:hAnsiTheme="minorHAnsi" w:cstheme="minorHAnsi"/>
          <w:sz w:val="20"/>
          <w:szCs w:val="20"/>
        </w:rPr>
        <w:t xml:space="preserve">Dopuszcza się możliwość pracy mikroinstalacji na potrzeby własne instalacji odbiorczej przy zaniku napięcia w sieci ACPRO. Rozwiązanie takie jest możliwe wyłącznie w przypadku zastosowania w instalacji odbiorczej rozłącznika stwarzającego w sposób automatyczny, na okres braku napięcia w sieci ACPRO, przerwę izolacyjną pomiędzy instalacją odbiorczą, a siecią </w:t>
      </w:r>
      <w:r w:rsidR="00E973F5" w:rsidRPr="00EB2E7B">
        <w:rPr>
          <w:rFonts w:asciiTheme="minorHAnsi" w:hAnsiTheme="minorHAnsi" w:cstheme="minorHAnsi"/>
          <w:sz w:val="20"/>
          <w:szCs w:val="20"/>
        </w:rPr>
        <w:t>ACPRO</w:t>
      </w:r>
      <w:r w:rsidR="00074EAF" w:rsidRPr="00EB2E7B">
        <w:rPr>
          <w:rFonts w:asciiTheme="minorHAnsi" w:hAnsiTheme="minorHAnsi" w:cstheme="minorHAnsi"/>
          <w:sz w:val="20"/>
          <w:szCs w:val="20"/>
        </w:rPr>
        <w:t>.</w:t>
      </w:r>
      <w:r w:rsidR="006C12D5" w:rsidRPr="00EB2E7B">
        <w:rPr>
          <w:rFonts w:asciiTheme="minorHAnsi" w:hAnsiTheme="minorHAnsi" w:cstheme="minorHAnsi"/>
          <w:sz w:val="20"/>
          <w:szCs w:val="20"/>
        </w:rPr>
        <w:t xml:space="preserve"> </w:t>
      </w:r>
    </w:p>
    <w:p w14:paraId="7284E86D" w14:textId="52A0F99E" w:rsidR="00FB03C2" w:rsidRPr="00EB2E7B" w:rsidRDefault="00FB03C2" w:rsidP="009A432E">
      <w:pPr>
        <w:pStyle w:val="ANagwek4"/>
        <w:numPr>
          <w:ilvl w:val="2"/>
          <w:numId w:val="443"/>
        </w:numPr>
        <w:rPr>
          <w:rFonts w:asciiTheme="minorHAnsi" w:hAnsiTheme="minorHAnsi" w:cstheme="minorHAnsi"/>
          <w:sz w:val="20"/>
          <w:szCs w:val="20"/>
        </w:rPr>
      </w:pPr>
      <w:r w:rsidRPr="00EB2E7B">
        <w:rPr>
          <w:rFonts w:asciiTheme="minorHAnsi" w:hAnsiTheme="minorHAnsi" w:cstheme="minorHAnsi"/>
          <w:sz w:val="20"/>
          <w:szCs w:val="20"/>
        </w:rPr>
        <w:t>Jakość energii</w:t>
      </w:r>
    </w:p>
    <w:p w14:paraId="4F0D031F" w14:textId="1CA25C57" w:rsidR="00FB03C2" w:rsidRPr="00EB2E7B" w:rsidRDefault="00FD1CDC" w:rsidP="00B01C33">
      <w:pPr>
        <w:pStyle w:val="NormalnyIRiESD"/>
        <w:numPr>
          <w:ilvl w:val="0"/>
          <w:numId w:val="0"/>
        </w:numPr>
        <w:ind w:left="1134"/>
        <w:rPr>
          <w:rFonts w:asciiTheme="minorHAnsi" w:hAnsiTheme="minorHAnsi" w:cstheme="minorHAnsi"/>
          <w:sz w:val="20"/>
          <w:szCs w:val="20"/>
        </w:rPr>
      </w:pPr>
      <w:proofErr w:type="spellStart"/>
      <w:r w:rsidRPr="00EB2E7B">
        <w:rPr>
          <w:rFonts w:asciiTheme="minorHAnsi" w:hAnsiTheme="minorHAnsi" w:cstheme="minorHAnsi"/>
          <w:sz w:val="20"/>
          <w:szCs w:val="20"/>
        </w:rPr>
        <w:t>Mikroinstalacje</w:t>
      </w:r>
      <w:proofErr w:type="spellEnd"/>
      <w:r w:rsidRPr="00EB2E7B">
        <w:rPr>
          <w:rFonts w:asciiTheme="minorHAnsi" w:hAnsiTheme="minorHAnsi" w:cstheme="minorHAnsi"/>
          <w:sz w:val="20"/>
          <w:szCs w:val="20"/>
        </w:rPr>
        <w:t xml:space="preserve"> muszą spełniać wymagania norm dotyczących jakości energii wprowadzanej do sieci oraz dyrektyw dotyczących kompatybilności elektromagnetycznej i Ustawy.</w:t>
      </w:r>
    </w:p>
    <w:p w14:paraId="06B5943F" w14:textId="77777777" w:rsidR="003C7605" w:rsidRPr="00EB2E7B" w:rsidRDefault="003C7605" w:rsidP="00B01C33">
      <w:pPr>
        <w:pStyle w:val="NormalnyIRiESD"/>
        <w:numPr>
          <w:ilvl w:val="0"/>
          <w:numId w:val="0"/>
        </w:numPr>
        <w:rPr>
          <w:rFonts w:asciiTheme="minorHAnsi" w:hAnsiTheme="minorHAnsi" w:cstheme="minorHAnsi"/>
          <w:sz w:val="20"/>
          <w:szCs w:val="20"/>
        </w:rPr>
      </w:pPr>
    </w:p>
    <w:p w14:paraId="387AFEC8" w14:textId="77777777" w:rsidR="006A1802" w:rsidRPr="00EB2E7B" w:rsidRDefault="006A1802" w:rsidP="004854C6">
      <w:pPr>
        <w:pStyle w:val="ANagwek3"/>
        <w:numPr>
          <w:ilvl w:val="1"/>
          <w:numId w:val="443"/>
        </w:numPr>
        <w:rPr>
          <w:rFonts w:asciiTheme="minorHAnsi" w:hAnsiTheme="minorHAnsi" w:cstheme="minorHAnsi"/>
          <w:sz w:val="20"/>
          <w:szCs w:val="20"/>
        </w:rPr>
      </w:pPr>
      <w:r w:rsidRPr="00EB2E7B">
        <w:rPr>
          <w:rFonts w:asciiTheme="minorHAnsi" w:hAnsiTheme="minorHAnsi" w:cstheme="minorHAnsi"/>
          <w:sz w:val="20"/>
          <w:szCs w:val="20"/>
        </w:rPr>
        <w:t>Praca i bezpieczeństwo mikroinstalacji</w:t>
      </w:r>
    </w:p>
    <w:p w14:paraId="0A751BB8" w14:textId="77777777" w:rsidR="00877C6E" w:rsidRPr="00EB2E7B" w:rsidRDefault="00877C6E" w:rsidP="009A432E">
      <w:pPr>
        <w:pStyle w:val="ANagwek4"/>
        <w:numPr>
          <w:ilvl w:val="2"/>
          <w:numId w:val="443"/>
        </w:numPr>
        <w:rPr>
          <w:rFonts w:asciiTheme="minorHAnsi" w:hAnsiTheme="minorHAnsi" w:cstheme="minorHAnsi"/>
          <w:sz w:val="20"/>
          <w:szCs w:val="20"/>
        </w:rPr>
      </w:pPr>
      <w:r w:rsidRPr="00EB2E7B">
        <w:rPr>
          <w:rFonts w:asciiTheme="minorHAnsi" w:hAnsiTheme="minorHAnsi" w:cstheme="minorHAnsi"/>
          <w:sz w:val="20"/>
          <w:szCs w:val="20"/>
        </w:rPr>
        <w:t xml:space="preserve">Nastawy zadanych wartości, możliwych do ustawienia w mikroinstalacji, muszą być możliwe do odczytania z mikroinstalacji, np. z wyświetlacza, interfejsu użytkownika lub poprzez port komunikacyjny. </w:t>
      </w:r>
    </w:p>
    <w:p w14:paraId="5FCAE65B" w14:textId="4DECA4A5" w:rsidR="00877C6E" w:rsidRPr="00EB2E7B" w:rsidRDefault="00877C6E" w:rsidP="009A432E">
      <w:pPr>
        <w:pStyle w:val="ANagwek4"/>
        <w:numPr>
          <w:ilvl w:val="2"/>
          <w:numId w:val="443"/>
        </w:numPr>
        <w:rPr>
          <w:rFonts w:asciiTheme="minorHAnsi" w:hAnsiTheme="minorHAnsi" w:cstheme="minorHAnsi"/>
          <w:sz w:val="20"/>
          <w:szCs w:val="20"/>
        </w:rPr>
      </w:pPr>
      <w:r w:rsidRPr="00EB2E7B">
        <w:rPr>
          <w:rFonts w:asciiTheme="minorHAnsi" w:hAnsiTheme="minorHAnsi" w:cstheme="minorHAnsi"/>
          <w:sz w:val="20"/>
          <w:szCs w:val="20"/>
        </w:rPr>
        <w:t>Tabliczka znamionowa mikroinstalacji ma posiadać co najmniej następujące informacje:</w:t>
      </w:r>
    </w:p>
    <w:p w14:paraId="6CA3F68E" w14:textId="77777777" w:rsidR="00C1584C" w:rsidRPr="00EB2E7B" w:rsidRDefault="00C1584C" w:rsidP="00B01C33">
      <w:pPr>
        <w:pStyle w:val="Akapitzlist"/>
        <w:numPr>
          <w:ilvl w:val="0"/>
          <w:numId w:val="45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nazwę producenta lub znak firmowy, </w:t>
      </w:r>
    </w:p>
    <w:p w14:paraId="78A0ECBD" w14:textId="77777777" w:rsidR="00C1584C" w:rsidRPr="00EB2E7B" w:rsidRDefault="00C1584C" w:rsidP="00B01C33">
      <w:pPr>
        <w:pStyle w:val="Akapitzlist"/>
        <w:numPr>
          <w:ilvl w:val="0"/>
          <w:numId w:val="45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określenie typu, numer identyfikacyjny, oznaczenie serii lub partii i numer seryjny, </w:t>
      </w:r>
    </w:p>
    <w:p w14:paraId="1AC89920" w14:textId="77777777" w:rsidR="00C1584C" w:rsidRPr="00EB2E7B" w:rsidRDefault="00C1584C" w:rsidP="00B01C33">
      <w:pPr>
        <w:pStyle w:val="Akapitzlist"/>
        <w:numPr>
          <w:ilvl w:val="0"/>
          <w:numId w:val="45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moc znamionową, </w:t>
      </w:r>
    </w:p>
    <w:p w14:paraId="3E215316" w14:textId="77777777" w:rsidR="00C1584C" w:rsidRPr="00EB2E7B" w:rsidRDefault="00C1584C" w:rsidP="00B01C33">
      <w:pPr>
        <w:pStyle w:val="Akapitzlist"/>
        <w:numPr>
          <w:ilvl w:val="0"/>
          <w:numId w:val="45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napięcie znamionowe, </w:t>
      </w:r>
    </w:p>
    <w:p w14:paraId="28E7F53E" w14:textId="77777777" w:rsidR="00C1584C" w:rsidRPr="00EB2E7B" w:rsidRDefault="00C1584C" w:rsidP="00B01C33">
      <w:pPr>
        <w:pStyle w:val="Akapitzlist"/>
        <w:numPr>
          <w:ilvl w:val="0"/>
          <w:numId w:val="45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częstotliwość znamionowa, </w:t>
      </w:r>
    </w:p>
    <w:p w14:paraId="2FF409DE" w14:textId="77777777" w:rsidR="00C1584C" w:rsidRPr="00EB2E7B" w:rsidRDefault="00C1584C" w:rsidP="00B01C33">
      <w:pPr>
        <w:pStyle w:val="Akapitzlist"/>
        <w:numPr>
          <w:ilvl w:val="0"/>
          <w:numId w:val="45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zakres regulacji współczynnika przesunięcia fazowego podstawowych harmonicznych napięcia i prądu, </w:t>
      </w:r>
    </w:p>
    <w:p w14:paraId="039145AA" w14:textId="654C01F5" w:rsidR="00877C6E" w:rsidRPr="00EB2E7B" w:rsidRDefault="00C1584C" w:rsidP="00B01C33">
      <w:pPr>
        <w:pStyle w:val="Akapitzlist"/>
        <w:numPr>
          <w:ilvl w:val="0"/>
          <w:numId w:val="459"/>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oznakowanie CE.</w:t>
      </w:r>
    </w:p>
    <w:p w14:paraId="690C7982" w14:textId="77777777" w:rsidR="00877C6E" w:rsidRPr="00EB2E7B" w:rsidRDefault="00877C6E"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Informacje te muszą być umieszczone również w instrukcji obsługi. Dodatkowo na tabliczce znamionowej powinien być umieszczony numer seryjny. </w:t>
      </w:r>
    </w:p>
    <w:p w14:paraId="3E6C6C62" w14:textId="77777777" w:rsidR="00877C6E" w:rsidRPr="00EB2E7B" w:rsidRDefault="00877C6E"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Wszystkie informacje powinny być podane w języku polskim. </w:t>
      </w:r>
    </w:p>
    <w:p w14:paraId="3E95FC11" w14:textId="77777777" w:rsidR="00877C6E" w:rsidRPr="00EB2E7B" w:rsidRDefault="00877C6E"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W miejscach z dostępnymi elementami pod napięciem należy stosować etykiety ostrzegawcze.</w:t>
      </w:r>
    </w:p>
    <w:p w14:paraId="2AF5E867" w14:textId="777211A4" w:rsidR="003C7605" w:rsidRPr="00EB2E7B" w:rsidRDefault="00B127D6" w:rsidP="009A432E">
      <w:pPr>
        <w:pStyle w:val="ANagwek4"/>
        <w:numPr>
          <w:ilvl w:val="2"/>
          <w:numId w:val="443"/>
        </w:numPr>
        <w:rPr>
          <w:rFonts w:asciiTheme="minorHAnsi" w:hAnsiTheme="minorHAnsi" w:cstheme="minorHAnsi"/>
          <w:sz w:val="20"/>
          <w:szCs w:val="20"/>
        </w:rPr>
      </w:pPr>
      <w:r w:rsidRPr="00EB2E7B">
        <w:rPr>
          <w:rFonts w:asciiTheme="minorHAnsi" w:hAnsiTheme="minorHAnsi" w:cstheme="minorHAnsi"/>
          <w:sz w:val="20"/>
          <w:szCs w:val="20"/>
        </w:rPr>
        <w:t>Inne wymagania dotyczące przekazania mikroinstalacji do eksploatacji:</w:t>
      </w:r>
    </w:p>
    <w:p w14:paraId="6E627043" w14:textId="5179B320" w:rsidR="004E17BA" w:rsidRPr="00EB2E7B" w:rsidRDefault="004E17BA" w:rsidP="00B01C33">
      <w:pPr>
        <w:pStyle w:val="Akapitzlist"/>
        <w:numPr>
          <w:ilvl w:val="0"/>
          <w:numId w:val="46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Producent musi dostarczyć instrukcję montażu zgodnie z normami i wymaganiami krajowymi, </w:t>
      </w:r>
    </w:p>
    <w:p w14:paraId="6BE4ACF4" w14:textId="77777777" w:rsidR="004E17BA" w:rsidRPr="00EB2E7B" w:rsidRDefault="004E17BA" w:rsidP="00B01C33">
      <w:pPr>
        <w:pStyle w:val="Akapitzlist"/>
        <w:numPr>
          <w:ilvl w:val="0"/>
          <w:numId w:val="46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Urządzenia wchodzące w skład mikroinstalacji muszą podlegać badaniom typu pod względem wymagań odpowiednich norm w zakresie współpracy z siecią, w przypadku braku stosownych norm wyrobu, </w:t>
      </w:r>
    </w:p>
    <w:p w14:paraId="3FF7BF89" w14:textId="77777777" w:rsidR="004E17BA" w:rsidRPr="00EB2E7B" w:rsidRDefault="004E17BA" w:rsidP="00B01C33">
      <w:pPr>
        <w:pStyle w:val="Akapitzlist"/>
        <w:numPr>
          <w:ilvl w:val="0"/>
          <w:numId w:val="46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Montaż musi być wykonany przez instalatorów posiadających odpowiednie i potwierdzone kwalifikacje, </w:t>
      </w:r>
    </w:p>
    <w:p w14:paraId="38C7AB83" w14:textId="1F0D6114" w:rsidR="004E17BA" w:rsidRPr="00EB2E7B" w:rsidRDefault="004E17BA" w:rsidP="00B01C33">
      <w:pPr>
        <w:pStyle w:val="Akapitzlist"/>
        <w:numPr>
          <w:ilvl w:val="0"/>
          <w:numId w:val="460"/>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Właściciel mikroinstalacji musi dysponować</w:t>
      </w:r>
      <w:r w:rsidR="005A40A9" w:rsidRPr="00EB2E7B">
        <w:rPr>
          <w:rFonts w:asciiTheme="minorHAnsi" w:hAnsiTheme="minorHAnsi" w:cstheme="minorHAnsi"/>
          <w:sz w:val="20"/>
          <w:szCs w:val="20"/>
        </w:rPr>
        <w:t xml:space="preserve"> przygotowanym przez instalatora schematem jednokresowym mikroinstalacji</w:t>
      </w:r>
    </w:p>
    <w:p w14:paraId="13998676" w14:textId="0471FAF7" w:rsidR="00AA4A2D" w:rsidRPr="00EB2E7B" w:rsidRDefault="006A1802" w:rsidP="004854C6">
      <w:pPr>
        <w:pStyle w:val="ANagwek3"/>
        <w:numPr>
          <w:ilvl w:val="1"/>
          <w:numId w:val="443"/>
        </w:numPr>
        <w:rPr>
          <w:rFonts w:asciiTheme="minorHAnsi" w:hAnsiTheme="minorHAnsi" w:cstheme="minorHAnsi"/>
          <w:sz w:val="20"/>
          <w:szCs w:val="20"/>
        </w:rPr>
      </w:pPr>
      <w:r w:rsidRPr="00EB2E7B">
        <w:rPr>
          <w:rFonts w:asciiTheme="minorHAnsi" w:hAnsiTheme="minorHAnsi" w:cstheme="minorHAnsi"/>
          <w:sz w:val="20"/>
          <w:szCs w:val="20"/>
        </w:rPr>
        <w:t>Zestawienie zbiorcze wymagań i uwagi końcowe</w:t>
      </w:r>
    </w:p>
    <w:p w14:paraId="5909797C" w14:textId="69C18EE3" w:rsidR="005A40A9" w:rsidRPr="00EB2E7B" w:rsidRDefault="005A40A9"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Zbiorcze zestawienie wymagań dla systemów generacji w zależności o zainstalowanej mocy przedstawiono w tabeli </w:t>
      </w:r>
      <w:r w:rsidR="00850723" w:rsidRPr="00EB2E7B">
        <w:rPr>
          <w:rFonts w:asciiTheme="minorHAnsi" w:hAnsiTheme="minorHAnsi" w:cstheme="minorHAnsi"/>
          <w:sz w:val="20"/>
          <w:szCs w:val="20"/>
        </w:rPr>
        <w:t>2</w:t>
      </w:r>
      <w:r w:rsidRPr="00EB2E7B">
        <w:rPr>
          <w:rFonts w:asciiTheme="minorHAnsi" w:hAnsiTheme="minorHAnsi" w:cstheme="minorHAnsi"/>
          <w:sz w:val="20"/>
          <w:szCs w:val="20"/>
        </w:rPr>
        <w:t xml:space="preserve">. </w:t>
      </w:r>
    </w:p>
    <w:p w14:paraId="160D0242" w14:textId="32EE0DCB" w:rsidR="005A40A9" w:rsidRPr="00EB2E7B" w:rsidRDefault="005A40A9" w:rsidP="00B01C33">
      <w:pPr>
        <w:ind w:left="1134" w:firstLine="0"/>
        <w:rPr>
          <w:rFonts w:asciiTheme="minorHAnsi" w:hAnsiTheme="minorHAnsi" w:cstheme="minorHAnsi"/>
          <w:sz w:val="20"/>
          <w:szCs w:val="20"/>
        </w:rPr>
      </w:pPr>
      <w:r w:rsidRPr="00EB2E7B">
        <w:rPr>
          <w:rFonts w:asciiTheme="minorHAnsi" w:hAnsiTheme="minorHAnsi" w:cstheme="minorHAnsi"/>
          <w:sz w:val="20"/>
          <w:szCs w:val="20"/>
        </w:rPr>
        <w:t>W przypadku wątpliwości interpretacyjnych należy wystąpić ze stosowanym zapytaniem do ACPRO</w:t>
      </w:r>
      <w:r w:rsidR="00192E87" w:rsidRPr="00EB2E7B">
        <w:rPr>
          <w:rFonts w:asciiTheme="minorHAnsi" w:hAnsiTheme="minorHAnsi" w:cstheme="minorHAnsi"/>
          <w:sz w:val="20"/>
          <w:szCs w:val="20"/>
        </w:rPr>
        <w:t>.</w:t>
      </w:r>
    </w:p>
    <w:p w14:paraId="2CA14A9D" w14:textId="6E504CEB" w:rsidR="00ED10C3" w:rsidRPr="00EB2E7B" w:rsidRDefault="00850723" w:rsidP="00B01C33">
      <w:pPr>
        <w:ind w:left="1134" w:firstLine="0"/>
        <w:rPr>
          <w:rFonts w:asciiTheme="minorHAnsi" w:hAnsiTheme="minorHAnsi" w:cstheme="minorHAnsi"/>
          <w:i/>
          <w:sz w:val="20"/>
          <w:szCs w:val="20"/>
        </w:rPr>
      </w:pPr>
      <w:r w:rsidRPr="00EB2E7B">
        <w:rPr>
          <w:rFonts w:asciiTheme="minorHAnsi" w:hAnsiTheme="minorHAnsi" w:cstheme="minorHAnsi"/>
          <w:i/>
          <w:sz w:val="20"/>
          <w:szCs w:val="20"/>
        </w:rPr>
        <w:t xml:space="preserve">Tabela nr 2. </w:t>
      </w:r>
      <w:r w:rsidR="00ED10C3" w:rsidRPr="00EB2E7B">
        <w:rPr>
          <w:rFonts w:asciiTheme="minorHAnsi" w:hAnsiTheme="minorHAnsi" w:cstheme="minorHAnsi"/>
          <w:i/>
          <w:sz w:val="20"/>
          <w:szCs w:val="20"/>
        </w:rPr>
        <w:t>Zbiorcze zestawienie wymagań dla mikroinstalacji w zależności od mocy zainstalowanej</w:t>
      </w:r>
    </w:p>
    <w:tbl>
      <w:tblPr>
        <w:tblStyle w:val="Tabela-Siatka"/>
        <w:tblW w:w="0" w:type="auto"/>
        <w:tblInd w:w="1134" w:type="dxa"/>
        <w:tblLook w:val="04A0" w:firstRow="1" w:lastRow="0" w:firstColumn="1" w:lastColumn="0" w:noHBand="0" w:noVBand="1"/>
      </w:tblPr>
      <w:tblGrid>
        <w:gridCol w:w="3256"/>
        <w:gridCol w:w="1984"/>
        <w:gridCol w:w="788"/>
        <w:gridCol w:w="2009"/>
      </w:tblGrid>
      <w:tr w:rsidR="005F0073" w:rsidRPr="00EB2E7B" w14:paraId="5E64DA61" w14:textId="77777777" w:rsidTr="00B01C33">
        <w:tc>
          <w:tcPr>
            <w:tcW w:w="3256" w:type="dxa"/>
          </w:tcPr>
          <w:p w14:paraId="52F09522" w14:textId="722195AD" w:rsidR="005F0073" w:rsidRPr="00EB2E7B" w:rsidRDefault="005F0073" w:rsidP="009A432E">
            <w:pPr>
              <w:pStyle w:val="ANagwek4"/>
              <w:numPr>
                <w:ilvl w:val="0"/>
                <w:numId w:val="0"/>
              </w:numPr>
              <w:rPr>
                <w:rFonts w:asciiTheme="minorHAnsi" w:hAnsiTheme="minorHAnsi" w:cstheme="minorHAnsi"/>
                <w:sz w:val="20"/>
                <w:szCs w:val="20"/>
              </w:rPr>
            </w:pPr>
            <w:proofErr w:type="spellStart"/>
            <w:r w:rsidRPr="00EB2E7B">
              <w:rPr>
                <w:rFonts w:asciiTheme="minorHAnsi" w:eastAsiaTheme="minorEastAsia" w:hAnsiTheme="minorHAnsi" w:cstheme="minorHAnsi"/>
                <w:bCs/>
                <w:sz w:val="20"/>
                <w:szCs w:val="20"/>
              </w:rPr>
              <w:t>P</w:t>
            </w:r>
            <w:r w:rsidRPr="00EB2E7B">
              <w:rPr>
                <w:rFonts w:asciiTheme="minorHAnsi" w:eastAsiaTheme="minorEastAsia" w:hAnsiTheme="minorHAnsi" w:cstheme="minorHAnsi"/>
                <w:sz w:val="20"/>
                <w:szCs w:val="20"/>
              </w:rPr>
              <w:t>n</w:t>
            </w:r>
            <w:proofErr w:type="spellEnd"/>
            <w:r w:rsidRPr="00EB2E7B">
              <w:rPr>
                <w:rFonts w:asciiTheme="minorHAnsi" w:eastAsiaTheme="minorEastAsia" w:hAnsiTheme="minorHAnsi" w:cstheme="minorHAnsi"/>
                <w:sz w:val="20"/>
                <w:szCs w:val="20"/>
              </w:rPr>
              <w:t xml:space="preserve"> [kW]</w:t>
            </w:r>
          </w:p>
        </w:tc>
        <w:tc>
          <w:tcPr>
            <w:tcW w:w="1984" w:type="dxa"/>
          </w:tcPr>
          <w:p w14:paraId="72960FE4" w14:textId="0D77FE9E" w:rsidR="005F0073" w:rsidRPr="00EB2E7B" w:rsidRDefault="005F0073" w:rsidP="009A432E">
            <w:pPr>
              <w:pStyle w:val="ANagwek4"/>
              <w:numPr>
                <w:ilvl w:val="0"/>
                <w:numId w:val="0"/>
              </w:numPr>
              <w:rPr>
                <w:rFonts w:asciiTheme="minorHAnsi" w:hAnsiTheme="minorHAnsi" w:cstheme="minorHAnsi"/>
                <w:sz w:val="20"/>
                <w:szCs w:val="20"/>
              </w:rPr>
            </w:pPr>
            <w:proofErr w:type="spellStart"/>
            <w:r w:rsidRPr="00EB2E7B">
              <w:rPr>
                <w:rFonts w:asciiTheme="minorHAnsi" w:eastAsiaTheme="minorEastAsia" w:hAnsiTheme="minorHAnsi" w:cstheme="minorHAnsi"/>
                <w:sz w:val="20"/>
                <w:szCs w:val="20"/>
              </w:rPr>
              <w:t>Pn</w:t>
            </w:r>
            <w:proofErr w:type="spellEnd"/>
            <w:r w:rsidRPr="00EB2E7B">
              <w:rPr>
                <w:rFonts w:asciiTheme="minorHAnsi" w:eastAsiaTheme="minorEastAsia" w:hAnsiTheme="minorHAnsi" w:cstheme="minorHAnsi"/>
                <w:sz w:val="20"/>
                <w:szCs w:val="20"/>
              </w:rPr>
              <w:t xml:space="preserve"> £ 3,68</w:t>
            </w:r>
          </w:p>
        </w:tc>
        <w:tc>
          <w:tcPr>
            <w:tcW w:w="788" w:type="dxa"/>
          </w:tcPr>
          <w:p w14:paraId="01EC962B" w14:textId="4F6FB51C" w:rsidR="005F0073" w:rsidRPr="00EB2E7B" w:rsidRDefault="005F0073" w:rsidP="009A432E">
            <w:pPr>
              <w:pStyle w:val="ANagwek4"/>
              <w:numPr>
                <w:ilvl w:val="0"/>
                <w:numId w:val="0"/>
              </w:numPr>
              <w:rPr>
                <w:rFonts w:asciiTheme="minorHAnsi" w:hAnsiTheme="minorHAnsi" w:cstheme="minorHAnsi"/>
                <w:sz w:val="20"/>
                <w:szCs w:val="20"/>
              </w:rPr>
            </w:pPr>
            <w:r w:rsidRPr="00EB2E7B">
              <w:rPr>
                <w:rFonts w:asciiTheme="minorHAnsi" w:eastAsiaTheme="minorEastAsia" w:hAnsiTheme="minorHAnsi" w:cstheme="minorHAnsi"/>
                <w:sz w:val="20"/>
                <w:szCs w:val="20"/>
              </w:rPr>
              <w:t xml:space="preserve">3,68 &lt; </w:t>
            </w:r>
            <w:proofErr w:type="spellStart"/>
            <w:r w:rsidRPr="00EB2E7B">
              <w:rPr>
                <w:rFonts w:asciiTheme="minorHAnsi" w:eastAsiaTheme="minorEastAsia" w:hAnsiTheme="minorHAnsi" w:cstheme="minorHAnsi"/>
                <w:sz w:val="20"/>
                <w:szCs w:val="20"/>
              </w:rPr>
              <w:t>Pn</w:t>
            </w:r>
            <w:proofErr w:type="spellEnd"/>
            <w:r w:rsidRPr="00EB2E7B">
              <w:rPr>
                <w:rFonts w:asciiTheme="minorHAnsi" w:eastAsiaTheme="minorEastAsia" w:hAnsiTheme="minorHAnsi" w:cstheme="minorHAnsi"/>
                <w:sz w:val="20"/>
                <w:szCs w:val="20"/>
              </w:rPr>
              <w:t xml:space="preserve"> £ 10</w:t>
            </w:r>
          </w:p>
        </w:tc>
        <w:tc>
          <w:tcPr>
            <w:tcW w:w="2009" w:type="dxa"/>
          </w:tcPr>
          <w:p w14:paraId="6C49984E" w14:textId="4694F4E5" w:rsidR="005F0073" w:rsidRPr="00EB2E7B" w:rsidRDefault="005F0073" w:rsidP="009A432E">
            <w:pPr>
              <w:pStyle w:val="ANagwek4"/>
              <w:numPr>
                <w:ilvl w:val="0"/>
                <w:numId w:val="0"/>
              </w:numPr>
              <w:rPr>
                <w:rFonts w:asciiTheme="minorHAnsi" w:hAnsiTheme="minorHAnsi" w:cstheme="minorHAnsi"/>
                <w:sz w:val="20"/>
                <w:szCs w:val="20"/>
              </w:rPr>
            </w:pPr>
            <w:r w:rsidRPr="00EB2E7B">
              <w:rPr>
                <w:rFonts w:asciiTheme="minorHAnsi" w:eastAsiaTheme="minorEastAsia" w:hAnsiTheme="minorHAnsi" w:cstheme="minorHAnsi"/>
                <w:sz w:val="20"/>
                <w:szCs w:val="20"/>
              </w:rPr>
              <w:t xml:space="preserve">10 &lt; </w:t>
            </w:r>
            <w:proofErr w:type="spellStart"/>
            <w:r w:rsidRPr="00EB2E7B">
              <w:rPr>
                <w:rFonts w:asciiTheme="minorHAnsi" w:eastAsiaTheme="minorEastAsia" w:hAnsiTheme="minorHAnsi" w:cstheme="minorHAnsi"/>
                <w:sz w:val="20"/>
                <w:szCs w:val="20"/>
              </w:rPr>
              <w:t>Pn</w:t>
            </w:r>
            <w:proofErr w:type="spellEnd"/>
            <w:r w:rsidRPr="00EB2E7B">
              <w:rPr>
                <w:rFonts w:asciiTheme="minorHAnsi" w:eastAsiaTheme="minorEastAsia" w:hAnsiTheme="minorHAnsi" w:cstheme="minorHAnsi"/>
                <w:sz w:val="20"/>
                <w:szCs w:val="20"/>
              </w:rPr>
              <w:t xml:space="preserve"> £ 50</w:t>
            </w:r>
          </w:p>
        </w:tc>
      </w:tr>
      <w:tr w:rsidR="00C328C8" w:rsidRPr="00EB2E7B" w14:paraId="795C4D18" w14:textId="77777777" w:rsidTr="00B01C33">
        <w:tc>
          <w:tcPr>
            <w:tcW w:w="3256" w:type="dxa"/>
          </w:tcPr>
          <w:p w14:paraId="682EB2BD" w14:textId="77777777" w:rsidR="00C328C8" w:rsidRPr="00EB2E7B" w:rsidRDefault="00C328C8" w:rsidP="009A432E">
            <w:pPr>
              <w:pStyle w:val="ANagwek4"/>
              <w:numPr>
                <w:ilvl w:val="0"/>
                <w:numId w:val="0"/>
              </w:numPr>
              <w:rPr>
                <w:rFonts w:asciiTheme="minorHAnsi" w:hAnsiTheme="minorHAnsi" w:cstheme="minorHAnsi"/>
                <w:sz w:val="20"/>
                <w:szCs w:val="20"/>
              </w:rPr>
            </w:pPr>
          </w:p>
          <w:p w14:paraId="65F7D6C5" w14:textId="77777777" w:rsidR="00C328C8" w:rsidRPr="00EB2E7B" w:rsidRDefault="00C328C8" w:rsidP="009A432E">
            <w:pPr>
              <w:pStyle w:val="ANagwek4"/>
              <w:numPr>
                <w:ilvl w:val="0"/>
                <w:numId w:val="0"/>
              </w:numPr>
              <w:rPr>
                <w:rFonts w:asciiTheme="minorHAnsi" w:hAnsiTheme="minorHAnsi" w:cstheme="minorHAnsi"/>
                <w:sz w:val="20"/>
                <w:szCs w:val="20"/>
              </w:rPr>
            </w:pPr>
          </w:p>
          <w:p w14:paraId="27411E0E" w14:textId="77777777" w:rsidR="00C328C8" w:rsidRPr="00EB2E7B" w:rsidRDefault="00C328C8" w:rsidP="009A432E">
            <w:pPr>
              <w:pStyle w:val="ANagwek4"/>
              <w:numPr>
                <w:ilvl w:val="0"/>
                <w:numId w:val="0"/>
              </w:numPr>
              <w:rPr>
                <w:rFonts w:asciiTheme="minorHAnsi" w:hAnsiTheme="minorHAnsi" w:cstheme="minorHAnsi"/>
                <w:sz w:val="20"/>
                <w:szCs w:val="20"/>
              </w:rPr>
            </w:pPr>
          </w:p>
          <w:p w14:paraId="5E1A9753" w14:textId="43A18A3D" w:rsidR="00C328C8" w:rsidRPr="00EB2E7B" w:rsidRDefault="00C328C8"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Wymagania w zakresie zdalnego sterowania przez OSD</w:t>
            </w:r>
          </w:p>
        </w:tc>
        <w:tc>
          <w:tcPr>
            <w:tcW w:w="2772" w:type="dxa"/>
            <w:gridSpan w:val="2"/>
          </w:tcPr>
          <w:p w14:paraId="62EFC64C" w14:textId="77777777" w:rsidR="00C328C8" w:rsidRPr="00EB2E7B" w:rsidRDefault="00C328C8" w:rsidP="009A432E">
            <w:pPr>
              <w:pStyle w:val="ANagwek4"/>
              <w:numPr>
                <w:ilvl w:val="0"/>
                <w:numId w:val="0"/>
              </w:numPr>
              <w:rPr>
                <w:rFonts w:asciiTheme="minorHAnsi" w:hAnsiTheme="minorHAnsi" w:cstheme="minorHAnsi"/>
                <w:sz w:val="20"/>
                <w:szCs w:val="20"/>
              </w:rPr>
            </w:pPr>
          </w:p>
        </w:tc>
        <w:tc>
          <w:tcPr>
            <w:tcW w:w="2009" w:type="dxa"/>
          </w:tcPr>
          <w:p w14:paraId="23972B13" w14:textId="0A91D133" w:rsidR="00C328C8" w:rsidRPr="00EB2E7B" w:rsidRDefault="00C328C8"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Możliwość zdalnego sterowania mocą czynną oraz możliwość zdalnego odłączenia mikroinstalacji tj. zaprzestania generacji mocy do sieci dystrybucyjnej</w:t>
            </w:r>
          </w:p>
        </w:tc>
      </w:tr>
      <w:tr w:rsidR="00A415DD" w:rsidRPr="00EB2E7B" w14:paraId="483AF5B4" w14:textId="77777777" w:rsidTr="00B01C33">
        <w:tc>
          <w:tcPr>
            <w:tcW w:w="3256" w:type="dxa"/>
          </w:tcPr>
          <w:p w14:paraId="65067FB6" w14:textId="52333B72" w:rsidR="00A415DD" w:rsidRPr="00EB2E7B" w:rsidRDefault="00953432"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 xml:space="preserve">Automatyczna redukcja mocy czynnej przy f &gt;50,2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wg zadanej charakterystyki P(f) </w:t>
            </w:r>
          </w:p>
        </w:tc>
        <w:tc>
          <w:tcPr>
            <w:tcW w:w="4781" w:type="dxa"/>
            <w:gridSpan w:val="3"/>
          </w:tcPr>
          <w:p w14:paraId="31328CC5" w14:textId="77777777" w:rsidR="00B81C08" w:rsidRPr="00EB2E7B" w:rsidRDefault="00B81C08" w:rsidP="009A432E">
            <w:pPr>
              <w:pStyle w:val="ANagwek4"/>
              <w:numPr>
                <w:ilvl w:val="0"/>
                <w:numId w:val="0"/>
              </w:numPr>
              <w:rPr>
                <w:rFonts w:asciiTheme="minorHAnsi" w:hAnsiTheme="minorHAnsi" w:cstheme="minorHAnsi"/>
                <w:sz w:val="20"/>
                <w:szCs w:val="20"/>
              </w:rPr>
            </w:pPr>
          </w:p>
          <w:p w14:paraId="256253F0" w14:textId="4CB75B33" w:rsidR="00A415DD" w:rsidRPr="00EB2E7B" w:rsidRDefault="00953432"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TAK</w:t>
            </w:r>
          </w:p>
        </w:tc>
      </w:tr>
      <w:tr w:rsidR="00A415DD" w:rsidRPr="00EB2E7B" w14:paraId="217B7D42" w14:textId="77777777" w:rsidTr="00B01C33">
        <w:tc>
          <w:tcPr>
            <w:tcW w:w="3256" w:type="dxa"/>
          </w:tcPr>
          <w:p w14:paraId="18F0DA3A" w14:textId="26A1C625" w:rsidR="00A415DD" w:rsidRPr="00EB2E7B" w:rsidRDefault="00A825B0"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Regulacja mocy biernej według zadanej charakterystyki Q(U) i cos φ (P)</w:t>
            </w:r>
          </w:p>
        </w:tc>
        <w:tc>
          <w:tcPr>
            <w:tcW w:w="4781" w:type="dxa"/>
            <w:gridSpan w:val="3"/>
          </w:tcPr>
          <w:p w14:paraId="1CB36848" w14:textId="77777777" w:rsidR="00A825B0" w:rsidRPr="00EB2E7B" w:rsidRDefault="00A825B0" w:rsidP="009A432E">
            <w:pPr>
              <w:pStyle w:val="ANagwek4"/>
              <w:numPr>
                <w:ilvl w:val="0"/>
                <w:numId w:val="0"/>
              </w:numPr>
              <w:rPr>
                <w:rFonts w:asciiTheme="minorHAnsi" w:hAnsiTheme="minorHAnsi" w:cstheme="minorHAnsi"/>
                <w:sz w:val="20"/>
                <w:szCs w:val="20"/>
              </w:rPr>
            </w:pPr>
          </w:p>
          <w:p w14:paraId="3129890D" w14:textId="3BCF59C3" w:rsidR="00A415DD" w:rsidRPr="00EB2E7B" w:rsidRDefault="00A825B0"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TAK</w:t>
            </w:r>
          </w:p>
        </w:tc>
      </w:tr>
      <w:tr w:rsidR="00A415DD" w:rsidRPr="00EB2E7B" w14:paraId="7746A3AB" w14:textId="77777777" w:rsidTr="00B01C33">
        <w:tc>
          <w:tcPr>
            <w:tcW w:w="3256" w:type="dxa"/>
          </w:tcPr>
          <w:p w14:paraId="420E662A" w14:textId="77777777" w:rsidR="00B81C08" w:rsidRPr="00EB2E7B" w:rsidRDefault="00A825B0"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 xml:space="preserve">Układ zabezpieczeń: </w:t>
            </w:r>
          </w:p>
          <w:p w14:paraId="19811609" w14:textId="27F02028" w:rsidR="00A415DD" w:rsidRPr="00EB2E7B" w:rsidRDefault="00A825B0"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 xml:space="preserve">komplet zabezpieczeń nad- i podnapięciowych, nad- i </w:t>
            </w:r>
            <w:proofErr w:type="spellStart"/>
            <w:r w:rsidRPr="00EB2E7B">
              <w:rPr>
                <w:rFonts w:asciiTheme="minorHAnsi" w:hAnsiTheme="minorHAnsi" w:cstheme="minorHAnsi"/>
                <w:sz w:val="20"/>
                <w:szCs w:val="20"/>
              </w:rPr>
              <w:t>podczęstotliwościowych</w:t>
            </w:r>
            <w:proofErr w:type="spellEnd"/>
            <w:r w:rsidRPr="00EB2E7B">
              <w:rPr>
                <w:rFonts w:asciiTheme="minorHAnsi" w:hAnsiTheme="minorHAnsi" w:cstheme="minorHAnsi"/>
                <w:sz w:val="20"/>
                <w:szCs w:val="20"/>
              </w:rPr>
              <w:t xml:space="preserve"> oraz od pracy wyspowej</w:t>
            </w:r>
          </w:p>
        </w:tc>
        <w:tc>
          <w:tcPr>
            <w:tcW w:w="4781" w:type="dxa"/>
            <w:gridSpan w:val="3"/>
          </w:tcPr>
          <w:p w14:paraId="6CF80E43" w14:textId="77777777" w:rsidR="00A825B0" w:rsidRPr="00EB2E7B" w:rsidRDefault="00A825B0" w:rsidP="009A432E">
            <w:pPr>
              <w:pStyle w:val="ANagwek4"/>
              <w:numPr>
                <w:ilvl w:val="0"/>
                <w:numId w:val="0"/>
              </w:numPr>
              <w:rPr>
                <w:rFonts w:asciiTheme="minorHAnsi" w:hAnsiTheme="minorHAnsi" w:cstheme="minorHAnsi"/>
                <w:sz w:val="20"/>
                <w:szCs w:val="20"/>
              </w:rPr>
            </w:pPr>
          </w:p>
          <w:p w14:paraId="23831844" w14:textId="251D37F2" w:rsidR="00A415DD" w:rsidRPr="00EB2E7B" w:rsidRDefault="00A825B0"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TAK</w:t>
            </w:r>
          </w:p>
        </w:tc>
      </w:tr>
      <w:tr w:rsidR="00A415DD" w:rsidRPr="00EB2E7B" w14:paraId="36818089" w14:textId="77777777" w:rsidTr="00B01C33">
        <w:tc>
          <w:tcPr>
            <w:tcW w:w="3256" w:type="dxa"/>
          </w:tcPr>
          <w:p w14:paraId="6C01D573" w14:textId="1EDF56EF" w:rsidR="00A415DD" w:rsidRPr="00EB2E7B" w:rsidRDefault="00A825B0"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Sposób przyłączenia</w:t>
            </w:r>
          </w:p>
        </w:tc>
        <w:tc>
          <w:tcPr>
            <w:tcW w:w="1984" w:type="dxa"/>
          </w:tcPr>
          <w:p w14:paraId="1D668036" w14:textId="1AF44841" w:rsidR="00A415DD" w:rsidRPr="00EB2E7B" w:rsidRDefault="00A825B0"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1-fazowo lub 3- fazowo</w:t>
            </w:r>
          </w:p>
        </w:tc>
        <w:tc>
          <w:tcPr>
            <w:tcW w:w="2797" w:type="dxa"/>
            <w:gridSpan w:val="2"/>
          </w:tcPr>
          <w:p w14:paraId="49F426CE" w14:textId="47E4F140" w:rsidR="00A415DD" w:rsidRPr="00EB2E7B" w:rsidRDefault="00A825B0" w:rsidP="009A432E">
            <w:pPr>
              <w:pStyle w:val="ANagwek4"/>
              <w:numPr>
                <w:ilvl w:val="0"/>
                <w:numId w:val="0"/>
              </w:numPr>
              <w:rPr>
                <w:rFonts w:asciiTheme="minorHAnsi" w:hAnsiTheme="minorHAnsi" w:cstheme="minorHAnsi"/>
                <w:sz w:val="20"/>
                <w:szCs w:val="20"/>
              </w:rPr>
            </w:pPr>
            <w:r w:rsidRPr="00EB2E7B">
              <w:rPr>
                <w:rFonts w:asciiTheme="minorHAnsi" w:hAnsiTheme="minorHAnsi" w:cstheme="minorHAnsi"/>
                <w:sz w:val="20"/>
                <w:szCs w:val="20"/>
              </w:rPr>
              <w:t>3-fazowo</w:t>
            </w:r>
          </w:p>
        </w:tc>
      </w:tr>
    </w:tbl>
    <w:p w14:paraId="6EAAB0E3" w14:textId="77777777" w:rsidR="00AA4A2D" w:rsidRPr="00EB2E7B" w:rsidRDefault="00AA4A2D" w:rsidP="00B01C33">
      <w:pPr>
        <w:pStyle w:val="NormalnyIRiESD"/>
        <w:numPr>
          <w:ilvl w:val="0"/>
          <w:numId w:val="0"/>
        </w:numPr>
        <w:rPr>
          <w:rFonts w:asciiTheme="minorHAnsi" w:hAnsiTheme="minorHAnsi" w:cstheme="minorHAnsi"/>
          <w:sz w:val="20"/>
          <w:szCs w:val="20"/>
        </w:rPr>
      </w:pPr>
    </w:p>
    <w:p w14:paraId="3DE0789F" w14:textId="504CB5CB" w:rsidR="00EF5EEC" w:rsidRPr="00EB2E7B" w:rsidRDefault="000612B3" w:rsidP="00472992">
      <w:pPr>
        <w:pStyle w:val="ANagwek2"/>
        <w:numPr>
          <w:ilvl w:val="6"/>
          <w:numId w:val="384"/>
        </w:numPr>
        <w:ind w:left="1134" w:hanging="1134"/>
        <w:rPr>
          <w:rFonts w:asciiTheme="minorHAnsi" w:hAnsiTheme="minorHAnsi" w:cstheme="minorHAnsi"/>
          <w:sz w:val="20"/>
          <w:szCs w:val="20"/>
        </w:rPr>
      </w:pPr>
      <w:bookmarkStart w:id="814" w:name="_Toc189833865"/>
      <w:bookmarkStart w:id="815" w:name="_Toc239333465"/>
      <w:r w:rsidRPr="00EB2E7B">
        <w:rPr>
          <w:rFonts w:asciiTheme="minorHAnsi" w:hAnsiTheme="minorHAnsi" w:cstheme="minorHAnsi"/>
          <w:sz w:val="20"/>
          <w:szCs w:val="20"/>
        </w:rPr>
        <w:t>WYMAGANIA TECHNICZNE DLA MAGAZYNÓW ENERGII ELEKTRYCZNEJ PRZYŁĄCZANYCH LUB PRZYŁĄCZONYCH DO SIECI DYSTRYBUCYJNEJ ACPRO</w:t>
      </w:r>
      <w:bookmarkEnd w:id="814"/>
      <w:bookmarkEnd w:id="815"/>
    </w:p>
    <w:p w14:paraId="13518660" w14:textId="0328035B" w:rsidR="009B4FE0" w:rsidRPr="00EB2E7B" w:rsidRDefault="009B4FE0" w:rsidP="004854C6">
      <w:pPr>
        <w:pStyle w:val="ANagwek3"/>
        <w:numPr>
          <w:ilvl w:val="1"/>
          <w:numId w:val="444"/>
        </w:numPr>
        <w:rPr>
          <w:rFonts w:asciiTheme="minorHAnsi" w:hAnsiTheme="minorHAnsi" w:cstheme="minorHAnsi"/>
          <w:sz w:val="20"/>
          <w:szCs w:val="20"/>
        </w:rPr>
      </w:pPr>
      <w:r w:rsidRPr="00EB2E7B">
        <w:rPr>
          <w:rFonts w:asciiTheme="minorHAnsi" w:hAnsiTheme="minorHAnsi" w:cstheme="minorHAnsi"/>
          <w:sz w:val="20"/>
          <w:szCs w:val="20"/>
        </w:rPr>
        <w:t>Postanowienia ogólne</w:t>
      </w:r>
    </w:p>
    <w:p w14:paraId="2D6344CA" w14:textId="101404F1" w:rsidR="003C7605" w:rsidRPr="00EB2E7B" w:rsidRDefault="00356619" w:rsidP="009A432E">
      <w:pPr>
        <w:pStyle w:val="ANagwek4"/>
        <w:numPr>
          <w:ilvl w:val="2"/>
          <w:numId w:val="444"/>
        </w:numPr>
        <w:rPr>
          <w:rFonts w:asciiTheme="minorHAnsi" w:hAnsiTheme="minorHAnsi" w:cstheme="minorHAnsi"/>
          <w:sz w:val="20"/>
          <w:szCs w:val="20"/>
        </w:rPr>
      </w:pPr>
      <w:r w:rsidRPr="00EB2E7B">
        <w:rPr>
          <w:rFonts w:asciiTheme="minorHAnsi" w:hAnsiTheme="minorHAnsi" w:cstheme="minorHAnsi"/>
          <w:sz w:val="20"/>
          <w:szCs w:val="20"/>
        </w:rPr>
        <w:t xml:space="preserve">Ze względu na charakter magazynów energii elektrycznej pracujących w trybie wytwarzania, należy traktować je jako jednostki wytwarzające energie elektryczną w module parku energii. Stąd też, dla magazynów energii elektrycznej obowiązują wymagania takie same jak dla odpowiednich typów modułów wytwarzania zgodnie z zapisami NC </w:t>
      </w:r>
      <w:proofErr w:type="spellStart"/>
      <w:r w:rsidRPr="00EB2E7B">
        <w:rPr>
          <w:rFonts w:asciiTheme="minorHAnsi" w:hAnsiTheme="minorHAnsi" w:cstheme="minorHAnsi"/>
          <w:sz w:val="20"/>
          <w:szCs w:val="20"/>
        </w:rPr>
        <w:t>RfG</w:t>
      </w:r>
      <w:proofErr w:type="spellEnd"/>
      <w:r w:rsidRPr="00EB2E7B">
        <w:rPr>
          <w:rFonts w:asciiTheme="minorHAnsi" w:hAnsiTheme="minorHAnsi" w:cstheme="minorHAnsi"/>
          <w:sz w:val="20"/>
          <w:szCs w:val="20"/>
        </w:rPr>
        <w:t xml:space="preserve"> oraz z zapisami wymogów ogólnego stosowania do NC </w:t>
      </w:r>
      <w:proofErr w:type="spellStart"/>
      <w:r w:rsidRPr="00EB2E7B">
        <w:rPr>
          <w:rFonts w:asciiTheme="minorHAnsi" w:hAnsiTheme="minorHAnsi" w:cstheme="minorHAnsi"/>
          <w:sz w:val="20"/>
          <w:szCs w:val="20"/>
        </w:rPr>
        <w:t>RfG</w:t>
      </w:r>
      <w:proofErr w:type="spellEnd"/>
      <w:r w:rsidRPr="00EB2E7B">
        <w:rPr>
          <w:rFonts w:asciiTheme="minorHAnsi" w:hAnsiTheme="minorHAnsi" w:cstheme="minorHAnsi"/>
          <w:sz w:val="20"/>
          <w:szCs w:val="20"/>
        </w:rPr>
        <w:t>, włącznie z poniższymi, szczegółowymi zapisami w zakresie aktywnej odpowiedzi na odchylenia częstotliwości (tryby: LFSM-O, LFSM-U).</w:t>
      </w:r>
    </w:p>
    <w:p w14:paraId="378A2E12" w14:textId="0082F887" w:rsidR="00AA4A2D" w:rsidRPr="00EB2E7B" w:rsidRDefault="009B4FE0" w:rsidP="004854C6">
      <w:pPr>
        <w:pStyle w:val="ANagwek3"/>
        <w:numPr>
          <w:ilvl w:val="1"/>
          <w:numId w:val="444"/>
        </w:numPr>
        <w:rPr>
          <w:rFonts w:asciiTheme="minorHAnsi" w:hAnsiTheme="minorHAnsi" w:cstheme="minorHAnsi"/>
          <w:sz w:val="20"/>
          <w:szCs w:val="20"/>
        </w:rPr>
      </w:pPr>
      <w:r w:rsidRPr="00EB2E7B">
        <w:rPr>
          <w:rFonts w:asciiTheme="minorHAnsi" w:hAnsiTheme="minorHAnsi" w:cstheme="minorHAnsi"/>
          <w:sz w:val="20"/>
          <w:szCs w:val="20"/>
        </w:rPr>
        <w:t>Aktywna odpowiedź na odchylenia częstotliwości</w:t>
      </w:r>
    </w:p>
    <w:p w14:paraId="73C8441A" w14:textId="77777777" w:rsidR="00907198" w:rsidRPr="00EB2E7B" w:rsidRDefault="00356619" w:rsidP="009A432E">
      <w:pPr>
        <w:pStyle w:val="ANagwek4"/>
        <w:numPr>
          <w:ilvl w:val="2"/>
          <w:numId w:val="444"/>
        </w:numPr>
        <w:rPr>
          <w:rFonts w:asciiTheme="minorHAnsi" w:hAnsiTheme="minorHAnsi" w:cstheme="minorHAnsi"/>
          <w:sz w:val="20"/>
          <w:szCs w:val="20"/>
        </w:rPr>
      </w:pPr>
      <w:r w:rsidRPr="00EB2E7B">
        <w:rPr>
          <w:rFonts w:asciiTheme="minorHAnsi" w:hAnsiTheme="minorHAnsi" w:cstheme="minorHAnsi"/>
          <w:sz w:val="20"/>
          <w:szCs w:val="20"/>
        </w:rPr>
        <w:t>Odpowiedź mocą na podwyższoną częstotliwość (tryb LFSM-O)</w:t>
      </w:r>
    </w:p>
    <w:p w14:paraId="5CDF8FED" w14:textId="77777777" w:rsidR="00907198" w:rsidRPr="00EB2E7B" w:rsidRDefault="00907198" w:rsidP="00AC1A2B">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Magazyny energii elektrycznej, które są w trybie rozładowania, powinny być zdolne do aktywacji odpowiedzi mocą czynną na podwyższoną częstotliwość, analogicznie jak moduły wytwarzania A, B, C i D. </w:t>
      </w:r>
    </w:p>
    <w:p w14:paraId="55F00654" w14:textId="77777777" w:rsidR="00907198" w:rsidRPr="00EB2E7B" w:rsidRDefault="00907198" w:rsidP="00AC1A2B">
      <w:pPr>
        <w:ind w:left="1134"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Magazyny energii elektrycznej, które są w trybie ładowania, w momencie, gdy częstotliwość przekroczy próg częstotliwości dla trybu LFSM-O (50,2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 50,5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wartość domyślna 50,2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nie powinny zmniejszać mocy ładowania poniżej chwilowej mocy czynnej, dopóki częstotliwość nie powróci poniżej progu częstotliwości. Zaleca się, aby magazyny energii elektrycznej zwiększały moc ładowania zgodnie ze skonfigurowanym </w:t>
      </w:r>
      <w:proofErr w:type="spellStart"/>
      <w:r w:rsidRPr="00EB2E7B">
        <w:rPr>
          <w:rFonts w:asciiTheme="minorHAnsi" w:hAnsiTheme="minorHAnsi" w:cstheme="minorHAnsi"/>
          <w:sz w:val="20"/>
          <w:szCs w:val="20"/>
        </w:rPr>
        <w:t>statyzmem</w:t>
      </w:r>
      <w:proofErr w:type="spellEnd"/>
      <w:r w:rsidRPr="00EB2E7B">
        <w:rPr>
          <w:rFonts w:asciiTheme="minorHAnsi" w:hAnsiTheme="minorHAnsi" w:cstheme="minorHAnsi"/>
          <w:sz w:val="20"/>
          <w:szCs w:val="20"/>
        </w:rPr>
        <w:t xml:space="preserve"> (w zakresie 2 do 12%, wartość domyślna 5%). Dopuszcza się zmniejszenie mocy ładowania w przypadku osiągnięcia maksymalnej pojemności ładowania oraz w celu uniknięcia wystąpienia wzrostu </w:t>
      </w:r>
      <w:proofErr w:type="spellStart"/>
      <w:r w:rsidRPr="00EB2E7B">
        <w:rPr>
          <w:rFonts w:asciiTheme="minorHAnsi" w:hAnsiTheme="minorHAnsi" w:cstheme="minorHAnsi"/>
          <w:sz w:val="20"/>
          <w:szCs w:val="20"/>
        </w:rPr>
        <w:t>ryzyk</w:t>
      </w:r>
      <w:proofErr w:type="spellEnd"/>
      <w:r w:rsidRPr="00EB2E7B">
        <w:rPr>
          <w:rFonts w:asciiTheme="minorHAnsi" w:hAnsiTheme="minorHAnsi" w:cstheme="minorHAnsi"/>
          <w:sz w:val="20"/>
          <w:szCs w:val="20"/>
        </w:rPr>
        <w:t xml:space="preserve"> uszkodzenia sprzętu lub zagrożeń otoczenia. </w:t>
      </w:r>
    </w:p>
    <w:p w14:paraId="5524DE0F" w14:textId="733205AA" w:rsidR="00356619" w:rsidRPr="00EB2E7B" w:rsidRDefault="00907198" w:rsidP="00AC1A2B">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Magazyny energii elektrycznej, które są w trybie rozładowania, w odpowiedzi na przekroczenie progu częstotliwości, powinny zmniejszać moc rozładowania zgodnie ze skonfigurowanym </w:t>
      </w:r>
      <w:proofErr w:type="spellStart"/>
      <w:r w:rsidRPr="00EB2E7B">
        <w:rPr>
          <w:rFonts w:asciiTheme="minorHAnsi" w:hAnsiTheme="minorHAnsi" w:cstheme="minorHAnsi"/>
          <w:sz w:val="20"/>
          <w:szCs w:val="20"/>
        </w:rPr>
        <w:t>statyzmem</w:t>
      </w:r>
      <w:proofErr w:type="spellEnd"/>
      <w:r w:rsidRPr="00EB2E7B">
        <w:rPr>
          <w:rFonts w:asciiTheme="minorHAnsi" w:hAnsiTheme="minorHAnsi" w:cstheme="minorHAnsi"/>
          <w:sz w:val="20"/>
          <w:szCs w:val="20"/>
        </w:rPr>
        <w:t>.</w:t>
      </w:r>
    </w:p>
    <w:p w14:paraId="188B5BEE" w14:textId="77777777" w:rsidR="0039309D" w:rsidRPr="00EB2E7B" w:rsidRDefault="00907198" w:rsidP="009A432E">
      <w:pPr>
        <w:pStyle w:val="ANagwek4"/>
        <w:numPr>
          <w:ilvl w:val="2"/>
          <w:numId w:val="444"/>
        </w:numPr>
        <w:rPr>
          <w:rFonts w:asciiTheme="minorHAnsi" w:hAnsiTheme="minorHAnsi" w:cstheme="minorHAnsi"/>
          <w:sz w:val="20"/>
          <w:szCs w:val="20"/>
        </w:rPr>
      </w:pPr>
      <w:r w:rsidRPr="00EB2E7B">
        <w:rPr>
          <w:rFonts w:asciiTheme="minorHAnsi" w:hAnsiTheme="minorHAnsi" w:cstheme="minorHAnsi"/>
          <w:sz w:val="20"/>
          <w:szCs w:val="20"/>
        </w:rPr>
        <w:t>Odpowiedź mocą na obniżoną częstotliwość (tryb LFSM-U)</w:t>
      </w:r>
    </w:p>
    <w:p w14:paraId="22960682" w14:textId="77777777" w:rsidR="0039309D" w:rsidRPr="00EB2E7B" w:rsidRDefault="0039309D" w:rsidP="00AC1A2B">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Magazyny energii elektrycznej, które są w trybie rozładowania, powinny być zdolne do aktywacji odpowiedzi mocą czynną na obniżoną częstotliwość, analogicznie jak moduły wytwarzania C i D. </w:t>
      </w:r>
    </w:p>
    <w:p w14:paraId="7E55CFC6" w14:textId="77777777" w:rsidR="0039309D" w:rsidRPr="00EB2E7B" w:rsidRDefault="0039309D" w:rsidP="00AC1A2B">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Magazyny energii elektrycznej, które są w trybie rozładowania, w momencie, gdy częstotliwość przekroczy próg częstotliwości dla trybu LFSM-U (49,8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- 49,5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wartość domyślna 49,8 </w:t>
      </w:r>
      <w:proofErr w:type="spellStart"/>
      <w:r w:rsidRPr="00EB2E7B">
        <w:rPr>
          <w:rFonts w:asciiTheme="minorHAnsi" w:hAnsiTheme="minorHAnsi" w:cstheme="minorHAnsi"/>
          <w:sz w:val="20"/>
          <w:szCs w:val="20"/>
        </w:rPr>
        <w:t>Hz</w:t>
      </w:r>
      <w:proofErr w:type="spellEnd"/>
      <w:r w:rsidRPr="00EB2E7B">
        <w:rPr>
          <w:rFonts w:asciiTheme="minorHAnsi" w:hAnsiTheme="minorHAnsi" w:cstheme="minorHAnsi"/>
          <w:sz w:val="20"/>
          <w:szCs w:val="20"/>
        </w:rPr>
        <w:t xml:space="preserve">) nie powinny zmniejszać mocy rozładowania poniżej chwilowej mocy czynnej, dopóki częstotliwość nie powróci powyżej progu częstotliwości. Zaleca się, aby magazyny energii elektrycznej zwiększały moc rozładowania zgodnie ze skonfigurowanym </w:t>
      </w:r>
      <w:proofErr w:type="spellStart"/>
      <w:r w:rsidRPr="00EB2E7B">
        <w:rPr>
          <w:rFonts w:asciiTheme="minorHAnsi" w:hAnsiTheme="minorHAnsi" w:cstheme="minorHAnsi"/>
          <w:sz w:val="20"/>
          <w:szCs w:val="20"/>
        </w:rPr>
        <w:t>statyzmem</w:t>
      </w:r>
      <w:proofErr w:type="spellEnd"/>
      <w:r w:rsidRPr="00EB2E7B">
        <w:rPr>
          <w:rFonts w:asciiTheme="minorHAnsi" w:hAnsiTheme="minorHAnsi" w:cstheme="minorHAnsi"/>
          <w:sz w:val="20"/>
          <w:szCs w:val="20"/>
        </w:rPr>
        <w:t xml:space="preserve"> (w zakresie 2 do 12%, wartość domyślna 5%). Dopuszcza się zmniejszenie mocy rozładowania w przypadku osiągnięcia minimalnej pojemności oraz w celu uniknięcia wystąpienia wzrostu </w:t>
      </w:r>
      <w:proofErr w:type="spellStart"/>
      <w:r w:rsidRPr="00EB2E7B">
        <w:rPr>
          <w:rFonts w:asciiTheme="minorHAnsi" w:hAnsiTheme="minorHAnsi" w:cstheme="minorHAnsi"/>
          <w:sz w:val="20"/>
          <w:szCs w:val="20"/>
        </w:rPr>
        <w:t>ryzyk</w:t>
      </w:r>
      <w:proofErr w:type="spellEnd"/>
      <w:r w:rsidRPr="00EB2E7B">
        <w:rPr>
          <w:rFonts w:asciiTheme="minorHAnsi" w:hAnsiTheme="minorHAnsi" w:cstheme="minorHAnsi"/>
          <w:sz w:val="20"/>
          <w:szCs w:val="20"/>
        </w:rPr>
        <w:t xml:space="preserve"> uszkodzenia sprzętu lub zagrożeń otoczenia. </w:t>
      </w:r>
    </w:p>
    <w:p w14:paraId="6E91C4DB" w14:textId="59E354D7" w:rsidR="003C7605" w:rsidRPr="00EB2E7B" w:rsidRDefault="0039309D" w:rsidP="00AC1A2B">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Magazyny energii elektrycznej, które są w trybie ładowania w odpowiedzi na przekroczenie progu częstotliwości powinny obniżać moc ładowania zgodnie ze skonfigurowanym </w:t>
      </w:r>
      <w:proofErr w:type="spellStart"/>
      <w:r w:rsidRPr="00EB2E7B">
        <w:rPr>
          <w:rFonts w:asciiTheme="minorHAnsi" w:hAnsiTheme="minorHAnsi" w:cstheme="minorHAnsi"/>
          <w:sz w:val="20"/>
          <w:szCs w:val="20"/>
        </w:rPr>
        <w:t>statyzmem</w:t>
      </w:r>
      <w:proofErr w:type="spellEnd"/>
      <w:r w:rsidR="003C7605" w:rsidRPr="00EB2E7B">
        <w:rPr>
          <w:rFonts w:asciiTheme="minorHAnsi" w:hAnsiTheme="minorHAnsi" w:cstheme="minorHAnsi"/>
          <w:sz w:val="20"/>
          <w:szCs w:val="20"/>
        </w:rPr>
        <w:t>.</w:t>
      </w:r>
    </w:p>
    <w:p w14:paraId="32B8063C" w14:textId="42E1DA72" w:rsidR="00E748BE" w:rsidRPr="00EB2E7B" w:rsidRDefault="003C6BBF" w:rsidP="004E33EE">
      <w:pPr>
        <w:pStyle w:val="ANagwek2"/>
        <w:numPr>
          <w:ilvl w:val="6"/>
          <w:numId w:val="384"/>
        </w:numPr>
        <w:ind w:left="1134" w:hanging="1134"/>
        <w:rPr>
          <w:rFonts w:asciiTheme="minorHAnsi" w:hAnsiTheme="minorHAnsi" w:cstheme="minorHAnsi"/>
          <w:sz w:val="20"/>
          <w:szCs w:val="20"/>
        </w:rPr>
      </w:pPr>
      <w:bookmarkStart w:id="816" w:name="_Toc189833866"/>
      <w:bookmarkStart w:id="817" w:name="_Toc239333466"/>
      <w:r w:rsidRPr="00EB2E7B">
        <w:rPr>
          <w:rFonts w:asciiTheme="minorHAnsi" w:hAnsiTheme="minorHAnsi" w:cstheme="minorHAnsi"/>
          <w:sz w:val="20"/>
          <w:szCs w:val="20"/>
        </w:rPr>
        <w:t>DODATKOWE WYMAGANIA DLA FARM WIATROWYCH i FARM FOTOWOILTAICZNYCH</w:t>
      </w:r>
      <w:bookmarkEnd w:id="816"/>
      <w:bookmarkEnd w:id="817"/>
    </w:p>
    <w:p w14:paraId="3B8C99F0" w14:textId="05CD5B31" w:rsidR="00DC522C" w:rsidRPr="00EB2E7B" w:rsidRDefault="00DC522C" w:rsidP="004854C6">
      <w:pPr>
        <w:pStyle w:val="ANagwek3"/>
        <w:numPr>
          <w:ilvl w:val="1"/>
          <w:numId w:val="445"/>
        </w:numPr>
        <w:rPr>
          <w:rFonts w:asciiTheme="minorHAnsi" w:hAnsiTheme="minorHAnsi" w:cstheme="minorHAnsi"/>
          <w:sz w:val="20"/>
          <w:szCs w:val="20"/>
        </w:rPr>
      </w:pPr>
      <w:r w:rsidRPr="00EB2E7B">
        <w:rPr>
          <w:rFonts w:asciiTheme="minorHAnsi" w:hAnsiTheme="minorHAnsi" w:cstheme="minorHAnsi"/>
          <w:sz w:val="20"/>
          <w:szCs w:val="20"/>
        </w:rPr>
        <w:t>Zdalne sterowanie farmą wiatrową (interwencyjne)</w:t>
      </w:r>
    </w:p>
    <w:p w14:paraId="38C23A40" w14:textId="60C45AF5" w:rsidR="004D76EB" w:rsidRPr="00EB2E7B" w:rsidRDefault="00313DA3" w:rsidP="009A432E">
      <w:pPr>
        <w:pStyle w:val="ANagwek4"/>
        <w:numPr>
          <w:ilvl w:val="2"/>
          <w:numId w:val="445"/>
        </w:numPr>
        <w:rPr>
          <w:rFonts w:asciiTheme="minorHAnsi" w:hAnsiTheme="minorHAnsi" w:cstheme="minorHAnsi"/>
          <w:sz w:val="20"/>
          <w:szCs w:val="20"/>
        </w:rPr>
      </w:pPr>
      <w:bookmarkStart w:id="818" w:name="_Ref190166280"/>
      <w:r w:rsidRPr="00EB2E7B">
        <w:rPr>
          <w:rFonts w:asciiTheme="minorHAnsi" w:hAnsiTheme="minorHAnsi" w:cstheme="minorHAnsi"/>
          <w:sz w:val="20"/>
          <w:szCs w:val="20"/>
        </w:rPr>
        <w:t>W celu zapewnienia możliwości wykorzystania farmy wiatrowej w procesie prowadzenia ruchu, wymaga się, aby farma wiatrowa przyłączona do sieci ACPRO</w:t>
      </w:r>
      <w:r w:rsidR="00E855F5" w:rsidRPr="00EB2E7B">
        <w:rPr>
          <w:rFonts w:asciiTheme="minorHAnsi" w:hAnsiTheme="minorHAnsi" w:cstheme="minorHAnsi"/>
          <w:sz w:val="20"/>
          <w:szCs w:val="20"/>
        </w:rPr>
        <w:t xml:space="preserve"> lub OSDn</w:t>
      </w:r>
      <w:r w:rsidRPr="00EB2E7B">
        <w:rPr>
          <w:rFonts w:asciiTheme="minorHAnsi" w:hAnsiTheme="minorHAnsi" w:cstheme="minorHAnsi"/>
          <w:sz w:val="20"/>
          <w:szCs w:val="20"/>
        </w:rPr>
        <w:t xml:space="preserve"> była zdolna do zdalnego sterowania zgodnie ze standardami ACPRO</w:t>
      </w:r>
      <w:r w:rsidR="00E855F5" w:rsidRPr="00EB2E7B">
        <w:rPr>
          <w:rFonts w:asciiTheme="minorHAnsi" w:hAnsiTheme="minorHAnsi" w:cstheme="minorHAnsi"/>
          <w:sz w:val="20"/>
          <w:szCs w:val="20"/>
        </w:rPr>
        <w:t xml:space="preserve"> lub OSDn</w:t>
      </w:r>
      <w:r w:rsidRPr="00EB2E7B">
        <w:rPr>
          <w:rFonts w:asciiTheme="minorHAnsi" w:hAnsiTheme="minorHAnsi" w:cstheme="minorHAnsi"/>
          <w:sz w:val="20"/>
          <w:szCs w:val="20"/>
        </w:rPr>
        <w:t xml:space="preserve"> jako właściwego ze względu na miejsce przyłączenia farmy wiatrowej. W ramach systemu zdalnego sterowania z właściwego ośrodka centrum dyspozytorskiego </w:t>
      </w:r>
      <w:r w:rsidR="00377457" w:rsidRPr="00EB2E7B">
        <w:rPr>
          <w:rFonts w:asciiTheme="minorHAnsi" w:hAnsiTheme="minorHAnsi" w:cstheme="minorHAnsi"/>
          <w:sz w:val="20"/>
          <w:szCs w:val="20"/>
        </w:rPr>
        <w:t xml:space="preserve">/ dyspozycji mocy </w:t>
      </w:r>
      <w:r w:rsidRPr="00EB2E7B">
        <w:rPr>
          <w:rFonts w:asciiTheme="minorHAnsi" w:hAnsiTheme="minorHAnsi" w:cstheme="minorHAnsi"/>
          <w:sz w:val="20"/>
          <w:szCs w:val="20"/>
        </w:rPr>
        <w:t>należy zapewnić możliwość:</w:t>
      </w:r>
      <w:bookmarkEnd w:id="818"/>
    </w:p>
    <w:p w14:paraId="6D2D92A2" w14:textId="77777777" w:rsidR="00E81260" w:rsidRPr="00EB2E7B" w:rsidRDefault="00E81260" w:rsidP="00AC1A2B">
      <w:pPr>
        <w:pStyle w:val="Akapitzlist"/>
        <w:numPr>
          <w:ilvl w:val="0"/>
          <w:numId w:val="46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zadawania maksymalnego, dopuszczalnego obciążenia mocą czynną (zmiany mocy czynnej), </w:t>
      </w:r>
    </w:p>
    <w:p w14:paraId="0E58697F" w14:textId="77777777" w:rsidR="00E81260" w:rsidRPr="00EB2E7B" w:rsidRDefault="00E81260" w:rsidP="00AC1A2B">
      <w:pPr>
        <w:pStyle w:val="Akapitzlist"/>
        <w:numPr>
          <w:ilvl w:val="0"/>
          <w:numId w:val="46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zmiany mocy biernej (w pełnym zakresie dopuszczalnych obciążeń mocą bierną farmy wiatrowej), </w:t>
      </w:r>
    </w:p>
    <w:p w14:paraId="35A6E1F7" w14:textId="4898C847" w:rsidR="004D76EB" w:rsidRPr="00EB2E7B" w:rsidRDefault="00E81260" w:rsidP="00AC1A2B">
      <w:pPr>
        <w:pStyle w:val="Akapitzlist"/>
        <w:numPr>
          <w:ilvl w:val="0"/>
          <w:numId w:val="461"/>
        </w:numPr>
        <w:spacing w:line="266"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wyłączenia całkowitego farmy wiatrowej (oddziaływania na wyłącznik w torze wyprowadzenia mocy farmy wiatrowej</w:t>
      </w:r>
      <w:r w:rsidR="00D84E97" w:rsidRPr="00EB2E7B">
        <w:rPr>
          <w:rFonts w:asciiTheme="minorHAnsi" w:hAnsiTheme="minorHAnsi" w:cstheme="minorHAnsi"/>
          <w:sz w:val="20"/>
          <w:szCs w:val="20"/>
        </w:rPr>
        <w:t>, niezależnie od własności tego wyłącznika</w:t>
      </w:r>
      <w:r w:rsidRPr="00EB2E7B">
        <w:rPr>
          <w:rFonts w:asciiTheme="minorHAnsi" w:hAnsiTheme="minorHAnsi" w:cstheme="minorHAnsi"/>
          <w:sz w:val="20"/>
          <w:szCs w:val="20"/>
        </w:rPr>
        <w:t>).</w:t>
      </w:r>
    </w:p>
    <w:p w14:paraId="1C94AF14" w14:textId="77777777" w:rsidR="004D76EB" w:rsidRPr="00EB2E7B" w:rsidRDefault="004D76EB" w:rsidP="000B5597">
      <w:pPr>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W ramach systemu zdalnego sterowania należy zapewnić zmianę trybu regulacji farmy wiatrowej w czasie rzeczywistym (on-line). </w:t>
      </w:r>
    </w:p>
    <w:p w14:paraId="7209821B" w14:textId="77777777" w:rsidR="004D76EB" w:rsidRPr="00EB2E7B" w:rsidRDefault="004D76EB" w:rsidP="009A432E">
      <w:pPr>
        <w:pStyle w:val="ANagwek4"/>
        <w:numPr>
          <w:ilvl w:val="2"/>
          <w:numId w:val="445"/>
        </w:numPr>
        <w:rPr>
          <w:rFonts w:asciiTheme="minorHAnsi" w:hAnsiTheme="minorHAnsi" w:cstheme="minorHAnsi"/>
          <w:sz w:val="20"/>
          <w:szCs w:val="20"/>
        </w:rPr>
      </w:pPr>
      <w:r w:rsidRPr="00EB2E7B">
        <w:rPr>
          <w:rFonts w:asciiTheme="minorHAnsi" w:hAnsiTheme="minorHAnsi" w:cstheme="minorHAnsi"/>
          <w:sz w:val="20"/>
          <w:szCs w:val="20"/>
        </w:rPr>
        <w:t xml:space="preserve">Zadawanie wartości wielkości regulowanych powinno być możliwe w wielkościach bezwzględnych. Algorytm systemu sterowania i regulacji farmą wiatrową musi być dostosowany do realizacji tego wymagania. </w:t>
      </w:r>
    </w:p>
    <w:p w14:paraId="44C2CF1A" w14:textId="77777777" w:rsidR="004D76EB" w:rsidRPr="00EB2E7B" w:rsidRDefault="004D76EB" w:rsidP="009A432E">
      <w:pPr>
        <w:pStyle w:val="ANagwek4"/>
        <w:numPr>
          <w:ilvl w:val="2"/>
          <w:numId w:val="445"/>
        </w:numPr>
        <w:rPr>
          <w:rFonts w:asciiTheme="minorHAnsi" w:hAnsiTheme="minorHAnsi" w:cstheme="minorHAnsi"/>
          <w:sz w:val="20"/>
          <w:szCs w:val="20"/>
        </w:rPr>
      </w:pPr>
      <w:bookmarkStart w:id="819" w:name="_Ref190166298"/>
      <w:r w:rsidRPr="00EB2E7B">
        <w:rPr>
          <w:rFonts w:asciiTheme="minorHAnsi" w:hAnsiTheme="minorHAnsi" w:cstheme="minorHAnsi"/>
          <w:sz w:val="20"/>
          <w:szCs w:val="20"/>
        </w:rPr>
        <w:lastRenderedPageBreak/>
        <w:t xml:space="preserve">Wymaganie zdalnego sterowania stosuje się, niezależnie od wymogu zapewnienia łączności dyspozytorskiej głosowej, zgodnie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bookmarkEnd w:id="819"/>
      <w:r w:rsidRPr="00EB2E7B">
        <w:rPr>
          <w:rFonts w:asciiTheme="minorHAnsi" w:hAnsiTheme="minorHAnsi" w:cstheme="minorHAnsi"/>
          <w:sz w:val="20"/>
          <w:szCs w:val="20"/>
        </w:rPr>
        <w:t xml:space="preserve"> </w:t>
      </w:r>
    </w:p>
    <w:p w14:paraId="7864AD3E" w14:textId="570691FF" w:rsidR="003C7605" w:rsidRPr="00EB2E7B" w:rsidRDefault="004D76EB" w:rsidP="009A432E">
      <w:pPr>
        <w:pStyle w:val="ANagwek4"/>
        <w:numPr>
          <w:ilvl w:val="2"/>
          <w:numId w:val="445"/>
        </w:numPr>
        <w:rPr>
          <w:rFonts w:asciiTheme="minorHAnsi" w:hAnsiTheme="minorHAnsi" w:cstheme="minorHAnsi"/>
          <w:sz w:val="20"/>
          <w:szCs w:val="20"/>
        </w:rPr>
      </w:pPr>
      <w:r w:rsidRPr="00EB2E7B">
        <w:rPr>
          <w:rFonts w:asciiTheme="minorHAnsi" w:hAnsiTheme="minorHAnsi" w:cstheme="minorHAnsi"/>
          <w:sz w:val="20"/>
          <w:szCs w:val="20"/>
        </w:rPr>
        <w:t>OSD</w:t>
      </w:r>
      <w:r w:rsidR="006416C6" w:rsidRPr="00EB2E7B">
        <w:rPr>
          <w:rFonts w:asciiTheme="minorHAnsi" w:hAnsiTheme="minorHAnsi" w:cstheme="minorHAnsi"/>
          <w:sz w:val="20"/>
          <w:szCs w:val="20"/>
        </w:rPr>
        <w:t>n</w:t>
      </w:r>
      <w:r w:rsidR="00FF3CE2" w:rsidRPr="00EB2E7B">
        <w:rPr>
          <w:rFonts w:asciiTheme="minorHAnsi" w:hAnsiTheme="minorHAnsi" w:cstheme="minorHAnsi"/>
          <w:sz w:val="20"/>
          <w:szCs w:val="20"/>
        </w:rPr>
        <w:t xml:space="preserve"> (w tym ACPRO)</w:t>
      </w:r>
      <w:r w:rsidR="006416C6" w:rsidRPr="00EB2E7B">
        <w:rPr>
          <w:rFonts w:asciiTheme="minorHAnsi" w:hAnsiTheme="minorHAnsi" w:cstheme="minorHAnsi"/>
          <w:sz w:val="20"/>
          <w:szCs w:val="20"/>
        </w:rPr>
        <w:t xml:space="preserve">, </w:t>
      </w:r>
      <w:proofErr w:type="spellStart"/>
      <w:r w:rsidR="006416C6"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t>
      </w:r>
      <w:r w:rsidR="00E57685" w:rsidRPr="00EB2E7B">
        <w:rPr>
          <w:rFonts w:asciiTheme="minorHAnsi" w:hAnsiTheme="minorHAnsi" w:cstheme="minorHAnsi"/>
          <w:sz w:val="20"/>
          <w:szCs w:val="20"/>
        </w:rPr>
        <w:t xml:space="preserve">albo OSP </w:t>
      </w:r>
      <w:r w:rsidRPr="00EB2E7B">
        <w:rPr>
          <w:rFonts w:asciiTheme="minorHAnsi" w:hAnsiTheme="minorHAnsi" w:cstheme="minorHAnsi"/>
          <w:sz w:val="20"/>
          <w:szCs w:val="20"/>
        </w:rPr>
        <w:t>ma</w:t>
      </w:r>
      <w:r w:rsidR="00B55346" w:rsidRPr="00EB2E7B">
        <w:rPr>
          <w:rFonts w:asciiTheme="minorHAnsi" w:hAnsiTheme="minorHAnsi" w:cstheme="minorHAnsi"/>
          <w:sz w:val="20"/>
          <w:szCs w:val="20"/>
        </w:rPr>
        <w:t>ją</w:t>
      </w:r>
      <w:r w:rsidRPr="00EB2E7B">
        <w:rPr>
          <w:rFonts w:asciiTheme="minorHAnsi" w:hAnsiTheme="minorHAnsi" w:cstheme="minorHAnsi"/>
          <w:sz w:val="20"/>
          <w:szCs w:val="20"/>
        </w:rPr>
        <w:t xml:space="preserve"> prawo do </w:t>
      </w:r>
      <w:r w:rsidR="006416C6" w:rsidRPr="00EB2E7B">
        <w:rPr>
          <w:rFonts w:asciiTheme="minorHAnsi" w:hAnsiTheme="minorHAnsi" w:cstheme="minorHAnsi"/>
          <w:sz w:val="20"/>
          <w:szCs w:val="20"/>
        </w:rPr>
        <w:t>wydania polecenia</w:t>
      </w:r>
      <w:r w:rsidRPr="00EB2E7B">
        <w:rPr>
          <w:rFonts w:asciiTheme="minorHAnsi" w:hAnsiTheme="minorHAnsi" w:cstheme="minorHAnsi"/>
          <w:sz w:val="20"/>
          <w:szCs w:val="20"/>
        </w:rPr>
        <w:t xml:space="preserve"> zmiany generacji mocy czynnej oraz biernej farmy wiatrowej w pełnym zakresie dopuszczalnych obciążeń, łącznie z całkowitym wyłączeniem farmy wiatrowej poprzez oddziaływania na wyłącznik w torze wyprowadzenia mocy farmy wiatrowej, przy czym </w:t>
      </w:r>
      <w:r w:rsidR="000924F3" w:rsidRPr="00EB2E7B">
        <w:rPr>
          <w:rFonts w:asciiTheme="minorHAnsi" w:hAnsiTheme="minorHAnsi" w:cstheme="minorHAnsi"/>
          <w:sz w:val="20"/>
          <w:szCs w:val="20"/>
        </w:rPr>
        <w:t xml:space="preserve">wszystkie </w:t>
      </w:r>
      <w:r w:rsidR="003969E4" w:rsidRPr="00EB2E7B">
        <w:rPr>
          <w:rFonts w:asciiTheme="minorHAnsi" w:hAnsiTheme="minorHAnsi" w:cstheme="minorHAnsi"/>
          <w:sz w:val="20"/>
          <w:szCs w:val="20"/>
        </w:rPr>
        <w:t>ww.</w:t>
      </w:r>
      <w:r w:rsidRPr="00EB2E7B">
        <w:rPr>
          <w:rFonts w:asciiTheme="minorHAnsi" w:hAnsiTheme="minorHAnsi" w:cstheme="minorHAnsi"/>
          <w:sz w:val="20"/>
          <w:szCs w:val="20"/>
        </w:rPr>
        <w:t xml:space="preserve"> funkcje zdalnego sterowania powinny być realizowane</w:t>
      </w:r>
      <w:r w:rsidR="004A58F4" w:rsidRPr="00EB2E7B">
        <w:rPr>
          <w:rFonts w:asciiTheme="minorHAnsi" w:hAnsiTheme="minorHAnsi" w:cstheme="minorHAnsi"/>
          <w:sz w:val="20"/>
          <w:szCs w:val="20"/>
        </w:rPr>
        <w:t xml:space="preserve"> w ramach</w:t>
      </w:r>
      <w:r w:rsidR="000B6025" w:rsidRPr="00EB2E7B">
        <w:rPr>
          <w:rFonts w:asciiTheme="minorHAnsi" w:hAnsiTheme="minorHAnsi" w:cstheme="minorHAnsi"/>
          <w:sz w:val="20"/>
          <w:szCs w:val="20"/>
        </w:rPr>
        <w:t xml:space="preserve"> systemu zdalnego sterowania</w:t>
      </w:r>
      <w:r w:rsidRPr="00EB2E7B">
        <w:rPr>
          <w:rFonts w:asciiTheme="minorHAnsi" w:hAnsiTheme="minorHAnsi" w:cstheme="minorHAnsi"/>
          <w:sz w:val="20"/>
          <w:szCs w:val="20"/>
        </w:rPr>
        <w:t xml:space="preserve"> z poziomu służb </w:t>
      </w:r>
      <w:r w:rsidR="009B2A57" w:rsidRPr="00EB2E7B">
        <w:rPr>
          <w:rFonts w:asciiTheme="minorHAnsi" w:hAnsiTheme="minorHAnsi" w:cstheme="minorHAnsi"/>
          <w:sz w:val="20"/>
          <w:szCs w:val="20"/>
        </w:rPr>
        <w:t xml:space="preserve">technicznych </w:t>
      </w:r>
      <w:r w:rsidRPr="00EB2E7B">
        <w:rPr>
          <w:rFonts w:asciiTheme="minorHAnsi" w:hAnsiTheme="minorHAnsi" w:cstheme="minorHAnsi"/>
          <w:sz w:val="20"/>
          <w:szCs w:val="20"/>
        </w:rPr>
        <w:t xml:space="preserve">ACPRO. OSP, przy wykorzystaniu infrastruktury telekomunikacyjnej (drogą telefoniczną), </w:t>
      </w:r>
      <w:r w:rsidR="005F269C" w:rsidRPr="00EB2E7B">
        <w:rPr>
          <w:rFonts w:asciiTheme="minorHAnsi" w:hAnsiTheme="minorHAnsi" w:cstheme="minorHAnsi"/>
          <w:sz w:val="20"/>
          <w:szCs w:val="20"/>
        </w:rPr>
        <w:t>może</w:t>
      </w:r>
      <w:r w:rsidRPr="00EB2E7B">
        <w:rPr>
          <w:rFonts w:asciiTheme="minorHAnsi" w:hAnsiTheme="minorHAnsi" w:cstheme="minorHAnsi"/>
          <w:sz w:val="20"/>
          <w:szCs w:val="20"/>
        </w:rPr>
        <w:t xml:space="preserve">, za pośrednictwem służb dyspozytorskich </w:t>
      </w:r>
      <w:proofErr w:type="spellStart"/>
      <w:r w:rsidRPr="00EB2E7B">
        <w:rPr>
          <w:rFonts w:asciiTheme="minorHAnsi" w:hAnsiTheme="minorHAnsi" w:cstheme="minorHAnsi"/>
          <w:sz w:val="20"/>
          <w:szCs w:val="20"/>
        </w:rPr>
        <w:t>OSD</w:t>
      </w:r>
      <w:r w:rsidR="006416C6" w:rsidRPr="00EB2E7B">
        <w:rPr>
          <w:rFonts w:asciiTheme="minorHAnsi" w:hAnsiTheme="minorHAnsi" w:cstheme="minorHAnsi"/>
          <w:sz w:val="20"/>
          <w:szCs w:val="20"/>
        </w:rPr>
        <w:t>p</w:t>
      </w:r>
      <w:proofErr w:type="spellEnd"/>
      <w:r w:rsidR="006416C6" w:rsidRPr="00EB2E7B">
        <w:rPr>
          <w:rFonts w:asciiTheme="minorHAnsi" w:hAnsiTheme="minorHAnsi" w:cstheme="minorHAnsi"/>
          <w:sz w:val="20"/>
          <w:szCs w:val="20"/>
        </w:rPr>
        <w:t>, technicznych OSDn</w:t>
      </w:r>
      <w:r w:rsidRPr="00EB2E7B">
        <w:rPr>
          <w:rFonts w:asciiTheme="minorHAnsi" w:hAnsiTheme="minorHAnsi" w:cstheme="minorHAnsi"/>
          <w:sz w:val="20"/>
          <w:szCs w:val="20"/>
        </w:rPr>
        <w:t xml:space="preserve">, </w:t>
      </w:r>
      <w:r w:rsidR="005F269C" w:rsidRPr="00EB2E7B">
        <w:rPr>
          <w:rFonts w:asciiTheme="minorHAnsi" w:hAnsiTheme="minorHAnsi" w:cstheme="minorHAnsi"/>
          <w:sz w:val="20"/>
          <w:szCs w:val="20"/>
        </w:rPr>
        <w:t xml:space="preserve">wydać polecenie </w:t>
      </w:r>
      <w:r w:rsidRPr="00EB2E7B">
        <w:rPr>
          <w:rFonts w:asciiTheme="minorHAnsi" w:hAnsiTheme="minorHAnsi" w:cstheme="minorHAnsi"/>
          <w:sz w:val="20"/>
          <w:szCs w:val="20"/>
        </w:rPr>
        <w:t xml:space="preserve">interwencyjnej zmiany parametrów pracy farmy wiatrowej przyłączonej do sieci </w:t>
      </w:r>
      <w:r w:rsidR="007E06F3" w:rsidRPr="00EB2E7B">
        <w:rPr>
          <w:rFonts w:asciiTheme="minorHAnsi" w:hAnsiTheme="minorHAnsi" w:cstheme="minorHAnsi"/>
          <w:sz w:val="20"/>
          <w:szCs w:val="20"/>
        </w:rPr>
        <w:t>ACPRO</w:t>
      </w:r>
      <w:r w:rsidR="003C7605" w:rsidRPr="00EB2E7B">
        <w:rPr>
          <w:rFonts w:asciiTheme="minorHAnsi" w:hAnsiTheme="minorHAnsi" w:cstheme="minorHAnsi"/>
          <w:sz w:val="20"/>
          <w:szCs w:val="20"/>
        </w:rPr>
        <w:t>.</w:t>
      </w:r>
    </w:p>
    <w:p w14:paraId="555AAFBC" w14:textId="551A16B0" w:rsidR="00AA4A2D" w:rsidRPr="00EB2E7B" w:rsidRDefault="004F2E4C" w:rsidP="004854C6">
      <w:pPr>
        <w:pStyle w:val="ANagwek3"/>
        <w:numPr>
          <w:ilvl w:val="1"/>
          <w:numId w:val="445"/>
        </w:numPr>
        <w:rPr>
          <w:rFonts w:asciiTheme="minorHAnsi" w:hAnsiTheme="minorHAnsi" w:cstheme="minorHAnsi"/>
          <w:sz w:val="20"/>
          <w:szCs w:val="20"/>
        </w:rPr>
      </w:pPr>
      <w:r w:rsidRPr="00EB2E7B">
        <w:rPr>
          <w:rFonts w:asciiTheme="minorHAnsi" w:hAnsiTheme="minorHAnsi" w:cstheme="minorHAnsi"/>
          <w:sz w:val="20"/>
          <w:szCs w:val="20"/>
        </w:rPr>
        <w:t>Zdalne sterowanie farmą fotowoltaiczną (interwencyjne) przyłączoną</w:t>
      </w:r>
      <w:r w:rsidR="00AA4A2D" w:rsidRPr="00EB2E7B">
        <w:rPr>
          <w:rFonts w:asciiTheme="minorHAnsi" w:hAnsiTheme="minorHAnsi" w:cstheme="minorHAnsi"/>
          <w:sz w:val="20"/>
          <w:szCs w:val="20"/>
        </w:rPr>
        <w:t>.</w:t>
      </w:r>
    </w:p>
    <w:p w14:paraId="525BAC06" w14:textId="4FFF8C07" w:rsidR="00A722F2" w:rsidRPr="00EB2E7B" w:rsidRDefault="00A722F2" w:rsidP="009A432E">
      <w:pPr>
        <w:pStyle w:val="ANagwek4"/>
        <w:numPr>
          <w:ilvl w:val="2"/>
          <w:numId w:val="445"/>
        </w:numPr>
        <w:rPr>
          <w:rFonts w:asciiTheme="minorHAnsi" w:hAnsiTheme="minorHAnsi" w:cstheme="minorHAnsi"/>
          <w:sz w:val="20"/>
          <w:szCs w:val="20"/>
        </w:rPr>
      </w:pPr>
      <w:bookmarkStart w:id="820" w:name="_Ref190166376"/>
      <w:r w:rsidRPr="00EB2E7B">
        <w:rPr>
          <w:rFonts w:asciiTheme="minorHAnsi" w:hAnsiTheme="minorHAnsi" w:cstheme="minorHAnsi"/>
          <w:sz w:val="20"/>
          <w:szCs w:val="20"/>
        </w:rPr>
        <w:t>OSD</w:t>
      </w:r>
      <w:r w:rsidR="00FF3CE2" w:rsidRPr="00EB2E7B">
        <w:rPr>
          <w:rFonts w:asciiTheme="minorHAnsi" w:hAnsiTheme="minorHAnsi" w:cstheme="minorHAnsi"/>
          <w:sz w:val="20"/>
          <w:szCs w:val="20"/>
        </w:rPr>
        <w:t>n (w tym ACPRO)</w:t>
      </w:r>
      <w:r w:rsidR="00102B2D" w:rsidRPr="00EB2E7B">
        <w:rPr>
          <w:rFonts w:asciiTheme="minorHAnsi" w:hAnsiTheme="minorHAnsi" w:cstheme="minorHAnsi"/>
          <w:sz w:val="20"/>
          <w:szCs w:val="20"/>
        </w:rPr>
        <w:t xml:space="preserve">, </w:t>
      </w:r>
      <w:proofErr w:type="spellStart"/>
      <w:r w:rsidR="00102B2D"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t>
      </w:r>
      <w:r w:rsidR="00B55346" w:rsidRPr="00EB2E7B">
        <w:rPr>
          <w:rFonts w:asciiTheme="minorHAnsi" w:hAnsiTheme="minorHAnsi" w:cstheme="minorHAnsi"/>
          <w:sz w:val="20"/>
          <w:szCs w:val="20"/>
        </w:rPr>
        <w:t xml:space="preserve">albo OSP </w:t>
      </w:r>
      <w:r w:rsidRPr="00EB2E7B">
        <w:rPr>
          <w:rFonts w:asciiTheme="minorHAnsi" w:hAnsiTheme="minorHAnsi" w:cstheme="minorHAnsi"/>
          <w:sz w:val="20"/>
          <w:szCs w:val="20"/>
        </w:rPr>
        <w:t>ma</w:t>
      </w:r>
      <w:r w:rsidR="00B55346" w:rsidRPr="00EB2E7B">
        <w:rPr>
          <w:rFonts w:asciiTheme="minorHAnsi" w:hAnsiTheme="minorHAnsi" w:cstheme="minorHAnsi"/>
          <w:sz w:val="20"/>
          <w:szCs w:val="20"/>
        </w:rPr>
        <w:t>ją</w:t>
      </w:r>
      <w:r w:rsidRPr="00EB2E7B">
        <w:rPr>
          <w:rFonts w:asciiTheme="minorHAnsi" w:hAnsiTheme="minorHAnsi" w:cstheme="minorHAnsi"/>
          <w:sz w:val="20"/>
          <w:szCs w:val="20"/>
        </w:rPr>
        <w:t xml:space="preserve"> prawo do zmiany</w:t>
      </w:r>
      <w:r w:rsidR="00E564FF" w:rsidRPr="00EB2E7B">
        <w:rPr>
          <w:rFonts w:asciiTheme="minorHAnsi" w:hAnsiTheme="minorHAnsi" w:cstheme="minorHAnsi"/>
          <w:sz w:val="20"/>
          <w:szCs w:val="20"/>
        </w:rPr>
        <w:t xml:space="preserve"> </w:t>
      </w:r>
      <w:r w:rsidR="00960DFC" w:rsidRPr="00EB2E7B">
        <w:rPr>
          <w:rFonts w:asciiTheme="minorHAnsi" w:hAnsiTheme="minorHAnsi" w:cstheme="minorHAnsi"/>
          <w:sz w:val="20"/>
          <w:szCs w:val="20"/>
        </w:rPr>
        <w:t>lub</w:t>
      </w:r>
      <w:r w:rsidR="00E564FF" w:rsidRPr="00EB2E7B">
        <w:rPr>
          <w:rFonts w:asciiTheme="minorHAnsi" w:hAnsiTheme="minorHAnsi" w:cstheme="minorHAnsi"/>
          <w:sz w:val="20"/>
          <w:szCs w:val="20"/>
        </w:rPr>
        <w:t xml:space="preserve"> wydania polecenia</w:t>
      </w:r>
      <w:r w:rsidR="00960DFC" w:rsidRPr="00EB2E7B">
        <w:rPr>
          <w:rFonts w:asciiTheme="minorHAnsi" w:hAnsiTheme="minorHAnsi" w:cstheme="minorHAnsi"/>
          <w:sz w:val="20"/>
          <w:szCs w:val="20"/>
        </w:rPr>
        <w:t xml:space="preserve"> zmiany</w:t>
      </w:r>
      <w:r w:rsidRPr="00EB2E7B">
        <w:rPr>
          <w:rFonts w:asciiTheme="minorHAnsi" w:hAnsiTheme="minorHAnsi" w:cstheme="minorHAnsi"/>
          <w:sz w:val="20"/>
          <w:szCs w:val="20"/>
        </w:rPr>
        <w:t xml:space="preserve"> generacji mocy czynnej oraz biernej farmy fotowoltaicznej w pełnym zakresie dopuszczalnych obciążeń, łącznie z całkowitym wyłączeniem farmy fotowoltaicznej poprzez oddziaływania na wyłącznik w torze wyprowadzenia mocy farmy fotowoltaicznej,</w:t>
      </w:r>
      <w:r w:rsidR="00960DFC" w:rsidRPr="00EB2E7B">
        <w:rPr>
          <w:rFonts w:asciiTheme="minorHAnsi" w:hAnsiTheme="minorHAnsi" w:cstheme="minorHAnsi"/>
          <w:sz w:val="20"/>
          <w:szCs w:val="20"/>
        </w:rPr>
        <w:t xml:space="preserve"> niezależnie od własności tego wyłącznika,</w:t>
      </w:r>
      <w:r w:rsidRPr="00EB2E7B">
        <w:rPr>
          <w:rFonts w:asciiTheme="minorHAnsi" w:hAnsiTheme="minorHAnsi" w:cstheme="minorHAnsi"/>
          <w:sz w:val="20"/>
          <w:szCs w:val="20"/>
        </w:rPr>
        <w:t xml:space="preserve"> przy czym wymagane funkcje zdalnego sterowania powinny być realizowane w ramach systemu zdalnego sterowania z poziomu służb </w:t>
      </w:r>
      <w:r w:rsidR="002F4109" w:rsidRPr="00EB2E7B">
        <w:rPr>
          <w:rFonts w:asciiTheme="minorHAnsi" w:hAnsiTheme="minorHAnsi" w:cstheme="minorHAnsi"/>
          <w:sz w:val="20"/>
          <w:szCs w:val="20"/>
        </w:rPr>
        <w:t xml:space="preserve">technicznych </w:t>
      </w:r>
      <w:r w:rsidRPr="00EB2E7B">
        <w:rPr>
          <w:rFonts w:asciiTheme="minorHAnsi" w:hAnsiTheme="minorHAnsi" w:cstheme="minorHAnsi"/>
          <w:sz w:val="20"/>
          <w:szCs w:val="20"/>
        </w:rPr>
        <w:t>ACPRO. OSP, dokonuje</w:t>
      </w:r>
      <w:r w:rsidR="00980D2B" w:rsidRPr="00EB2E7B">
        <w:rPr>
          <w:rFonts w:asciiTheme="minorHAnsi" w:hAnsiTheme="minorHAnsi" w:cstheme="minorHAnsi"/>
          <w:sz w:val="20"/>
          <w:szCs w:val="20"/>
        </w:rPr>
        <w:t xml:space="preserve"> lub może wydać polecenie</w:t>
      </w:r>
      <w:r w:rsidRPr="00EB2E7B">
        <w:rPr>
          <w:rFonts w:asciiTheme="minorHAnsi" w:hAnsiTheme="minorHAnsi" w:cstheme="minorHAnsi"/>
          <w:sz w:val="20"/>
          <w:szCs w:val="20"/>
        </w:rPr>
        <w:t xml:space="preserve"> interwencyjnej zmiany parametrów pracy farmy fotowoltaicznej przyłączonej do sieci ACPRO, przy wykorzystaniu infrastruktury telekomunikacyjnej (drogą telefoniczną), za pośrednictwem służb </w:t>
      </w:r>
      <w:r w:rsidR="002F4109" w:rsidRPr="00EB2E7B">
        <w:rPr>
          <w:rFonts w:asciiTheme="minorHAnsi" w:hAnsiTheme="minorHAnsi" w:cstheme="minorHAnsi"/>
          <w:sz w:val="20"/>
          <w:szCs w:val="20"/>
        </w:rPr>
        <w:t xml:space="preserve">technicznych </w:t>
      </w:r>
      <w:r w:rsidRPr="00EB2E7B">
        <w:rPr>
          <w:rFonts w:asciiTheme="minorHAnsi" w:hAnsiTheme="minorHAnsi" w:cstheme="minorHAnsi"/>
          <w:sz w:val="20"/>
          <w:szCs w:val="20"/>
        </w:rPr>
        <w:t>ACPRO.</w:t>
      </w:r>
      <w:bookmarkEnd w:id="820"/>
      <w:r w:rsidRPr="00EB2E7B">
        <w:rPr>
          <w:rFonts w:asciiTheme="minorHAnsi" w:hAnsiTheme="minorHAnsi" w:cstheme="minorHAnsi"/>
          <w:sz w:val="20"/>
          <w:szCs w:val="20"/>
        </w:rPr>
        <w:t xml:space="preserve"> </w:t>
      </w:r>
    </w:p>
    <w:p w14:paraId="32E8D2E6" w14:textId="1A9A0899" w:rsidR="00F93F93" w:rsidRPr="00EB2E7B" w:rsidRDefault="00A722F2" w:rsidP="009A432E">
      <w:pPr>
        <w:pStyle w:val="ANagwek4"/>
        <w:numPr>
          <w:ilvl w:val="2"/>
          <w:numId w:val="445"/>
        </w:numPr>
        <w:rPr>
          <w:rFonts w:asciiTheme="minorHAnsi" w:hAnsiTheme="minorHAnsi" w:cstheme="minorHAnsi"/>
          <w:sz w:val="20"/>
          <w:szCs w:val="20"/>
        </w:rPr>
      </w:pPr>
      <w:bookmarkStart w:id="821" w:name="_Ref190166391"/>
      <w:r w:rsidRPr="00EB2E7B">
        <w:rPr>
          <w:rFonts w:asciiTheme="minorHAnsi" w:hAnsiTheme="minorHAnsi" w:cstheme="minorHAnsi"/>
          <w:sz w:val="20"/>
          <w:szCs w:val="20"/>
        </w:rPr>
        <w:t xml:space="preserve">Postanowienia dotyczące zdalnego (interwencyjnego) sterowania farmą wiatrową, określone w pkt </w:t>
      </w:r>
      <w:r w:rsidR="008D59A4" w:rsidRPr="00EB2E7B">
        <w:rPr>
          <w:rFonts w:asciiTheme="minorHAnsi" w:hAnsiTheme="minorHAnsi" w:cstheme="minorHAnsi"/>
          <w:sz w:val="20"/>
          <w:szCs w:val="20"/>
        </w:rPr>
        <w:fldChar w:fldCharType="begin"/>
      </w:r>
      <w:r w:rsidR="008D59A4" w:rsidRPr="00EB2E7B">
        <w:rPr>
          <w:rFonts w:asciiTheme="minorHAnsi" w:hAnsiTheme="minorHAnsi" w:cstheme="minorHAnsi"/>
          <w:sz w:val="20"/>
          <w:szCs w:val="20"/>
        </w:rPr>
        <w:instrText xml:space="preserve"> REF _Ref190166280 \r \h  \* MERGEFORMAT </w:instrText>
      </w:r>
      <w:r w:rsidR="008D59A4" w:rsidRPr="00EB2E7B">
        <w:rPr>
          <w:rFonts w:asciiTheme="minorHAnsi" w:hAnsiTheme="minorHAnsi" w:cstheme="minorHAnsi"/>
          <w:sz w:val="20"/>
          <w:szCs w:val="20"/>
        </w:rPr>
      </w:r>
      <w:r w:rsidR="008D59A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11.1.1</w:t>
      </w:r>
      <w:r w:rsidR="008D59A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t>
      </w:r>
      <w:r w:rsidR="008D59A4" w:rsidRPr="00EB2E7B">
        <w:rPr>
          <w:rFonts w:asciiTheme="minorHAnsi" w:hAnsiTheme="minorHAnsi" w:cstheme="minorHAnsi"/>
          <w:sz w:val="20"/>
          <w:szCs w:val="20"/>
        </w:rPr>
        <w:fldChar w:fldCharType="begin"/>
      </w:r>
      <w:r w:rsidR="008D59A4" w:rsidRPr="00EB2E7B">
        <w:rPr>
          <w:rFonts w:asciiTheme="minorHAnsi" w:hAnsiTheme="minorHAnsi" w:cstheme="minorHAnsi"/>
          <w:sz w:val="20"/>
          <w:szCs w:val="20"/>
        </w:rPr>
        <w:instrText xml:space="preserve"> REF _Ref190166298 \r \h  \* MERGEFORMAT </w:instrText>
      </w:r>
      <w:r w:rsidR="008D59A4" w:rsidRPr="00EB2E7B">
        <w:rPr>
          <w:rFonts w:asciiTheme="minorHAnsi" w:hAnsiTheme="minorHAnsi" w:cstheme="minorHAnsi"/>
          <w:sz w:val="20"/>
          <w:szCs w:val="20"/>
        </w:rPr>
      </w:r>
      <w:r w:rsidR="008D59A4"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11.1.3</w:t>
      </w:r>
      <w:r w:rsidR="008D59A4" w:rsidRPr="00EB2E7B">
        <w:rPr>
          <w:rFonts w:asciiTheme="minorHAnsi" w:hAnsiTheme="minorHAnsi" w:cstheme="minorHAnsi"/>
          <w:sz w:val="20"/>
          <w:szCs w:val="20"/>
        </w:rPr>
        <w:fldChar w:fldCharType="end"/>
      </w:r>
      <w:r w:rsidRPr="00EB2E7B">
        <w:rPr>
          <w:rFonts w:asciiTheme="minorHAnsi" w:hAnsiTheme="minorHAnsi" w:cstheme="minorHAnsi"/>
          <w:sz w:val="20"/>
          <w:szCs w:val="20"/>
        </w:rPr>
        <w:t>., stosuje się odpowiednio w odniesieniu do farmy fotowoltaicznej</w:t>
      </w:r>
      <w:r w:rsidR="00F93F93" w:rsidRPr="00EB2E7B">
        <w:rPr>
          <w:rFonts w:asciiTheme="minorHAnsi" w:hAnsiTheme="minorHAnsi" w:cstheme="minorHAnsi"/>
          <w:sz w:val="20"/>
          <w:szCs w:val="20"/>
        </w:rPr>
        <w:t>.</w:t>
      </w:r>
      <w:bookmarkEnd w:id="821"/>
    </w:p>
    <w:p w14:paraId="6F33A2A2" w14:textId="2D9D8D81" w:rsidR="003C7605" w:rsidRPr="00EB2E7B" w:rsidRDefault="0001010D" w:rsidP="009A432E">
      <w:pPr>
        <w:pStyle w:val="ANagwek4"/>
        <w:numPr>
          <w:ilvl w:val="2"/>
          <w:numId w:val="445"/>
        </w:numPr>
        <w:rPr>
          <w:rFonts w:asciiTheme="minorHAnsi" w:hAnsiTheme="minorHAnsi" w:cstheme="minorHAnsi"/>
          <w:sz w:val="20"/>
          <w:szCs w:val="20"/>
        </w:rPr>
      </w:pPr>
      <w:r w:rsidRPr="00EB2E7B">
        <w:rPr>
          <w:rFonts w:asciiTheme="minorHAnsi" w:hAnsiTheme="minorHAnsi" w:cstheme="minorHAnsi"/>
          <w:sz w:val="20"/>
          <w:szCs w:val="20"/>
        </w:rPr>
        <w:t xml:space="preserve">Postanowienia </w:t>
      </w:r>
      <w:r w:rsidR="008E533A" w:rsidRPr="00EB2E7B">
        <w:rPr>
          <w:rFonts w:asciiTheme="minorHAnsi" w:hAnsiTheme="minorHAnsi" w:cstheme="minorHAnsi"/>
          <w:sz w:val="20"/>
          <w:szCs w:val="20"/>
        </w:rPr>
        <w:t>pkt</w:t>
      </w:r>
      <w:r w:rsidRPr="00EB2E7B">
        <w:rPr>
          <w:rFonts w:asciiTheme="minorHAnsi" w:hAnsiTheme="minorHAnsi" w:cstheme="minorHAnsi"/>
          <w:sz w:val="20"/>
          <w:szCs w:val="20"/>
        </w:rPr>
        <w:t xml:space="preserve"> </w:t>
      </w:r>
      <w:r w:rsidR="00921D3E" w:rsidRPr="00EB2E7B">
        <w:rPr>
          <w:rFonts w:asciiTheme="minorHAnsi" w:hAnsiTheme="minorHAnsi" w:cstheme="minorHAnsi"/>
          <w:sz w:val="20"/>
          <w:szCs w:val="20"/>
        </w:rPr>
        <w:fldChar w:fldCharType="begin"/>
      </w:r>
      <w:r w:rsidR="00921D3E" w:rsidRPr="00EB2E7B">
        <w:rPr>
          <w:rFonts w:asciiTheme="minorHAnsi" w:hAnsiTheme="minorHAnsi" w:cstheme="minorHAnsi"/>
          <w:sz w:val="20"/>
          <w:szCs w:val="20"/>
        </w:rPr>
        <w:instrText xml:space="preserve"> REF _Ref190166376 \r \h  \* MERGEFORMAT </w:instrText>
      </w:r>
      <w:r w:rsidR="00921D3E" w:rsidRPr="00EB2E7B">
        <w:rPr>
          <w:rFonts w:asciiTheme="minorHAnsi" w:hAnsiTheme="minorHAnsi" w:cstheme="minorHAnsi"/>
          <w:sz w:val="20"/>
          <w:szCs w:val="20"/>
        </w:rPr>
      </w:r>
      <w:r w:rsidR="00921D3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11.2.1</w:t>
      </w:r>
      <w:r w:rsidR="00921D3E"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 </w:t>
      </w:r>
      <w:r w:rsidR="00921D3E" w:rsidRPr="00EB2E7B">
        <w:rPr>
          <w:rFonts w:asciiTheme="minorHAnsi" w:hAnsiTheme="minorHAnsi" w:cstheme="minorHAnsi"/>
          <w:sz w:val="20"/>
          <w:szCs w:val="20"/>
        </w:rPr>
        <w:fldChar w:fldCharType="begin"/>
      </w:r>
      <w:r w:rsidR="00921D3E" w:rsidRPr="00EB2E7B">
        <w:rPr>
          <w:rFonts w:asciiTheme="minorHAnsi" w:hAnsiTheme="minorHAnsi" w:cstheme="minorHAnsi"/>
          <w:sz w:val="20"/>
          <w:szCs w:val="20"/>
        </w:rPr>
        <w:instrText xml:space="preserve"> REF _Ref190166391 \r \h  \* MERGEFORMAT </w:instrText>
      </w:r>
      <w:r w:rsidR="00921D3E" w:rsidRPr="00EB2E7B">
        <w:rPr>
          <w:rFonts w:asciiTheme="minorHAnsi" w:hAnsiTheme="minorHAnsi" w:cstheme="minorHAnsi"/>
          <w:sz w:val="20"/>
          <w:szCs w:val="20"/>
        </w:rPr>
      </w:r>
      <w:r w:rsidR="00921D3E"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11.2.2</w:t>
      </w:r>
      <w:r w:rsidR="00921D3E" w:rsidRPr="00EB2E7B">
        <w:rPr>
          <w:rFonts w:asciiTheme="minorHAnsi" w:hAnsiTheme="minorHAnsi" w:cstheme="minorHAnsi"/>
          <w:sz w:val="20"/>
          <w:szCs w:val="20"/>
        </w:rPr>
        <w:fldChar w:fldCharType="end"/>
      </w:r>
      <w:r w:rsidRPr="00EB2E7B">
        <w:rPr>
          <w:rFonts w:asciiTheme="minorHAnsi" w:hAnsiTheme="minorHAnsi" w:cstheme="minorHAnsi"/>
          <w:sz w:val="20"/>
          <w:szCs w:val="20"/>
        </w:rPr>
        <w:t>. dotyczą także grup farm fotowoltaicznych objętych wspólnym systemem sterowania i regulacji dostępnym w ramach systemu zdalnego sterowania z właściwego ośrodka dyspozycji mocy ACPRO</w:t>
      </w:r>
      <w:r w:rsidR="00A722F2" w:rsidRPr="00EB2E7B">
        <w:rPr>
          <w:rFonts w:asciiTheme="minorHAnsi" w:hAnsiTheme="minorHAnsi" w:cstheme="minorHAnsi"/>
          <w:sz w:val="20"/>
          <w:szCs w:val="20"/>
        </w:rPr>
        <w:t>.</w:t>
      </w:r>
    </w:p>
    <w:p w14:paraId="1F14500D" w14:textId="654A671C" w:rsidR="00873130" w:rsidRPr="00EB2E7B" w:rsidRDefault="00F30558" w:rsidP="00F30558">
      <w:pPr>
        <w:spacing w:after="160" w:line="259" w:lineRule="auto"/>
        <w:ind w:left="0" w:firstLine="0"/>
        <w:jc w:val="left"/>
        <w:rPr>
          <w:rFonts w:asciiTheme="minorHAnsi" w:hAnsiTheme="minorHAnsi" w:cstheme="minorHAnsi"/>
          <w:sz w:val="20"/>
          <w:szCs w:val="20"/>
        </w:rPr>
      </w:pPr>
      <w:r w:rsidRPr="00EB2E7B">
        <w:rPr>
          <w:rFonts w:asciiTheme="minorHAnsi" w:hAnsiTheme="minorHAnsi" w:cstheme="minorHAnsi"/>
          <w:sz w:val="20"/>
          <w:szCs w:val="20"/>
        </w:rPr>
        <w:br w:type="page"/>
      </w:r>
    </w:p>
    <w:p w14:paraId="5B491F3C" w14:textId="77777777" w:rsidR="00072CE8" w:rsidRPr="00EB2E7B" w:rsidRDefault="00072CE8" w:rsidP="00727E43">
      <w:pPr>
        <w:ind w:left="70" w:firstLine="0"/>
        <w:jc w:val="right"/>
        <w:rPr>
          <w:rFonts w:asciiTheme="minorHAnsi" w:hAnsiTheme="minorHAnsi" w:cstheme="minorHAnsi"/>
          <w:i/>
          <w:iCs/>
          <w:sz w:val="20"/>
          <w:szCs w:val="20"/>
        </w:rPr>
      </w:pPr>
      <w:r w:rsidRPr="00EB2E7B">
        <w:rPr>
          <w:rFonts w:asciiTheme="minorHAnsi" w:hAnsiTheme="minorHAnsi" w:cstheme="minorHAnsi"/>
          <w:i/>
          <w:iCs/>
          <w:sz w:val="20"/>
          <w:szCs w:val="20"/>
        </w:rPr>
        <w:lastRenderedPageBreak/>
        <w:t>Załącznik nr 2</w:t>
      </w:r>
    </w:p>
    <w:p w14:paraId="1F401E76" w14:textId="373684C8" w:rsidR="00072CE8" w:rsidRPr="00EB2E7B" w:rsidRDefault="00072CE8"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Zawartość formularza powiadomienia ACPRO przez Sprzedawcę w imieniu własnym i URD, o zawartej umowie sprzedaży energii elektrycznej lub umowie kompleksowej</w:t>
      </w:r>
    </w:p>
    <w:tbl>
      <w:tblPr>
        <w:tblpPr w:leftFromText="141" w:rightFromText="141" w:vertAnchor="text" w:tblpY="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797"/>
      </w:tblGrid>
      <w:tr w:rsidR="00072CE8" w:rsidRPr="00EB2E7B" w14:paraId="47CA1320" w14:textId="77777777" w:rsidTr="3FE7975F">
        <w:trPr>
          <w:trHeight w:val="98"/>
        </w:trPr>
        <w:tc>
          <w:tcPr>
            <w:tcW w:w="1242" w:type="dxa"/>
          </w:tcPr>
          <w:p w14:paraId="79DD4A4A"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Pozycja nr </w:t>
            </w:r>
          </w:p>
        </w:tc>
        <w:tc>
          <w:tcPr>
            <w:tcW w:w="7797" w:type="dxa"/>
          </w:tcPr>
          <w:p w14:paraId="3977E647"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Zawartość </w:t>
            </w:r>
          </w:p>
        </w:tc>
      </w:tr>
      <w:tr w:rsidR="00072CE8" w:rsidRPr="00EB2E7B" w14:paraId="0E8B5A0B" w14:textId="77777777" w:rsidTr="3FE7975F">
        <w:trPr>
          <w:trHeight w:val="100"/>
        </w:trPr>
        <w:tc>
          <w:tcPr>
            <w:tcW w:w="1242" w:type="dxa"/>
          </w:tcPr>
          <w:p w14:paraId="2E4C8A98"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1. </w:t>
            </w:r>
          </w:p>
        </w:tc>
        <w:tc>
          <w:tcPr>
            <w:tcW w:w="7797" w:type="dxa"/>
          </w:tcPr>
          <w:p w14:paraId="496DA623"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Data powiadomienia. </w:t>
            </w:r>
          </w:p>
        </w:tc>
      </w:tr>
      <w:tr w:rsidR="00072CE8" w:rsidRPr="00EB2E7B" w14:paraId="0F46DA84" w14:textId="77777777" w:rsidTr="3FE7975F">
        <w:trPr>
          <w:trHeight w:val="100"/>
        </w:trPr>
        <w:tc>
          <w:tcPr>
            <w:tcW w:w="1242" w:type="dxa"/>
          </w:tcPr>
          <w:p w14:paraId="130A1CDC"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2. </w:t>
            </w:r>
          </w:p>
        </w:tc>
        <w:tc>
          <w:tcPr>
            <w:tcW w:w="7797" w:type="dxa"/>
          </w:tcPr>
          <w:p w14:paraId="0601D4A1"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Miejscowość. </w:t>
            </w:r>
          </w:p>
        </w:tc>
      </w:tr>
      <w:tr w:rsidR="00072CE8" w:rsidRPr="00EB2E7B" w14:paraId="00001253" w14:textId="77777777" w:rsidTr="3FE7975F">
        <w:trPr>
          <w:trHeight w:val="100"/>
        </w:trPr>
        <w:tc>
          <w:tcPr>
            <w:tcW w:w="1242" w:type="dxa"/>
          </w:tcPr>
          <w:p w14:paraId="2C39AC02"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3. </w:t>
            </w:r>
          </w:p>
        </w:tc>
        <w:tc>
          <w:tcPr>
            <w:tcW w:w="7797" w:type="dxa"/>
          </w:tcPr>
          <w:p w14:paraId="3B888917"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Dane sprzedawcy: </w:t>
            </w:r>
          </w:p>
        </w:tc>
      </w:tr>
      <w:tr w:rsidR="00072CE8" w:rsidRPr="00EB2E7B" w14:paraId="194B6268" w14:textId="77777777" w:rsidTr="3FE7975F">
        <w:trPr>
          <w:trHeight w:val="100"/>
        </w:trPr>
        <w:tc>
          <w:tcPr>
            <w:tcW w:w="1242" w:type="dxa"/>
          </w:tcPr>
          <w:p w14:paraId="1DCB9AE6"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3.1. </w:t>
            </w:r>
          </w:p>
        </w:tc>
        <w:tc>
          <w:tcPr>
            <w:tcW w:w="7797" w:type="dxa"/>
          </w:tcPr>
          <w:p w14:paraId="27022B7F"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nazwa, </w:t>
            </w:r>
          </w:p>
        </w:tc>
      </w:tr>
      <w:tr w:rsidR="00072CE8" w:rsidRPr="00EB2E7B" w14:paraId="15D83DD5" w14:textId="77777777" w:rsidTr="3FE7975F">
        <w:trPr>
          <w:trHeight w:val="239"/>
        </w:trPr>
        <w:tc>
          <w:tcPr>
            <w:tcW w:w="1242" w:type="dxa"/>
          </w:tcPr>
          <w:p w14:paraId="7C0AFD41"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3.2. </w:t>
            </w:r>
          </w:p>
        </w:tc>
        <w:tc>
          <w:tcPr>
            <w:tcW w:w="7797" w:type="dxa"/>
          </w:tcPr>
          <w:p w14:paraId="4CA29FC6"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kod nadany przez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(w przypadku kiedy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nadał taki kod albo stosuje się kod nadany przez OSP). </w:t>
            </w:r>
          </w:p>
        </w:tc>
      </w:tr>
      <w:tr w:rsidR="00072CE8" w:rsidRPr="00EB2E7B" w14:paraId="1119D1D9" w14:textId="77777777" w:rsidTr="3FE7975F">
        <w:trPr>
          <w:trHeight w:val="100"/>
        </w:trPr>
        <w:tc>
          <w:tcPr>
            <w:tcW w:w="1242" w:type="dxa"/>
          </w:tcPr>
          <w:p w14:paraId="23C8D21F"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4.</w:t>
            </w:r>
          </w:p>
        </w:tc>
        <w:tc>
          <w:tcPr>
            <w:tcW w:w="7797" w:type="dxa"/>
          </w:tcPr>
          <w:p w14:paraId="6A31BC83" w14:textId="4ECAD8E4"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Nazwa sprzedawcy rezerwowego</w:t>
            </w:r>
            <w:r w:rsidR="006A28E4" w:rsidRPr="00EB2E7B">
              <w:rPr>
                <w:rFonts w:asciiTheme="minorHAnsi" w:hAnsiTheme="minorHAnsi" w:cstheme="minorHAnsi"/>
                <w:sz w:val="20"/>
                <w:szCs w:val="20"/>
              </w:rPr>
              <w:t>*</w:t>
            </w:r>
          </w:p>
        </w:tc>
      </w:tr>
      <w:tr w:rsidR="00072CE8" w:rsidRPr="00EB2E7B" w14:paraId="21959CEF" w14:textId="77777777" w:rsidTr="3FE7975F">
        <w:trPr>
          <w:trHeight w:val="100"/>
        </w:trPr>
        <w:tc>
          <w:tcPr>
            <w:tcW w:w="1242" w:type="dxa"/>
          </w:tcPr>
          <w:p w14:paraId="269426A9"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5. </w:t>
            </w:r>
          </w:p>
        </w:tc>
        <w:tc>
          <w:tcPr>
            <w:tcW w:w="7797" w:type="dxa"/>
          </w:tcPr>
          <w:p w14:paraId="1C9BD70C"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Dane URD (Odbiorcy): </w:t>
            </w:r>
          </w:p>
        </w:tc>
      </w:tr>
      <w:tr w:rsidR="00072CE8" w:rsidRPr="00EB2E7B" w14:paraId="61CB3775" w14:textId="77777777" w:rsidTr="3FE7975F">
        <w:trPr>
          <w:trHeight w:val="100"/>
        </w:trPr>
        <w:tc>
          <w:tcPr>
            <w:tcW w:w="1242" w:type="dxa"/>
          </w:tcPr>
          <w:p w14:paraId="03B251CC"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5.1. </w:t>
            </w:r>
          </w:p>
        </w:tc>
        <w:tc>
          <w:tcPr>
            <w:tcW w:w="7797" w:type="dxa"/>
          </w:tcPr>
          <w:p w14:paraId="6AF8B1D5"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nazwa, </w:t>
            </w:r>
          </w:p>
        </w:tc>
      </w:tr>
      <w:tr w:rsidR="00072CE8" w:rsidRPr="00EB2E7B" w14:paraId="70B00B77" w14:textId="77777777" w:rsidTr="3FE7975F">
        <w:trPr>
          <w:trHeight w:val="100"/>
        </w:trPr>
        <w:tc>
          <w:tcPr>
            <w:tcW w:w="1242" w:type="dxa"/>
          </w:tcPr>
          <w:p w14:paraId="4C1B5FBD"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5.2. </w:t>
            </w:r>
          </w:p>
        </w:tc>
        <w:tc>
          <w:tcPr>
            <w:tcW w:w="7797" w:type="dxa"/>
          </w:tcPr>
          <w:p w14:paraId="5134C680"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kod pocztowy, </w:t>
            </w:r>
          </w:p>
        </w:tc>
      </w:tr>
      <w:tr w:rsidR="00072CE8" w:rsidRPr="00EB2E7B" w14:paraId="41D65C7B" w14:textId="77777777" w:rsidTr="3FE7975F">
        <w:trPr>
          <w:trHeight w:val="100"/>
        </w:trPr>
        <w:tc>
          <w:tcPr>
            <w:tcW w:w="1242" w:type="dxa"/>
          </w:tcPr>
          <w:p w14:paraId="2CB4D4CF"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5.3. </w:t>
            </w:r>
          </w:p>
        </w:tc>
        <w:tc>
          <w:tcPr>
            <w:tcW w:w="7797" w:type="dxa"/>
          </w:tcPr>
          <w:p w14:paraId="3054D75A"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miejscowość, </w:t>
            </w:r>
          </w:p>
        </w:tc>
      </w:tr>
      <w:tr w:rsidR="00072CE8" w:rsidRPr="00EB2E7B" w14:paraId="0937724D" w14:textId="77777777" w:rsidTr="3FE7975F">
        <w:trPr>
          <w:trHeight w:val="100"/>
        </w:trPr>
        <w:tc>
          <w:tcPr>
            <w:tcW w:w="1242" w:type="dxa"/>
          </w:tcPr>
          <w:p w14:paraId="57A6AAC8"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5.4. </w:t>
            </w:r>
          </w:p>
        </w:tc>
        <w:tc>
          <w:tcPr>
            <w:tcW w:w="7797" w:type="dxa"/>
          </w:tcPr>
          <w:p w14:paraId="2FF29B2A"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ulica, </w:t>
            </w:r>
          </w:p>
        </w:tc>
      </w:tr>
      <w:tr w:rsidR="00072CE8" w:rsidRPr="00EB2E7B" w14:paraId="64698338" w14:textId="77777777" w:rsidTr="3FE7975F">
        <w:trPr>
          <w:trHeight w:val="100"/>
        </w:trPr>
        <w:tc>
          <w:tcPr>
            <w:tcW w:w="1242" w:type="dxa"/>
          </w:tcPr>
          <w:p w14:paraId="2F28B7DC"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5.5. </w:t>
            </w:r>
          </w:p>
        </w:tc>
        <w:tc>
          <w:tcPr>
            <w:tcW w:w="7797" w:type="dxa"/>
          </w:tcPr>
          <w:p w14:paraId="48223C20"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nr budynku, </w:t>
            </w:r>
          </w:p>
        </w:tc>
      </w:tr>
      <w:tr w:rsidR="00072CE8" w:rsidRPr="00EB2E7B" w14:paraId="539CAAFB" w14:textId="77777777" w:rsidTr="3FE7975F">
        <w:trPr>
          <w:trHeight w:val="100"/>
        </w:trPr>
        <w:tc>
          <w:tcPr>
            <w:tcW w:w="1242" w:type="dxa"/>
          </w:tcPr>
          <w:p w14:paraId="3EDBF541"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5.6. </w:t>
            </w:r>
          </w:p>
        </w:tc>
        <w:tc>
          <w:tcPr>
            <w:tcW w:w="7797" w:type="dxa"/>
          </w:tcPr>
          <w:p w14:paraId="175C8666"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nr lokalu, </w:t>
            </w:r>
          </w:p>
        </w:tc>
      </w:tr>
      <w:tr w:rsidR="00072CE8" w:rsidRPr="00EB2E7B" w14:paraId="5F58B179" w14:textId="77777777" w:rsidTr="3FE7975F">
        <w:trPr>
          <w:trHeight w:val="100"/>
        </w:trPr>
        <w:tc>
          <w:tcPr>
            <w:tcW w:w="1242" w:type="dxa"/>
          </w:tcPr>
          <w:p w14:paraId="3C58344D"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5.7. </w:t>
            </w:r>
          </w:p>
        </w:tc>
        <w:tc>
          <w:tcPr>
            <w:tcW w:w="7797" w:type="dxa"/>
          </w:tcPr>
          <w:p w14:paraId="1EDB5500"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NIP/PESEL/nr paszportu (nr paszportu dotyczy obcokrajowców). </w:t>
            </w:r>
          </w:p>
        </w:tc>
      </w:tr>
      <w:tr w:rsidR="001165A8" w:rsidRPr="00EB2E7B" w14:paraId="3B7AC5D7" w14:textId="77777777" w:rsidTr="3FE7975F">
        <w:trPr>
          <w:trHeight w:val="100"/>
        </w:trPr>
        <w:tc>
          <w:tcPr>
            <w:tcW w:w="1242" w:type="dxa"/>
          </w:tcPr>
          <w:p w14:paraId="79C85399" w14:textId="1303AD14" w:rsidR="001165A8" w:rsidRPr="00EB2E7B" w:rsidRDefault="001165A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5.8.</w:t>
            </w:r>
          </w:p>
        </w:tc>
        <w:tc>
          <w:tcPr>
            <w:tcW w:w="7797" w:type="dxa"/>
          </w:tcPr>
          <w:p w14:paraId="153C0AE6" w14:textId="312DC23B" w:rsidR="001165A8" w:rsidRPr="00EB2E7B" w:rsidRDefault="001165A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nr telefonu</w:t>
            </w:r>
          </w:p>
        </w:tc>
      </w:tr>
      <w:tr w:rsidR="001165A8" w:rsidRPr="00EB2E7B" w14:paraId="40983957" w14:textId="77777777" w:rsidTr="3FE7975F">
        <w:trPr>
          <w:trHeight w:val="100"/>
        </w:trPr>
        <w:tc>
          <w:tcPr>
            <w:tcW w:w="1242" w:type="dxa"/>
          </w:tcPr>
          <w:p w14:paraId="649E74EF" w14:textId="46343B64" w:rsidR="001165A8" w:rsidRPr="00EB2E7B" w:rsidRDefault="001165A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5.9.</w:t>
            </w:r>
          </w:p>
        </w:tc>
        <w:tc>
          <w:tcPr>
            <w:tcW w:w="7797" w:type="dxa"/>
          </w:tcPr>
          <w:p w14:paraId="2DF8E5E4" w14:textId="6B1A603E" w:rsidR="001165A8" w:rsidRPr="00EB2E7B" w:rsidRDefault="001165A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adres e-mail</w:t>
            </w:r>
          </w:p>
        </w:tc>
      </w:tr>
      <w:tr w:rsidR="00F73FEE" w:rsidRPr="00EB2E7B" w14:paraId="355F26BE" w14:textId="77777777" w:rsidTr="3FE7975F">
        <w:trPr>
          <w:trHeight w:val="100"/>
        </w:trPr>
        <w:tc>
          <w:tcPr>
            <w:tcW w:w="1242" w:type="dxa"/>
          </w:tcPr>
          <w:p w14:paraId="5667E3F3" w14:textId="0C1AB7B0" w:rsidR="00F73FEE" w:rsidRPr="00EB2E7B" w:rsidRDefault="00F73FEE"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5.10.</w:t>
            </w:r>
          </w:p>
        </w:tc>
        <w:tc>
          <w:tcPr>
            <w:tcW w:w="7797" w:type="dxa"/>
          </w:tcPr>
          <w:p w14:paraId="708D38EB" w14:textId="271BE0D5" w:rsidR="00F73FEE" w:rsidRPr="00EB2E7B" w:rsidRDefault="00F73FEE"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status</w:t>
            </w:r>
          </w:p>
          <w:p w14:paraId="577169D6" w14:textId="329574AA" w:rsidR="005F6383" w:rsidRPr="00EB2E7B" w:rsidRDefault="00792922" w:rsidP="005F6383">
            <w:pPr>
              <w:tabs>
                <w:tab w:val="left" w:pos="6480"/>
              </w:tabs>
              <w:spacing w:after="0"/>
              <w:ind w:left="426"/>
              <w:rPr>
                <w:rFonts w:asciiTheme="minorHAnsi" w:hAnsiTheme="minorHAnsi" w:cstheme="minorHAnsi"/>
                <w:sz w:val="20"/>
                <w:szCs w:val="20"/>
              </w:rPr>
            </w:pPr>
            <w:sdt>
              <w:sdtPr>
                <w:rPr>
                  <w:rFonts w:asciiTheme="minorHAnsi" w:hAnsiTheme="minorHAnsi" w:cstheme="minorHAnsi"/>
                  <w:sz w:val="20"/>
                  <w:szCs w:val="20"/>
                </w:rPr>
                <w:id w:val="-3899794"/>
                <w14:checkbox>
                  <w14:checked w14:val="0"/>
                  <w14:checkedState w14:val="2612" w14:font="MS Gothic"/>
                  <w14:uncheckedState w14:val="2610" w14:font="MS Gothic"/>
                </w14:checkbox>
              </w:sdtPr>
              <w:sdtEndPr/>
              <w:sdtContent>
                <w:r w:rsidR="005F6383" w:rsidRPr="00EB2E7B">
                  <w:rPr>
                    <w:rFonts w:ascii="Segoe UI Symbol" w:eastAsia="MS Gothic" w:hAnsi="Segoe UI Symbol" w:cs="Segoe UI Symbol"/>
                    <w:sz w:val="20"/>
                    <w:szCs w:val="20"/>
                  </w:rPr>
                  <w:t>☐</w:t>
                </w:r>
              </w:sdtContent>
            </w:sdt>
            <w:r w:rsidR="005F6383" w:rsidRPr="00EB2E7B">
              <w:rPr>
                <w:rFonts w:asciiTheme="minorHAnsi" w:hAnsiTheme="minorHAnsi" w:cstheme="minorHAnsi"/>
                <w:sz w:val="20"/>
                <w:szCs w:val="20"/>
              </w:rPr>
              <w:t>mikro</w:t>
            </w:r>
          </w:p>
          <w:p w14:paraId="34F626FC" w14:textId="6305057A" w:rsidR="005F6383" w:rsidRPr="00EB2E7B" w:rsidRDefault="00792922" w:rsidP="005F6383">
            <w:pPr>
              <w:tabs>
                <w:tab w:val="left" w:pos="6480"/>
              </w:tabs>
              <w:spacing w:after="0"/>
              <w:ind w:left="426"/>
              <w:rPr>
                <w:rFonts w:asciiTheme="minorHAnsi" w:hAnsiTheme="minorHAnsi" w:cstheme="minorHAnsi"/>
                <w:sz w:val="20"/>
                <w:szCs w:val="20"/>
              </w:rPr>
            </w:pPr>
            <w:sdt>
              <w:sdtPr>
                <w:rPr>
                  <w:rFonts w:asciiTheme="minorHAnsi" w:hAnsiTheme="minorHAnsi" w:cstheme="minorHAnsi"/>
                  <w:sz w:val="20"/>
                  <w:szCs w:val="20"/>
                </w:rPr>
                <w:id w:val="-1424495927"/>
                <w14:checkbox>
                  <w14:checked w14:val="0"/>
                  <w14:checkedState w14:val="2612" w14:font="MS Gothic"/>
                  <w14:uncheckedState w14:val="2610" w14:font="MS Gothic"/>
                </w14:checkbox>
              </w:sdtPr>
              <w:sdtEndPr/>
              <w:sdtContent>
                <w:r w:rsidR="005F6383" w:rsidRPr="00EB2E7B">
                  <w:rPr>
                    <w:rFonts w:ascii="Segoe UI Symbol" w:eastAsia="MS Gothic" w:hAnsi="Segoe UI Symbol" w:cs="Segoe UI Symbol"/>
                    <w:sz w:val="20"/>
                    <w:szCs w:val="20"/>
                  </w:rPr>
                  <w:t>☐</w:t>
                </w:r>
              </w:sdtContent>
            </w:sdt>
            <w:r w:rsidR="005F6383" w:rsidRPr="00EB2E7B">
              <w:rPr>
                <w:rFonts w:asciiTheme="minorHAnsi" w:hAnsiTheme="minorHAnsi" w:cstheme="minorHAnsi"/>
                <w:sz w:val="20"/>
                <w:szCs w:val="20"/>
              </w:rPr>
              <w:t xml:space="preserve">małego </w:t>
            </w:r>
          </w:p>
          <w:p w14:paraId="62426F21" w14:textId="13E4F187" w:rsidR="005F6383" w:rsidRPr="00EB2E7B" w:rsidRDefault="00792922" w:rsidP="005F6383">
            <w:pPr>
              <w:tabs>
                <w:tab w:val="left" w:pos="6480"/>
              </w:tabs>
              <w:spacing w:after="0"/>
              <w:ind w:left="426"/>
              <w:rPr>
                <w:rFonts w:asciiTheme="minorHAnsi" w:hAnsiTheme="minorHAnsi" w:cstheme="minorHAnsi"/>
                <w:sz w:val="20"/>
                <w:szCs w:val="20"/>
              </w:rPr>
            </w:pPr>
            <w:sdt>
              <w:sdtPr>
                <w:rPr>
                  <w:rFonts w:asciiTheme="minorHAnsi" w:hAnsiTheme="minorHAnsi" w:cstheme="minorHAnsi"/>
                  <w:sz w:val="20"/>
                  <w:szCs w:val="20"/>
                </w:rPr>
                <w:id w:val="1298715063"/>
                <w14:checkbox>
                  <w14:checked w14:val="0"/>
                  <w14:checkedState w14:val="2612" w14:font="MS Gothic"/>
                  <w14:uncheckedState w14:val="2610" w14:font="MS Gothic"/>
                </w14:checkbox>
              </w:sdtPr>
              <w:sdtEndPr/>
              <w:sdtContent>
                <w:r w:rsidR="005F6383" w:rsidRPr="00EB2E7B">
                  <w:rPr>
                    <w:rFonts w:ascii="Segoe UI Symbol" w:eastAsia="MS Gothic" w:hAnsi="Segoe UI Symbol" w:cs="Segoe UI Symbol"/>
                    <w:sz w:val="20"/>
                    <w:szCs w:val="20"/>
                  </w:rPr>
                  <w:t>☐</w:t>
                </w:r>
              </w:sdtContent>
            </w:sdt>
            <w:r w:rsidR="005F6383" w:rsidRPr="00EB2E7B">
              <w:rPr>
                <w:rFonts w:asciiTheme="minorHAnsi" w:hAnsiTheme="minorHAnsi" w:cstheme="minorHAnsi"/>
                <w:sz w:val="20"/>
                <w:szCs w:val="20"/>
              </w:rPr>
              <w:t>średniego</w:t>
            </w:r>
          </w:p>
          <w:p w14:paraId="0C5F6496" w14:textId="6DF20005" w:rsidR="0033556A" w:rsidRPr="00EB2E7B" w:rsidRDefault="00792922" w:rsidP="0033556A">
            <w:pPr>
              <w:tabs>
                <w:tab w:val="left" w:pos="6480"/>
              </w:tabs>
              <w:spacing w:after="0"/>
              <w:ind w:left="426"/>
              <w:rPr>
                <w:rFonts w:asciiTheme="minorHAnsi" w:hAnsiTheme="minorHAnsi" w:cstheme="minorHAnsi"/>
                <w:sz w:val="20"/>
                <w:szCs w:val="20"/>
              </w:rPr>
            </w:pPr>
            <w:sdt>
              <w:sdtPr>
                <w:rPr>
                  <w:rFonts w:asciiTheme="minorHAnsi" w:hAnsiTheme="minorHAnsi" w:cstheme="minorHAnsi"/>
                  <w:sz w:val="20"/>
                  <w:szCs w:val="20"/>
                </w:rPr>
                <w:id w:val="414899224"/>
                <w14:checkbox>
                  <w14:checked w14:val="0"/>
                  <w14:checkedState w14:val="2612" w14:font="MS Gothic"/>
                  <w14:uncheckedState w14:val="2610" w14:font="MS Gothic"/>
                </w14:checkbox>
              </w:sdtPr>
              <w:sdtEndPr/>
              <w:sdtContent>
                <w:r w:rsidR="0033556A" w:rsidRPr="00EB2E7B">
                  <w:rPr>
                    <w:rFonts w:ascii="Segoe UI Symbol" w:eastAsia="MS Gothic" w:hAnsi="Segoe UI Symbol" w:cs="Segoe UI Symbol"/>
                    <w:sz w:val="20"/>
                    <w:szCs w:val="20"/>
                  </w:rPr>
                  <w:t>☐</w:t>
                </w:r>
              </w:sdtContent>
            </w:sdt>
            <w:r w:rsidR="0033556A" w:rsidRPr="00EB2E7B">
              <w:rPr>
                <w:rFonts w:asciiTheme="minorHAnsi" w:hAnsiTheme="minorHAnsi" w:cstheme="minorHAnsi"/>
                <w:sz w:val="20"/>
                <w:szCs w:val="20"/>
              </w:rPr>
              <w:t>dużego</w:t>
            </w:r>
          </w:p>
          <w:p w14:paraId="6AA0C980" w14:textId="04705055" w:rsidR="00F73FEE" w:rsidRPr="00EB2E7B" w:rsidRDefault="005F6383" w:rsidP="00126655">
            <w:pPr>
              <w:tabs>
                <w:tab w:val="left" w:pos="6480"/>
              </w:tabs>
              <w:spacing w:after="0"/>
              <w:rPr>
                <w:rFonts w:asciiTheme="minorHAnsi" w:hAnsiTheme="minorHAnsi" w:cstheme="minorHAnsi"/>
                <w:sz w:val="20"/>
                <w:szCs w:val="20"/>
              </w:rPr>
            </w:pPr>
            <w:r w:rsidRPr="00EB2E7B">
              <w:rPr>
                <w:rFonts w:asciiTheme="minorHAnsi" w:hAnsiTheme="minorHAnsi" w:cstheme="minorHAnsi"/>
                <w:sz w:val="20"/>
                <w:szCs w:val="20"/>
              </w:rPr>
              <w:t xml:space="preserve">przedsiębiorcy w rozumieniu ustawy z dnia 6 marca 2018 r. </w:t>
            </w:r>
            <w:r w:rsidR="00330176" w:rsidRPr="00EB2E7B">
              <w:rPr>
                <w:rFonts w:asciiTheme="minorHAnsi" w:hAnsiTheme="minorHAnsi" w:cstheme="minorHAnsi"/>
                <w:sz w:val="20"/>
                <w:szCs w:val="20"/>
              </w:rPr>
              <w:t>P</w:t>
            </w:r>
            <w:r w:rsidRPr="00EB2E7B">
              <w:rPr>
                <w:rFonts w:asciiTheme="minorHAnsi" w:hAnsiTheme="minorHAnsi" w:cstheme="minorHAnsi"/>
                <w:sz w:val="20"/>
                <w:szCs w:val="20"/>
              </w:rPr>
              <w:t>rawo przedsiębiorc</w:t>
            </w:r>
            <w:r w:rsidR="00330176" w:rsidRPr="00EB2E7B">
              <w:rPr>
                <w:rFonts w:asciiTheme="minorHAnsi" w:hAnsiTheme="minorHAnsi" w:cstheme="minorHAnsi"/>
                <w:sz w:val="20"/>
                <w:szCs w:val="20"/>
              </w:rPr>
              <w:t>ów</w:t>
            </w:r>
            <w:r w:rsidRPr="00EB2E7B">
              <w:rPr>
                <w:rFonts w:asciiTheme="minorHAnsi" w:hAnsiTheme="minorHAnsi" w:cstheme="minorHAnsi"/>
                <w:sz w:val="20"/>
                <w:szCs w:val="20"/>
              </w:rPr>
              <w:t xml:space="preserve"> (</w:t>
            </w:r>
            <w:r w:rsidR="00330176" w:rsidRPr="00EB2E7B">
              <w:rPr>
                <w:rFonts w:asciiTheme="minorHAnsi" w:hAnsiTheme="minorHAnsi" w:cstheme="minorHAnsi"/>
                <w:sz w:val="20"/>
                <w:szCs w:val="20"/>
              </w:rPr>
              <w:t>D</w:t>
            </w:r>
            <w:r w:rsidRPr="00EB2E7B">
              <w:rPr>
                <w:rFonts w:asciiTheme="minorHAnsi" w:hAnsiTheme="minorHAnsi" w:cstheme="minorHAnsi"/>
                <w:sz w:val="20"/>
                <w:szCs w:val="20"/>
              </w:rPr>
              <w:t>z.</w:t>
            </w:r>
            <w:r w:rsidR="00330176" w:rsidRPr="00EB2E7B">
              <w:rPr>
                <w:rFonts w:asciiTheme="minorHAnsi" w:hAnsiTheme="minorHAnsi" w:cstheme="minorHAnsi"/>
                <w:sz w:val="20"/>
                <w:szCs w:val="20"/>
              </w:rPr>
              <w:t>U</w:t>
            </w:r>
            <w:r w:rsidRPr="00EB2E7B">
              <w:rPr>
                <w:rFonts w:asciiTheme="minorHAnsi" w:hAnsiTheme="minorHAnsi" w:cstheme="minorHAnsi"/>
                <w:sz w:val="20"/>
                <w:szCs w:val="20"/>
              </w:rPr>
              <w:t>. z 2024 r. poz. 236</w:t>
            </w:r>
            <w:r w:rsidR="00D7576A" w:rsidRPr="00EB2E7B">
              <w:rPr>
                <w:rFonts w:asciiTheme="minorHAnsi" w:hAnsiTheme="minorHAnsi" w:cstheme="minorHAnsi"/>
                <w:sz w:val="20"/>
                <w:szCs w:val="20"/>
              </w:rPr>
              <w:t xml:space="preserve"> z </w:t>
            </w:r>
            <w:proofErr w:type="spellStart"/>
            <w:r w:rsidR="00D7576A" w:rsidRPr="00EB2E7B">
              <w:rPr>
                <w:rFonts w:asciiTheme="minorHAnsi" w:hAnsiTheme="minorHAnsi" w:cstheme="minorHAnsi"/>
                <w:sz w:val="20"/>
                <w:szCs w:val="20"/>
              </w:rPr>
              <w:t>późn</w:t>
            </w:r>
            <w:proofErr w:type="spellEnd"/>
            <w:r w:rsidR="00D7576A" w:rsidRPr="00EB2E7B">
              <w:rPr>
                <w:rFonts w:asciiTheme="minorHAnsi" w:hAnsiTheme="minorHAnsi" w:cstheme="minorHAnsi"/>
                <w:sz w:val="20"/>
                <w:szCs w:val="20"/>
              </w:rPr>
              <w:t>. zm.</w:t>
            </w:r>
            <w:r w:rsidRPr="00EB2E7B">
              <w:rPr>
                <w:rFonts w:asciiTheme="minorHAnsi" w:hAnsiTheme="minorHAnsi" w:cstheme="minorHAnsi"/>
                <w:sz w:val="20"/>
                <w:szCs w:val="20"/>
              </w:rPr>
              <w:t>).</w:t>
            </w:r>
          </w:p>
        </w:tc>
      </w:tr>
      <w:tr w:rsidR="00072CE8" w:rsidRPr="00EB2E7B" w14:paraId="7BD2B073" w14:textId="77777777" w:rsidTr="3FE7975F">
        <w:trPr>
          <w:trHeight w:val="100"/>
        </w:trPr>
        <w:tc>
          <w:tcPr>
            <w:tcW w:w="1242" w:type="dxa"/>
          </w:tcPr>
          <w:p w14:paraId="689D4BF1"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6. </w:t>
            </w:r>
          </w:p>
        </w:tc>
        <w:tc>
          <w:tcPr>
            <w:tcW w:w="7797" w:type="dxa"/>
          </w:tcPr>
          <w:p w14:paraId="75774659"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Dane punktu poboru: </w:t>
            </w:r>
          </w:p>
        </w:tc>
      </w:tr>
      <w:tr w:rsidR="00072CE8" w:rsidRPr="00EB2E7B" w14:paraId="4E266DB2" w14:textId="77777777" w:rsidTr="3FE7975F">
        <w:trPr>
          <w:trHeight w:val="100"/>
        </w:trPr>
        <w:tc>
          <w:tcPr>
            <w:tcW w:w="1242" w:type="dxa"/>
          </w:tcPr>
          <w:p w14:paraId="5CC8302D"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6.1. </w:t>
            </w:r>
          </w:p>
        </w:tc>
        <w:tc>
          <w:tcPr>
            <w:tcW w:w="7797" w:type="dxa"/>
          </w:tcPr>
          <w:p w14:paraId="06ED06B1"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kod identyfikacyjny PPE, a w przypadku jego braku nr fabryczny licznika </w:t>
            </w:r>
          </w:p>
        </w:tc>
      </w:tr>
      <w:tr w:rsidR="00072CE8" w:rsidRPr="00EB2E7B" w14:paraId="3F927A81" w14:textId="77777777" w:rsidTr="3FE7975F">
        <w:trPr>
          <w:trHeight w:val="100"/>
        </w:trPr>
        <w:tc>
          <w:tcPr>
            <w:tcW w:w="1242" w:type="dxa"/>
          </w:tcPr>
          <w:p w14:paraId="334B24C0"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6.2. </w:t>
            </w:r>
          </w:p>
        </w:tc>
        <w:tc>
          <w:tcPr>
            <w:tcW w:w="7797" w:type="dxa"/>
          </w:tcPr>
          <w:p w14:paraId="64CDA07B"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kod pocztowy, </w:t>
            </w:r>
          </w:p>
        </w:tc>
      </w:tr>
      <w:tr w:rsidR="00072CE8" w:rsidRPr="00EB2E7B" w14:paraId="7BAF26F4" w14:textId="77777777" w:rsidTr="3FE7975F">
        <w:trPr>
          <w:trHeight w:val="100"/>
        </w:trPr>
        <w:tc>
          <w:tcPr>
            <w:tcW w:w="1242" w:type="dxa"/>
          </w:tcPr>
          <w:p w14:paraId="71728F50"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6.3. </w:t>
            </w:r>
          </w:p>
        </w:tc>
        <w:tc>
          <w:tcPr>
            <w:tcW w:w="7797" w:type="dxa"/>
          </w:tcPr>
          <w:p w14:paraId="52F0D1D8"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miejscowość, </w:t>
            </w:r>
          </w:p>
        </w:tc>
      </w:tr>
      <w:tr w:rsidR="00072CE8" w:rsidRPr="00EB2E7B" w14:paraId="526A929A" w14:textId="77777777" w:rsidTr="3FE7975F">
        <w:trPr>
          <w:trHeight w:val="100"/>
        </w:trPr>
        <w:tc>
          <w:tcPr>
            <w:tcW w:w="1242" w:type="dxa"/>
          </w:tcPr>
          <w:p w14:paraId="09765688"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6.4. </w:t>
            </w:r>
          </w:p>
        </w:tc>
        <w:tc>
          <w:tcPr>
            <w:tcW w:w="7797" w:type="dxa"/>
          </w:tcPr>
          <w:p w14:paraId="1BE24480"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ulica, </w:t>
            </w:r>
          </w:p>
        </w:tc>
      </w:tr>
      <w:tr w:rsidR="00072CE8" w:rsidRPr="00EB2E7B" w14:paraId="7811605B" w14:textId="77777777" w:rsidTr="3FE7975F">
        <w:trPr>
          <w:trHeight w:val="100"/>
        </w:trPr>
        <w:tc>
          <w:tcPr>
            <w:tcW w:w="1242" w:type="dxa"/>
          </w:tcPr>
          <w:p w14:paraId="5D870F4F"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lastRenderedPageBreak/>
              <w:t xml:space="preserve">6.5. </w:t>
            </w:r>
          </w:p>
        </w:tc>
        <w:tc>
          <w:tcPr>
            <w:tcW w:w="7797" w:type="dxa"/>
          </w:tcPr>
          <w:p w14:paraId="21634316"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nr budynku, </w:t>
            </w:r>
          </w:p>
        </w:tc>
      </w:tr>
      <w:tr w:rsidR="00072CE8" w:rsidRPr="00EB2E7B" w14:paraId="5258C673" w14:textId="77777777" w:rsidTr="3FE7975F">
        <w:trPr>
          <w:trHeight w:val="100"/>
        </w:trPr>
        <w:tc>
          <w:tcPr>
            <w:tcW w:w="1242" w:type="dxa"/>
          </w:tcPr>
          <w:p w14:paraId="4DAA7A32"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6.6. </w:t>
            </w:r>
          </w:p>
        </w:tc>
        <w:tc>
          <w:tcPr>
            <w:tcW w:w="7797" w:type="dxa"/>
          </w:tcPr>
          <w:p w14:paraId="201EA2D0"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nr lokalu tego punktu poboru. </w:t>
            </w:r>
          </w:p>
        </w:tc>
      </w:tr>
      <w:tr w:rsidR="00072CE8" w:rsidRPr="00EB2E7B" w14:paraId="0C12BD18" w14:textId="77777777" w:rsidTr="3FE7975F">
        <w:trPr>
          <w:trHeight w:val="100"/>
        </w:trPr>
        <w:tc>
          <w:tcPr>
            <w:tcW w:w="1242" w:type="dxa"/>
          </w:tcPr>
          <w:p w14:paraId="32C20F28"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6.7.</w:t>
            </w:r>
          </w:p>
        </w:tc>
        <w:tc>
          <w:tcPr>
            <w:tcW w:w="7797" w:type="dxa"/>
          </w:tcPr>
          <w:p w14:paraId="59CC4227" w14:textId="4190BBEE" w:rsidR="00072CE8" w:rsidRPr="00EB2E7B" w:rsidRDefault="00A151A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n</w:t>
            </w:r>
            <w:r w:rsidR="00072CE8" w:rsidRPr="00EB2E7B">
              <w:rPr>
                <w:rFonts w:asciiTheme="minorHAnsi" w:hAnsiTheme="minorHAnsi" w:cstheme="minorHAnsi"/>
                <w:sz w:val="20"/>
                <w:szCs w:val="20"/>
              </w:rPr>
              <w:t>r działki (w przypadku braku administracyjnego numeru budynku) lub numer lokalu wg. oznaczeń administratora budynku wielolokalowego</w:t>
            </w:r>
          </w:p>
        </w:tc>
      </w:tr>
      <w:tr w:rsidR="00072CE8" w:rsidRPr="00EB2E7B" w14:paraId="768995DE" w14:textId="77777777" w:rsidTr="3FE7975F">
        <w:trPr>
          <w:trHeight w:val="100"/>
        </w:trPr>
        <w:tc>
          <w:tcPr>
            <w:tcW w:w="1242" w:type="dxa"/>
          </w:tcPr>
          <w:p w14:paraId="45ECFCE9"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7. </w:t>
            </w:r>
          </w:p>
        </w:tc>
        <w:tc>
          <w:tcPr>
            <w:tcW w:w="7797" w:type="dxa"/>
          </w:tcPr>
          <w:p w14:paraId="2FAF6384"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Data rozpoczęcia obowiązywania umowy sprzedaży/umowy kompleksowej. </w:t>
            </w:r>
          </w:p>
        </w:tc>
      </w:tr>
      <w:tr w:rsidR="00072CE8" w:rsidRPr="00EB2E7B" w14:paraId="18EF7788" w14:textId="77777777" w:rsidTr="3FE7975F">
        <w:trPr>
          <w:trHeight w:val="860"/>
        </w:trPr>
        <w:tc>
          <w:tcPr>
            <w:tcW w:w="1242" w:type="dxa"/>
          </w:tcPr>
          <w:p w14:paraId="17475A77" w14:textId="2B47C6A6" w:rsidR="00072CE8" w:rsidRPr="00EB2E7B" w:rsidRDefault="00E1728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8.</w:t>
            </w:r>
          </w:p>
        </w:tc>
        <w:tc>
          <w:tcPr>
            <w:tcW w:w="7797" w:type="dxa"/>
          </w:tcPr>
          <w:p w14:paraId="2766419A" w14:textId="5027D135"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Planowana średnioroczn</w:t>
            </w:r>
            <w:r w:rsidR="00B54CC6" w:rsidRPr="00EB2E7B">
              <w:rPr>
                <w:rFonts w:asciiTheme="minorHAnsi" w:hAnsiTheme="minorHAnsi" w:cstheme="minorHAnsi"/>
                <w:sz w:val="20"/>
                <w:szCs w:val="20"/>
              </w:rPr>
              <w:t>a</w:t>
            </w:r>
            <w:r w:rsidRPr="00EB2E7B">
              <w:rPr>
                <w:rFonts w:asciiTheme="minorHAnsi" w:hAnsiTheme="minorHAnsi" w:cstheme="minorHAnsi"/>
                <w:sz w:val="20"/>
                <w:szCs w:val="20"/>
              </w:rPr>
              <w:t xml:space="preserve"> ilość energii elektrycznej objętej umową sprzedaży</w:t>
            </w:r>
            <w:r w:rsidR="00403019" w:rsidRPr="00EB2E7B">
              <w:rPr>
                <w:rFonts w:asciiTheme="minorHAnsi" w:hAnsiTheme="minorHAnsi" w:cstheme="minorHAnsi"/>
                <w:sz w:val="20"/>
                <w:szCs w:val="20"/>
              </w:rPr>
              <w:t>/umową kompleksową</w:t>
            </w:r>
            <w:r w:rsidRPr="00EB2E7B">
              <w:rPr>
                <w:rFonts w:asciiTheme="minorHAnsi" w:hAnsiTheme="minorHAnsi" w:cstheme="minorHAnsi"/>
                <w:sz w:val="20"/>
                <w:szCs w:val="20"/>
              </w:rPr>
              <w:t xml:space="preserve"> w podziale na poszczególne punkty PPE lub w przypadku umów zawartych na okres krótszy niż rok planowan</w:t>
            </w:r>
            <w:r w:rsidR="009C7798" w:rsidRPr="00EB2E7B">
              <w:rPr>
                <w:rFonts w:asciiTheme="minorHAnsi" w:hAnsiTheme="minorHAnsi" w:cstheme="minorHAnsi"/>
                <w:sz w:val="20"/>
                <w:szCs w:val="20"/>
              </w:rPr>
              <w:t>a</w:t>
            </w:r>
            <w:r w:rsidRPr="00EB2E7B">
              <w:rPr>
                <w:rFonts w:asciiTheme="minorHAnsi" w:hAnsiTheme="minorHAnsi" w:cstheme="minorHAnsi"/>
                <w:sz w:val="20"/>
                <w:szCs w:val="20"/>
              </w:rPr>
              <w:t xml:space="preserve"> ilość energii elektrycznej objęt</w:t>
            </w:r>
            <w:r w:rsidR="008349A1" w:rsidRPr="00EB2E7B">
              <w:rPr>
                <w:rFonts w:asciiTheme="minorHAnsi" w:hAnsiTheme="minorHAnsi" w:cstheme="minorHAnsi"/>
                <w:sz w:val="20"/>
                <w:szCs w:val="20"/>
              </w:rPr>
              <w:t>a</w:t>
            </w:r>
            <w:r w:rsidRPr="00EB2E7B">
              <w:rPr>
                <w:rFonts w:asciiTheme="minorHAnsi" w:hAnsiTheme="minorHAnsi" w:cstheme="minorHAnsi"/>
                <w:sz w:val="20"/>
                <w:szCs w:val="20"/>
              </w:rPr>
              <w:t xml:space="preserve"> umową w</w:t>
            </w:r>
            <w:r w:rsidR="00D91C88" w:rsidRPr="00EB2E7B">
              <w:rPr>
                <w:rFonts w:asciiTheme="minorHAnsi" w:hAnsiTheme="minorHAnsi" w:cstheme="minorHAnsi"/>
                <w:sz w:val="20"/>
                <w:szCs w:val="20"/>
              </w:rPr>
              <w:t> </w:t>
            </w:r>
            <w:r w:rsidR="002B394F" w:rsidRPr="00EB2E7B">
              <w:rPr>
                <w:rFonts w:asciiTheme="minorHAnsi" w:hAnsiTheme="minorHAnsi" w:cstheme="minorHAnsi"/>
                <w:sz w:val="20"/>
                <w:szCs w:val="20"/>
              </w:rPr>
              <w:t>M</w:t>
            </w:r>
            <w:r w:rsidR="006152DC" w:rsidRPr="00EB2E7B">
              <w:rPr>
                <w:rFonts w:asciiTheme="minorHAnsi" w:hAnsiTheme="minorHAnsi" w:cstheme="minorHAnsi"/>
                <w:sz w:val="20"/>
                <w:szCs w:val="20"/>
              </w:rPr>
              <w:t>Wh</w:t>
            </w:r>
            <w:r w:rsidRPr="00EB2E7B">
              <w:rPr>
                <w:rFonts w:asciiTheme="minorHAnsi" w:hAnsiTheme="minorHAnsi" w:cstheme="minorHAnsi"/>
                <w:sz w:val="20"/>
                <w:szCs w:val="20"/>
              </w:rPr>
              <w:t xml:space="preserve"> z dokładnością do 0,001 </w:t>
            </w:r>
            <w:r w:rsidR="002B34AE" w:rsidRPr="00EB2E7B">
              <w:rPr>
                <w:rFonts w:asciiTheme="minorHAnsi" w:hAnsiTheme="minorHAnsi" w:cstheme="minorHAnsi"/>
                <w:sz w:val="20"/>
                <w:szCs w:val="20"/>
              </w:rPr>
              <w:t>M</w:t>
            </w:r>
            <w:r w:rsidRPr="00EB2E7B">
              <w:rPr>
                <w:rFonts w:asciiTheme="minorHAnsi" w:hAnsiTheme="minorHAnsi" w:cstheme="minorHAnsi"/>
                <w:sz w:val="20"/>
                <w:szCs w:val="20"/>
              </w:rPr>
              <w:t>Wh – w przypadku nie podania tej wartości</w:t>
            </w:r>
            <w:r w:rsidR="00CD6CF1" w:rsidRPr="00EB2E7B">
              <w:rPr>
                <w:rFonts w:asciiTheme="minorHAnsi" w:hAnsiTheme="minorHAnsi" w:cstheme="minorHAnsi"/>
                <w:sz w:val="20"/>
                <w:szCs w:val="20"/>
              </w:rPr>
              <w:t xml:space="preserve">  lub gdy podana wartość odbiega od historycznego zużycia </w:t>
            </w:r>
            <w:r w:rsidRPr="00EB2E7B">
              <w:rPr>
                <w:rFonts w:asciiTheme="minorHAnsi" w:hAnsiTheme="minorHAnsi" w:cstheme="minorHAnsi"/>
                <w:sz w:val="20"/>
                <w:szCs w:val="20"/>
              </w:rPr>
              <w:t xml:space="preserve"> zostanie ona określona przez OSD i traktowana według takich samych zasad jak podana przez </w:t>
            </w:r>
            <w:r w:rsidR="004A4D46" w:rsidRPr="00EB2E7B">
              <w:rPr>
                <w:rFonts w:asciiTheme="minorHAnsi" w:hAnsiTheme="minorHAnsi" w:cstheme="minorHAnsi"/>
                <w:sz w:val="20"/>
                <w:szCs w:val="20"/>
              </w:rPr>
              <w:t xml:space="preserve">URD </w:t>
            </w:r>
            <w:r w:rsidRPr="00EB2E7B">
              <w:rPr>
                <w:rFonts w:asciiTheme="minorHAnsi" w:hAnsiTheme="minorHAnsi" w:cstheme="minorHAnsi"/>
                <w:sz w:val="20"/>
                <w:szCs w:val="20"/>
              </w:rPr>
              <w:t xml:space="preserve">i/lub Sprzedawcę. W takim przypadku OSD nie ponosi żadnej odpowiedzialności za skutki określenia tej wartości. </w:t>
            </w:r>
          </w:p>
        </w:tc>
      </w:tr>
      <w:tr w:rsidR="00072CE8" w:rsidRPr="00EB2E7B" w14:paraId="77567569" w14:textId="77777777" w:rsidTr="3FE7975F">
        <w:trPr>
          <w:trHeight w:val="353"/>
        </w:trPr>
        <w:tc>
          <w:tcPr>
            <w:tcW w:w="1242" w:type="dxa"/>
          </w:tcPr>
          <w:p w14:paraId="35C953EE" w14:textId="4B5BC1DF" w:rsidR="00072CE8" w:rsidRPr="00EB2E7B" w:rsidRDefault="00CF0E0B"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10</w:t>
            </w:r>
            <w:r w:rsidR="00E17283" w:rsidRPr="00EB2E7B">
              <w:rPr>
                <w:rFonts w:asciiTheme="minorHAnsi" w:hAnsiTheme="minorHAnsi" w:cstheme="minorHAnsi"/>
                <w:sz w:val="20"/>
                <w:szCs w:val="20"/>
              </w:rPr>
              <w:t>.</w:t>
            </w:r>
            <w:r w:rsidR="00072CE8" w:rsidRPr="00EB2E7B">
              <w:rPr>
                <w:rFonts w:asciiTheme="minorHAnsi" w:hAnsiTheme="minorHAnsi" w:cstheme="minorHAnsi"/>
                <w:sz w:val="20"/>
                <w:szCs w:val="20"/>
              </w:rPr>
              <w:t xml:space="preserve"> </w:t>
            </w:r>
          </w:p>
        </w:tc>
        <w:tc>
          <w:tcPr>
            <w:tcW w:w="7797" w:type="dxa"/>
          </w:tcPr>
          <w:p w14:paraId="07A59BCB" w14:textId="77777777" w:rsidR="00072CE8" w:rsidRPr="00EB2E7B" w:rsidRDefault="00072CE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Imię, nazwisko oraz podpisy osób zgłaszających (tylko w wersji papierowej, wersja elektroniczna powinna umożliwiać jednoznaczną, bezpośrednią weryfikację zgłaszającego przy składaniu formularza). </w:t>
            </w:r>
          </w:p>
        </w:tc>
      </w:tr>
      <w:tr w:rsidR="00234CD9" w:rsidRPr="00EB2E7B" w14:paraId="598D96EE" w14:textId="77777777" w:rsidTr="3FE7975F">
        <w:trPr>
          <w:trHeight w:val="353"/>
        </w:trPr>
        <w:tc>
          <w:tcPr>
            <w:tcW w:w="1242" w:type="dxa"/>
          </w:tcPr>
          <w:p w14:paraId="65A5EFD9" w14:textId="4F27E08A" w:rsidR="00234CD9" w:rsidRPr="00EB2E7B" w:rsidRDefault="00234CD9"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11.</w:t>
            </w:r>
          </w:p>
        </w:tc>
        <w:tc>
          <w:tcPr>
            <w:tcW w:w="7797" w:type="dxa"/>
          </w:tcPr>
          <w:p w14:paraId="29EF39EA" w14:textId="3D61DF6B" w:rsidR="00234CD9" w:rsidRPr="00EB2E7B" w:rsidRDefault="0043409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Parametry techniczne dostaw dot. umów kompleksowych</w:t>
            </w:r>
          </w:p>
        </w:tc>
      </w:tr>
      <w:tr w:rsidR="00234CD9" w:rsidRPr="00EB2E7B" w14:paraId="3BE19F3D" w14:textId="77777777" w:rsidTr="3FE7975F">
        <w:trPr>
          <w:trHeight w:val="353"/>
        </w:trPr>
        <w:tc>
          <w:tcPr>
            <w:tcW w:w="1242" w:type="dxa"/>
          </w:tcPr>
          <w:p w14:paraId="5854D6FF" w14:textId="4FA53C9B" w:rsidR="00234CD9" w:rsidRPr="00EB2E7B" w:rsidRDefault="0043409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11.1.</w:t>
            </w:r>
          </w:p>
        </w:tc>
        <w:tc>
          <w:tcPr>
            <w:tcW w:w="7797" w:type="dxa"/>
          </w:tcPr>
          <w:p w14:paraId="49C8EAB9" w14:textId="422733FE" w:rsidR="00234CD9" w:rsidRPr="00EB2E7B" w:rsidRDefault="3FE7975F"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Moc umowna </w:t>
            </w:r>
            <w:r w:rsidR="00EA5572" w:rsidRPr="00EB2E7B">
              <w:rPr>
                <w:rFonts w:asciiTheme="minorHAnsi" w:hAnsiTheme="minorHAnsi" w:cstheme="minorHAnsi"/>
                <w:sz w:val="20"/>
                <w:szCs w:val="20"/>
              </w:rPr>
              <w:t>(kW)</w:t>
            </w:r>
          </w:p>
        </w:tc>
      </w:tr>
      <w:tr w:rsidR="00234CD9" w:rsidRPr="00EB2E7B" w14:paraId="32DCA8CB" w14:textId="77777777" w:rsidTr="3FE7975F">
        <w:trPr>
          <w:trHeight w:val="353"/>
        </w:trPr>
        <w:tc>
          <w:tcPr>
            <w:tcW w:w="1242" w:type="dxa"/>
          </w:tcPr>
          <w:p w14:paraId="1FFE199C" w14:textId="1A297748" w:rsidR="00234CD9" w:rsidRPr="00EB2E7B" w:rsidRDefault="007C5D16"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11.</w:t>
            </w:r>
            <w:r w:rsidR="00B63A5B" w:rsidRPr="00EB2E7B">
              <w:rPr>
                <w:rFonts w:asciiTheme="minorHAnsi" w:hAnsiTheme="minorHAnsi" w:cstheme="minorHAnsi"/>
                <w:sz w:val="20"/>
                <w:szCs w:val="20"/>
              </w:rPr>
              <w:t>2</w:t>
            </w:r>
            <w:r w:rsidRPr="00EB2E7B">
              <w:rPr>
                <w:rFonts w:asciiTheme="minorHAnsi" w:hAnsiTheme="minorHAnsi" w:cstheme="minorHAnsi"/>
                <w:sz w:val="20"/>
                <w:szCs w:val="20"/>
              </w:rPr>
              <w:t>.</w:t>
            </w:r>
          </w:p>
        </w:tc>
        <w:tc>
          <w:tcPr>
            <w:tcW w:w="7797" w:type="dxa"/>
          </w:tcPr>
          <w:p w14:paraId="72293B81" w14:textId="7EF15C06" w:rsidR="00234CD9" w:rsidRPr="00EB2E7B" w:rsidRDefault="3FE7975F"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Miejsce rozgraniczenia własności </w:t>
            </w:r>
          </w:p>
        </w:tc>
      </w:tr>
      <w:tr w:rsidR="00234CD9" w:rsidRPr="00EB2E7B" w14:paraId="0AEF33E0" w14:textId="77777777" w:rsidTr="3FE7975F">
        <w:trPr>
          <w:trHeight w:val="353"/>
        </w:trPr>
        <w:tc>
          <w:tcPr>
            <w:tcW w:w="1242" w:type="dxa"/>
          </w:tcPr>
          <w:p w14:paraId="6B0E0D19" w14:textId="1066D2A9" w:rsidR="00234CD9" w:rsidRPr="00EB2E7B" w:rsidRDefault="007C5D16"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11.</w:t>
            </w:r>
            <w:r w:rsidR="00B63A5B" w:rsidRPr="00EB2E7B">
              <w:rPr>
                <w:rFonts w:asciiTheme="minorHAnsi" w:hAnsiTheme="minorHAnsi" w:cstheme="minorHAnsi"/>
                <w:sz w:val="20"/>
                <w:szCs w:val="20"/>
              </w:rPr>
              <w:t>3</w:t>
            </w:r>
            <w:r w:rsidRPr="00EB2E7B">
              <w:rPr>
                <w:rFonts w:asciiTheme="minorHAnsi" w:hAnsiTheme="minorHAnsi" w:cstheme="minorHAnsi"/>
                <w:sz w:val="20"/>
                <w:szCs w:val="20"/>
              </w:rPr>
              <w:t>.</w:t>
            </w:r>
          </w:p>
        </w:tc>
        <w:tc>
          <w:tcPr>
            <w:tcW w:w="7797" w:type="dxa"/>
          </w:tcPr>
          <w:p w14:paraId="15196974" w14:textId="4CE064A5" w:rsidR="00234CD9" w:rsidRPr="00EB2E7B" w:rsidRDefault="3FE7975F"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Miejsce dostarczania energii</w:t>
            </w:r>
          </w:p>
        </w:tc>
      </w:tr>
      <w:tr w:rsidR="00856D88" w:rsidRPr="00EB2E7B" w14:paraId="33E456BD" w14:textId="77777777" w:rsidTr="3FE7975F">
        <w:trPr>
          <w:trHeight w:val="353"/>
        </w:trPr>
        <w:tc>
          <w:tcPr>
            <w:tcW w:w="1242" w:type="dxa"/>
          </w:tcPr>
          <w:p w14:paraId="326300FF" w14:textId="3A1C6052" w:rsidR="00856D88" w:rsidRPr="00EB2E7B" w:rsidRDefault="00856D8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12. </w:t>
            </w:r>
          </w:p>
        </w:tc>
        <w:tc>
          <w:tcPr>
            <w:tcW w:w="7797" w:type="dxa"/>
          </w:tcPr>
          <w:p w14:paraId="1B29F68E" w14:textId="742D0C83" w:rsidR="00856D88" w:rsidRPr="00EB2E7B" w:rsidRDefault="00475CA5"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Nr Generalnej Umowy Dystrybucyjnej z OSD:</w:t>
            </w:r>
          </w:p>
        </w:tc>
      </w:tr>
      <w:tr w:rsidR="00736245" w:rsidRPr="00EB2E7B" w14:paraId="39BCD9B4" w14:textId="77777777" w:rsidTr="3FE7975F">
        <w:trPr>
          <w:trHeight w:val="353"/>
        </w:trPr>
        <w:tc>
          <w:tcPr>
            <w:tcW w:w="1242" w:type="dxa"/>
          </w:tcPr>
          <w:p w14:paraId="02C5291A" w14:textId="4EB3A31D" w:rsidR="00736245" w:rsidRPr="00EB2E7B" w:rsidRDefault="00736245"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13.</w:t>
            </w:r>
          </w:p>
        </w:tc>
        <w:tc>
          <w:tcPr>
            <w:tcW w:w="7797" w:type="dxa"/>
          </w:tcPr>
          <w:p w14:paraId="60C67D2C" w14:textId="1ACF80A6" w:rsidR="00736245" w:rsidRPr="00EB2E7B" w:rsidRDefault="00475CA5"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Nazwa i kod identyfikacyjny URB odpowiedzialnego za bilansowanie handlowe URD</w:t>
            </w:r>
          </w:p>
        </w:tc>
      </w:tr>
      <w:tr w:rsidR="00B5096E" w:rsidRPr="00EB2E7B" w14:paraId="2FA1615B" w14:textId="77777777" w:rsidTr="3FE7975F">
        <w:trPr>
          <w:trHeight w:val="353"/>
        </w:trPr>
        <w:tc>
          <w:tcPr>
            <w:tcW w:w="1242" w:type="dxa"/>
          </w:tcPr>
          <w:p w14:paraId="14CC96CC" w14:textId="4F058E8A" w:rsidR="00B5096E" w:rsidRPr="00EB2E7B" w:rsidRDefault="00CB67A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14. </w:t>
            </w:r>
          </w:p>
        </w:tc>
        <w:tc>
          <w:tcPr>
            <w:tcW w:w="7797" w:type="dxa"/>
          </w:tcPr>
          <w:p w14:paraId="4D79B44F" w14:textId="77777777" w:rsidR="00B5096E" w:rsidRPr="00EB2E7B" w:rsidRDefault="00CB67A8"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Forma zawarcia</w:t>
            </w:r>
            <w:r w:rsidR="00CC7121" w:rsidRPr="00EB2E7B">
              <w:rPr>
                <w:rFonts w:asciiTheme="minorHAnsi" w:hAnsiTheme="minorHAnsi" w:cstheme="minorHAnsi"/>
                <w:sz w:val="20"/>
                <w:szCs w:val="20"/>
              </w:rPr>
              <w:t xml:space="preserve"> umowy z URD (Odbiorc</w:t>
            </w:r>
            <w:r w:rsidR="00607BA6" w:rsidRPr="00EB2E7B">
              <w:rPr>
                <w:rFonts w:asciiTheme="minorHAnsi" w:hAnsiTheme="minorHAnsi" w:cstheme="minorHAnsi"/>
                <w:sz w:val="20"/>
                <w:szCs w:val="20"/>
              </w:rPr>
              <w:t>ą</w:t>
            </w:r>
            <w:r w:rsidR="00CC7121" w:rsidRPr="00EB2E7B">
              <w:rPr>
                <w:rFonts w:asciiTheme="minorHAnsi" w:hAnsiTheme="minorHAnsi" w:cstheme="minorHAnsi"/>
                <w:sz w:val="20"/>
                <w:szCs w:val="20"/>
              </w:rPr>
              <w:t>)</w:t>
            </w:r>
          </w:p>
          <w:p w14:paraId="1D224082" w14:textId="67D85C53" w:rsidR="00E15861" w:rsidRPr="00EB2E7B" w:rsidRDefault="00792922" w:rsidP="00E15861">
            <w:pPr>
              <w:tabs>
                <w:tab w:val="left" w:pos="6480"/>
              </w:tabs>
              <w:spacing w:after="0"/>
              <w:ind w:left="426"/>
              <w:rPr>
                <w:rFonts w:asciiTheme="minorHAnsi" w:hAnsiTheme="minorHAnsi" w:cstheme="minorHAnsi"/>
                <w:sz w:val="20"/>
                <w:szCs w:val="20"/>
              </w:rPr>
            </w:pPr>
            <w:sdt>
              <w:sdtPr>
                <w:rPr>
                  <w:rFonts w:asciiTheme="minorHAnsi" w:hAnsiTheme="minorHAnsi" w:cstheme="minorHAnsi"/>
                  <w:sz w:val="20"/>
                  <w:szCs w:val="20"/>
                </w:rPr>
                <w:id w:val="-195313043"/>
                <w14:checkbox>
                  <w14:checked w14:val="0"/>
                  <w14:checkedState w14:val="2612" w14:font="MS Gothic"/>
                  <w14:uncheckedState w14:val="2610" w14:font="MS Gothic"/>
                </w14:checkbox>
              </w:sdtPr>
              <w:sdtEndPr/>
              <w:sdtContent>
                <w:r w:rsidR="00E15861" w:rsidRPr="00EB2E7B">
                  <w:rPr>
                    <w:rFonts w:ascii="Segoe UI Symbol" w:eastAsia="MS Gothic" w:hAnsi="Segoe UI Symbol" w:cs="Segoe UI Symbol"/>
                    <w:sz w:val="20"/>
                    <w:szCs w:val="20"/>
                  </w:rPr>
                  <w:t>☐</w:t>
                </w:r>
              </w:sdtContent>
            </w:sdt>
            <w:r w:rsidR="00E15861" w:rsidRPr="00EB2E7B">
              <w:rPr>
                <w:rFonts w:asciiTheme="minorHAnsi" w:hAnsiTheme="minorHAnsi" w:cstheme="minorHAnsi"/>
                <w:sz w:val="20"/>
                <w:szCs w:val="20"/>
              </w:rPr>
              <w:t>elektroniczna</w:t>
            </w:r>
          </w:p>
          <w:p w14:paraId="07C1C4A3" w14:textId="3A0FA7BE" w:rsidR="00B5096E" w:rsidRPr="00EB2E7B" w:rsidRDefault="00792922" w:rsidP="00472992">
            <w:pPr>
              <w:tabs>
                <w:tab w:val="left" w:pos="6480"/>
              </w:tabs>
              <w:spacing w:after="0"/>
              <w:ind w:left="426"/>
              <w:rPr>
                <w:rFonts w:asciiTheme="minorHAnsi" w:hAnsiTheme="minorHAnsi" w:cstheme="minorHAnsi"/>
                <w:sz w:val="20"/>
                <w:szCs w:val="20"/>
              </w:rPr>
            </w:pPr>
            <w:sdt>
              <w:sdtPr>
                <w:rPr>
                  <w:rFonts w:asciiTheme="minorHAnsi" w:hAnsiTheme="minorHAnsi" w:cstheme="minorHAnsi"/>
                  <w:sz w:val="20"/>
                  <w:szCs w:val="20"/>
                </w:rPr>
                <w:id w:val="686020470"/>
                <w14:checkbox>
                  <w14:checked w14:val="0"/>
                  <w14:checkedState w14:val="2612" w14:font="MS Gothic"/>
                  <w14:uncheckedState w14:val="2610" w14:font="MS Gothic"/>
                </w14:checkbox>
              </w:sdtPr>
              <w:sdtEndPr/>
              <w:sdtContent>
                <w:r w:rsidR="00E15861" w:rsidRPr="00EB2E7B">
                  <w:rPr>
                    <w:rFonts w:ascii="Segoe UI Symbol" w:eastAsia="MS Gothic" w:hAnsi="Segoe UI Symbol" w:cs="Segoe UI Symbol"/>
                    <w:sz w:val="20"/>
                    <w:szCs w:val="20"/>
                  </w:rPr>
                  <w:t>☐</w:t>
                </w:r>
              </w:sdtContent>
            </w:sdt>
            <w:r w:rsidR="00E15861" w:rsidRPr="00EB2E7B">
              <w:rPr>
                <w:rFonts w:asciiTheme="minorHAnsi" w:hAnsiTheme="minorHAnsi" w:cstheme="minorHAnsi"/>
                <w:sz w:val="20"/>
                <w:szCs w:val="20"/>
              </w:rPr>
              <w:t>papierowa</w:t>
            </w:r>
          </w:p>
        </w:tc>
      </w:tr>
      <w:tr w:rsidR="00CB67A8" w:rsidRPr="00EB2E7B" w14:paraId="13084E91" w14:textId="77777777" w:rsidTr="3FE7975F">
        <w:trPr>
          <w:trHeight w:val="353"/>
        </w:trPr>
        <w:tc>
          <w:tcPr>
            <w:tcW w:w="1242" w:type="dxa"/>
          </w:tcPr>
          <w:p w14:paraId="47E383B6" w14:textId="20D0C0A0" w:rsidR="00CB67A8" w:rsidRPr="00EB2E7B" w:rsidRDefault="00E60174"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15.</w:t>
            </w:r>
          </w:p>
        </w:tc>
        <w:tc>
          <w:tcPr>
            <w:tcW w:w="7797" w:type="dxa"/>
          </w:tcPr>
          <w:p w14:paraId="7E40B262" w14:textId="5FE3F94B" w:rsidR="00CB67A8" w:rsidRPr="00EB2E7B" w:rsidRDefault="00E60174"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Moc minimalna poboru dla celów opracowania planu ograniczeń (dotyczy odbiorców, którzy zamówili moc umowną na poziomie co najmniej 300 </w:t>
            </w:r>
            <w:r w:rsidR="00057BA6" w:rsidRPr="00EB2E7B">
              <w:rPr>
                <w:rFonts w:asciiTheme="minorHAnsi" w:hAnsiTheme="minorHAnsi" w:cstheme="minorHAnsi"/>
                <w:sz w:val="20"/>
                <w:szCs w:val="20"/>
              </w:rPr>
              <w:t>kW</w:t>
            </w:r>
            <w:r w:rsidRPr="00EB2E7B">
              <w:rPr>
                <w:rFonts w:asciiTheme="minorHAnsi" w:hAnsiTheme="minorHAnsi" w:cstheme="minorHAnsi"/>
                <w:sz w:val="20"/>
                <w:szCs w:val="20"/>
              </w:rPr>
              <w:t xml:space="preserve"> niepodlegających ochronie  przed wprowadzanymi ograniczeniami w dostarczaniu i poborze energii elektrycznej)</w:t>
            </w:r>
          </w:p>
        </w:tc>
      </w:tr>
      <w:tr w:rsidR="0085566E" w:rsidRPr="00EB2E7B" w14:paraId="366D701F" w14:textId="77777777" w:rsidTr="3FE7975F">
        <w:trPr>
          <w:trHeight w:val="353"/>
        </w:trPr>
        <w:tc>
          <w:tcPr>
            <w:tcW w:w="1242" w:type="dxa"/>
          </w:tcPr>
          <w:p w14:paraId="27277CC7" w14:textId="72CE9D3B" w:rsidR="0085566E" w:rsidRPr="00EB2E7B" w:rsidRDefault="0085566E"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16.</w:t>
            </w:r>
          </w:p>
        </w:tc>
        <w:tc>
          <w:tcPr>
            <w:tcW w:w="7797" w:type="dxa"/>
          </w:tcPr>
          <w:p w14:paraId="46F51924" w14:textId="3CB32080" w:rsidR="0085566E" w:rsidRPr="00EB2E7B" w:rsidRDefault="00D1334B"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Zgoda URD na p</w:t>
            </w:r>
            <w:r w:rsidR="00070AB8" w:rsidRPr="00EB2E7B">
              <w:rPr>
                <w:rFonts w:asciiTheme="minorHAnsi" w:hAnsiTheme="minorHAnsi" w:cstheme="minorHAnsi"/>
                <w:sz w:val="20"/>
                <w:szCs w:val="20"/>
              </w:rPr>
              <w:t xml:space="preserve">rzesyłanie </w:t>
            </w:r>
            <w:r w:rsidRPr="00EB2E7B">
              <w:rPr>
                <w:rFonts w:asciiTheme="minorHAnsi" w:hAnsiTheme="minorHAnsi" w:cstheme="minorHAnsi"/>
                <w:sz w:val="20"/>
                <w:szCs w:val="20"/>
              </w:rPr>
              <w:t xml:space="preserve">drogą elektroniczną </w:t>
            </w:r>
            <w:r w:rsidR="00F06F24" w:rsidRPr="00EB2E7B">
              <w:rPr>
                <w:rFonts w:asciiTheme="minorHAnsi" w:hAnsiTheme="minorHAnsi" w:cstheme="minorHAnsi"/>
                <w:sz w:val="20"/>
                <w:szCs w:val="20"/>
              </w:rPr>
              <w:t xml:space="preserve">informacji dotyczących </w:t>
            </w:r>
            <w:r w:rsidRPr="00EB2E7B">
              <w:rPr>
                <w:rFonts w:asciiTheme="minorHAnsi" w:hAnsiTheme="minorHAnsi" w:cstheme="minorHAnsi"/>
                <w:sz w:val="20"/>
                <w:szCs w:val="20"/>
              </w:rPr>
              <w:t>planów ograniczeń w dostawach oraz o wprowadzeniu ograniczeń w dostarczaniu i poborze energii elektrycznej oraz o wprowadzeniu, w trakcie trwania ograniczeń w dostarczaniu i poborze energii elektrycznej, innych stopni zasilania niż stopnie zasilania ogłoszone w komunikatach radiowych</w:t>
            </w:r>
          </w:p>
          <w:p w14:paraId="46B2F9D8" w14:textId="798B5195" w:rsidR="00D1334B" w:rsidRPr="00EB2E7B" w:rsidRDefault="00792922" w:rsidP="00D1334B">
            <w:pPr>
              <w:tabs>
                <w:tab w:val="left" w:pos="6480"/>
              </w:tabs>
              <w:spacing w:after="0"/>
              <w:ind w:left="426"/>
              <w:rPr>
                <w:rFonts w:asciiTheme="minorHAnsi" w:hAnsiTheme="minorHAnsi" w:cstheme="minorHAnsi"/>
                <w:sz w:val="20"/>
                <w:szCs w:val="20"/>
              </w:rPr>
            </w:pPr>
            <w:sdt>
              <w:sdtPr>
                <w:rPr>
                  <w:rFonts w:asciiTheme="minorHAnsi" w:hAnsiTheme="minorHAnsi" w:cstheme="minorHAnsi"/>
                  <w:sz w:val="20"/>
                  <w:szCs w:val="20"/>
                </w:rPr>
                <w:id w:val="2065830834"/>
                <w14:checkbox>
                  <w14:checked w14:val="0"/>
                  <w14:checkedState w14:val="2612" w14:font="MS Gothic"/>
                  <w14:uncheckedState w14:val="2610" w14:font="MS Gothic"/>
                </w14:checkbox>
              </w:sdtPr>
              <w:sdtEndPr/>
              <w:sdtContent>
                <w:r w:rsidR="00D1334B" w:rsidRPr="00EB2E7B">
                  <w:rPr>
                    <w:rFonts w:ascii="Segoe UI Symbol" w:eastAsia="MS Gothic" w:hAnsi="Segoe UI Symbol" w:cs="Segoe UI Symbol"/>
                    <w:sz w:val="20"/>
                    <w:szCs w:val="20"/>
                  </w:rPr>
                  <w:t>☐</w:t>
                </w:r>
              </w:sdtContent>
            </w:sdt>
            <w:r w:rsidR="00D1334B" w:rsidRPr="00EB2E7B">
              <w:rPr>
                <w:rFonts w:asciiTheme="minorHAnsi" w:hAnsiTheme="minorHAnsi" w:cstheme="minorHAnsi"/>
                <w:sz w:val="20"/>
                <w:szCs w:val="20"/>
              </w:rPr>
              <w:t>TAK</w:t>
            </w:r>
          </w:p>
          <w:p w14:paraId="30EAAFF7" w14:textId="043E2D78" w:rsidR="00D1334B" w:rsidRPr="00EB2E7B" w:rsidRDefault="00792922" w:rsidP="00126655">
            <w:pPr>
              <w:tabs>
                <w:tab w:val="left" w:pos="6480"/>
              </w:tabs>
              <w:spacing w:after="0"/>
              <w:ind w:left="426"/>
              <w:rPr>
                <w:rFonts w:asciiTheme="minorHAnsi" w:hAnsiTheme="minorHAnsi" w:cstheme="minorHAnsi"/>
                <w:sz w:val="20"/>
                <w:szCs w:val="20"/>
              </w:rPr>
            </w:pPr>
            <w:sdt>
              <w:sdtPr>
                <w:rPr>
                  <w:rFonts w:asciiTheme="minorHAnsi" w:hAnsiTheme="minorHAnsi" w:cstheme="minorHAnsi"/>
                  <w:sz w:val="20"/>
                  <w:szCs w:val="20"/>
                </w:rPr>
                <w:id w:val="-649057038"/>
                <w14:checkbox>
                  <w14:checked w14:val="0"/>
                  <w14:checkedState w14:val="2612" w14:font="MS Gothic"/>
                  <w14:uncheckedState w14:val="2610" w14:font="MS Gothic"/>
                </w14:checkbox>
              </w:sdtPr>
              <w:sdtEndPr/>
              <w:sdtContent>
                <w:r w:rsidR="00D1334B" w:rsidRPr="00EB2E7B">
                  <w:rPr>
                    <w:rFonts w:ascii="Segoe UI Symbol" w:eastAsia="MS Gothic" w:hAnsi="Segoe UI Symbol" w:cs="Segoe UI Symbol"/>
                    <w:sz w:val="20"/>
                    <w:szCs w:val="20"/>
                  </w:rPr>
                  <w:t>☐</w:t>
                </w:r>
              </w:sdtContent>
            </w:sdt>
            <w:r w:rsidR="00D1334B" w:rsidRPr="00EB2E7B">
              <w:rPr>
                <w:rFonts w:asciiTheme="minorHAnsi" w:hAnsiTheme="minorHAnsi" w:cstheme="minorHAnsi"/>
                <w:sz w:val="20"/>
                <w:szCs w:val="20"/>
              </w:rPr>
              <w:t>NIE</w:t>
            </w:r>
          </w:p>
        </w:tc>
      </w:tr>
    </w:tbl>
    <w:p w14:paraId="4AE345F7" w14:textId="77777777" w:rsidR="00FE6903" w:rsidRPr="00EB2E7B" w:rsidRDefault="00FE6903" w:rsidP="005D19E7">
      <w:pPr>
        <w:ind w:left="70" w:firstLine="0"/>
        <w:rPr>
          <w:rFonts w:asciiTheme="minorHAnsi" w:hAnsiTheme="minorHAnsi" w:cstheme="minorHAnsi"/>
          <w:sz w:val="20"/>
          <w:szCs w:val="20"/>
        </w:rPr>
      </w:pPr>
    </w:p>
    <w:p w14:paraId="48D0D4B5" w14:textId="50E1D0F7" w:rsidR="00F85F6B" w:rsidRPr="00EB2E7B" w:rsidRDefault="00B72DB4"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 przypadku powiadamiania o zawartej umowie kompleksowej z URD, dodatkowe informacje, które powinno zawierać powiadomienie, określa ACPRO w </w:t>
      </w:r>
      <w:r w:rsidR="00814415" w:rsidRPr="00EB2E7B">
        <w:rPr>
          <w:rFonts w:asciiTheme="minorHAnsi" w:hAnsiTheme="minorHAnsi" w:cstheme="minorHAnsi"/>
          <w:sz w:val="20"/>
          <w:szCs w:val="20"/>
        </w:rPr>
        <w:t>GUD</w:t>
      </w:r>
      <w:r w:rsidRPr="00EB2E7B">
        <w:rPr>
          <w:rFonts w:asciiTheme="minorHAnsi" w:hAnsiTheme="minorHAnsi" w:cstheme="minorHAnsi"/>
          <w:sz w:val="20"/>
          <w:szCs w:val="20"/>
        </w:rPr>
        <w:t xml:space="preserve">. </w:t>
      </w:r>
    </w:p>
    <w:p w14:paraId="0BFFE249" w14:textId="63D96216" w:rsidR="00FE6903" w:rsidRPr="00EB2E7B" w:rsidRDefault="00F85F6B"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lastRenderedPageBreak/>
        <w:t>*</w:t>
      </w:r>
      <w:r w:rsidR="00F01E73" w:rsidRPr="00EB2E7B">
        <w:rPr>
          <w:rFonts w:asciiTheme="minorHAnsi" w:hAnsiTheme="minorHAnsi" w:cstheme="minorHAnsi"/>
          <w:sz w:val="20"/>
          <w:szCs w:val="20"/>
        </w:rPr>
        <w:t>w przypadku gdy na terenie działania ACPRO żaden sprzedawca nie oferuje sprzedaży rezerwowej energii elektrycznej pole może pozostać puste</w:t>
      </w:r>
      <w:r w:rsidR="00FE6903" w:rsidRPr="00EB2E7B">
        <w:rPr>
          <w:rFonts w:asciiTheme="minorHAnsi" w:hAnsiTheme="minorHAnsi" w:cstheme="minorHAnsi"/>
          <w:sz w:val="20"/>
          <w:szCs w:val="20"/>
        </w:rPr>
        <w:br w:type="page"/>
      </w:r>
    </w:p>
    <w:p w14:paraId="7298BDEB" w14:textId="022785F6" w:rsidR="00FE6903" w:rsidRPr="00EB2E7B" w:rsidRDefault="00FE6903" w:rsidP="001F4E94">
      <w:pPr>
        <w:pStyle w:val="Nagwek1"/>
        <w:numPr>
          <w:ilvl w:val="0"/>
          <w:numId w:val="0"/>
        </w:numPr>
        <w:ind w:left="1134"/>
        <w:jc w:val="right"/>
        <w:rPr>
          <w:rFonts w:asciiTheme="minorHAnsi" w:hAnsiTheme="minorHAnsi" w:cstheme="minorHAnsi"/>
          <w:sz w:val="20"/>
          <w:szCs w:val="20"/>
        </w:rPr>
      </w:pPr>
      <w:bookmarkStart w:id="822" w:name="_Toc189833867"/>
      <w:bookmarkStart w:id="823" w:name="_Toc239333467"/>
      <w:r w:rsidRPr="00EB2E7B">
        <w:rPr>
          <w:rFonts w:asciiTheme="minorHAnsi" w:hAnsiTheme="minorHAnsi" w:cstheme="minorHAnsi"/>
          <w:b w:val="0"/>
          <w:bCs/>
          <w:i/>
          <w:iCs/>
          <w:sz w:val="20"/>
          <w:szCs w:val="20"/>
        </w:rPr>
        <w:lastRenderedPageBreak/>
        <w:t>Załącznik nr 3</w:t>
      </w:r>
      <w:bookmarkEnd w:id="822"/>
      <w:bookmarkEnd w:id="823"/>
    </w:p>
    <w:p w14:paraId="68BAD170" w14:textId="77777777" w:rsidR="00FE6903" w:rsidRPr="00EB2E7B" w:rsidRDefault="00FE6903"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Lista kodów, którymi ACPRO informuje Sprzedawcę o wyniku przeprowadzonej weryfikacji zgłoszonych umów sprzedaży energii elektrycznej lub umów kompleksowych</w:t>
      </w:r>
    </w:p>
    <w:p w14:paraId="62019345" w14:textId="77777777" w:rsidR="00FE6903" w:rsidRPr="00EB2E7B" w:rsidRDefault="00FE6903" w:rsidP="005D19E7">
      <w:pPr>
        <w:ind w:left="70" w:firstLine="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946"/>
      </w:tblGrid>
      <w:tr w:rsidR="00FE6903" w:rsidRPr="00EB2E7B" w14:paraId="3D832B73" w14:textId="77777777" w:rsidTr="009F4159">
        <w:trPr>
          <w:trHeight w:val="98"/>
        </w:trPr>
        <w:tc>
          <w:tcPr>
            <w:tcW w:w="1951" w:type="dxa"/>
          </w:tcPr>
          <w:p w14:paraId="717BB93F" w14:textId="77777777" w:rsidR="00FE6903" w:rsidRPr="00EB2E7B" w:rsidRDefault="00FE6903"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Nr kodu </w:t>
            </w:r>
          </w:p>
        </w:tc>
        <w:tc>
          <w:tcPr>
            <w:tcW w:w="6946" w:type="dxa"/>
          </w:tcPr>
          <w:p w14:paraId="327E9767" w14:textId="77777777" w:rsidR="00FE6903" w:rsidRPr="00EB2E7B" w:rsidRDefault="00FE6903" w:rsidP="005D19E7">
            <w:pPr>
              <w:ind w:left="70" w:firstLine="0"/>
              <w:rPr>
                <w:rFonts w:asciiTheme="minorHAnsi" w:hAnsiTheme="minorHAnsi" w:cstheme="minorHAnsi"/>
                <w:b/>
                <w:bCs/>
                <w:sz w:val="20"/>
                <w:szCs w:val="20"/>
              </w:rPr>
            </w:pPr>
            <w:r w:rsidRPr="00EB2E7B">
              <w:rPr>
                <w:rFonts w:asciiTheme="minorHAnsi" w:hAnsiTheme="minorHAnsi" w:cstheme="minorHAnsi"/>
                <w:b/>
                <w:bCs/>
                <w:sz w:val="20"/>
                <w:szCs w:val="20"/>
              </w:rPr>
              <w:t xml:space="preserve">Objaśnienie </w:t>
            </w:r>
          </w:p>
        </w:tc>
      </w:tr>
      <w:tr w:rsidR="00FE6903" w:rsidRPr="00EB2E7B" w14:paraId="3514946E" w14:textId="77777777" w:rsidTr="009F4159">
        <w:trPr>
          <w:trHeight w:val="100"/>
        </w:trPr>
        <w:tc>
          <w:tcPr>
            <w:tcW w:w="1951" w:type="dxa"/>
          </w:tcPr>
          <w:p w14:paraId="6C26BD3B"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W-00 </w:t>
            </w:r>
          </w:p>
        </w:tc>
        <w:tc>
          <w:tcPr>
            <w:tcW w:w="6946" w:type="dxa"/>
          </w:tcPr>
          <w:p w14:paraId="25367433"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Weryfikacja pozytywna </w:t>
            </w:r>
          </w:p>
        </w:tc>
      </w:tr>
      <w:tr w:rsidR="00FE6903" w:rsidRPr="00EB2E7B" w14:paraId="547591CC" w14:textId="77777777" w:rsidTr="009F4159">
        <w:trPr>
          <w:trHeight w:val="258"/>
        </w:trPr>
        <w:tc>
          <w:tcPr>
            <w:tcW w:w="1951" w:type="dxa"/>
          </w:tcPr>
          <w:p w14:paraId="718F19DF"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W-01 </w:t>
            </w:r>
          </w:p>
        </w:tc>
        <w:tc>
          <w:tcPr>
            <w:tcW w:w="6946" w:type="dxa"/>
          </w:tcPr>
          <w:p w14:paraId="19E07F05" w14:textId="7C27A7B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Weryfikacja negatywna – brak kompletnego wypełnienia formularza powiadomienia, o którym mowa w pkt.</w:t>
            </w:r>
            <w:r w:rsidRPr="00EB2E7B" w:rsidDel="00C51BEF">
              <w:rPr>
                <w:rFonts w:asciiTheme="minorHAnsi" w:hAnsiTheme="minorHAnsi" w:cstheme="minorHAnsi"/>
                <w:sz w:val="20"/>
                <w:szCs w:val="20"/>
              </w:rPr>
              <w:t xml:space="preserve"> </w:t>
            </w:r>
            <w:r w:rsidR="00151CA2" w:rsidRPr="00EB2E7B">
              <w:rPr>
                <w:rFonts w:asciiTheme="minorHAnsi" w:hAnsiTheme="minorHAnsi" w:cstheme="minorHAnsi"/>
                <w:sz w:val="20"/>
                <w:szCs w:val="20"/>
              </w:rPr>
              <w:fldChar w:fldCharType="begin"/>
            </w:r>
            <w:r w:rsidR="00151CA2" w:rsidRPr="00EB2E7B">
              <w:rPr>
                <w:rFonts w:asciiTheme="minorHAnsi" w:hAnsiTheme="minorHAnsi" w:cstheme="minorHAnsi"/>
                <w:sz w:val="20"/>
                <w:szCs w:val="20"/>
              </w:rPr>
              <w:instrText xml:space="preserve"> REF _Ref190118720 \w \h  \* MERGEFORMAT </w:instrText>
            </w:r>
            <w:r w:rsidR="00151CA2" w:rsidRPr="00EB2E7B">
              <w:rPr>
                <w:rFonts w:asciiTheme="minorHAnsi" w:hAnsiTheme="minorHAnsi" w:cstheme="minorHAnsi"/>
                <w:sz w:val="20"/>
                <w:szCs w:val="20"/>
              </w:rPr>
            </w:r>
            <w:r w:rsidR="00151CA2"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D.2.2</w:t>
            </w:r>
            <w:r w:rsidR="00151CA2"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r w:rsidR="00582B6A" w:rsidRPr="00EB2E7B">
              <w:rPr>
                <w:rFonts w:asciiTheme="minorHAnsi" w:hAnsiTheme="minorHAnsi" w:cstheme="minorHAnsi"/>
                <w:sz w:val="20"/>
                <w:szCs w:val="20"/>
              </w:rPr>
              <w:t xml:space="preserve">i </w:t>
            </w:r>
            <w:r w:rsidR="00582B6A" w:rsidRPr="00EB2E7B">
              <w:rPr>
                <w:rFonts w:asciiTheme="minorHAnsi" w:hAnsiTheme="minorHAnsi" w:cstheme="minorHAnsi"/>
                <w:sz w:val="20"/>
                <w:szCs w:val="20"/>
              </w:rPr>
              <w:fldChar w:fldCharType="begin"/>
            </w:r>
            <w:r w:rsidR="00582B6A" w:rsidRPr="00EB2E7B">
              <w:rPr>
                <w:rFonts w:asciiTheme="minorHAnsi" w:hAnsiTheme="minorHAnsi" w:cstheme="minorHAnsi"/>
                <w:sz w:val="20"/>
                <w:szCs w:val="20"/>
              </w:rPr>
              <w:instrText xml:space="preserve"> REF _Ref190335137 \r \h  \* MERGEFORMAT </w:instrText>
            </w:r>
            <w:r w:rsidR="00582B6A" w:rsidRPr="00EB2E7B">
              <w:rPr>
                <w:rFonts w:asciiTheme="minorHAnsi" w:hAnsiTheme="minorHAnsi" w:cstheme="minorHAnsi"/>
                <w:sz w:val="20"/>
                <w:szCs w:val="20"/>
              </w:rPr>
            </w:r>
            <w:r w:rsidR="00582B6A" w:rsidRPr="00EB2E7B">
              <w:rPr>
                <w:rFonts w:asciiTheme="minorHAnsi" w:hAnsiTheme="minorHAnsi" w:cstheme="minorHAnsi"/>
                <w:sz w:val="20"/>
                <w:szCs w:val="20"/>
              </w:rPr>
              <w:fldChar w:fldCharType="separate"/>
            </w:r>
            <w:r w:rsidR="006A408D">
              <w:rPr>
                <w:rFonts w:asciiTheme="minorHAnsi" w:hAnsiTheme="minorHAnsi" w:cstheme="minorHAnsi"/>
                <w:sz w:val="20"/>
                <w:szCs w:val="20"/>
              </w:rPr>
              <w:t>F.1.1</w:t>
            </w:r>
            <w:r w:rsidR="00582B6A" w:rsidRPr="00EB2E7B">
              <w:rPr>
                <w:rFonts w:asciiTheme="minorHAnsi" w:hAnsiTheme="minorHAnsi" w:cstheme="minorHAnsi"/>
                <w:sz w:val="20"/>
                <w:szCs w:val="20"/>
              </w:rPr>
              <w:fldChar w:fldCharType="end"/>
            </w:r>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-Bilansowanie</w:t>
            </w:r>
          </w:p>
        </w:tc>
      </w:tr>
      <w:tr w:rsidR="00FE6903" w:rsidRPr="00EB2E7B" w14:paraId="77D1F6E5" w14:textId="77777777" w:rsidTr="009F4159">
        <w:trPr>
          <w:trHeight w:val="100"/>
        </w:trPr>
        <w:tc>
          <w:tcPr>
            <w:tcW w:w="1951" w:type="dxa"/>
          </w:tcPr>
          <w:p w14:paraId="3D6714AE"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W-02 (x) </w:t>
            </w:r>
          </w:p>
        </w:tc>
        <w:tc>
          <w:tcPr>
            <w:tcW w:w="6946" w:type="dxa"/>
          </w:tcPr>
          <w:p w14:paraId="36911B52" w14:textId="54369CE6"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Weryfikacja negatywna – błąd w formularzu powiadamiania w</w:t>
            </w:r>
            <w:r w:rsidR="00D91C88" w:rsidRPr="00EB2E7B">
              <w:rPr>
                <w:rFonts w:asciiTheme="minorHAnsi" w:hAnsiTheme="minorHAnsi" w:cstheme="minorHAnsi"/>
                <w:sz w:val="20"/>
                <w:szCs w:val="20"/>
              </w:rPr>
              <w:t> </w:t>
            </w:r>
            <w:r w:rsidRPr="00EB2E7B">
              <w:rPr>
                <w:rFonts w:asciiTheme="minorHAnsi" w:hAnsiTheme="minorHAnsi" w:cstheme="minorHAnsi"/>
                <w:sz w:val="20"/>
                <w:szCs w:val="20"/>
              </w:rPr>
              <w:t xml:space="preserve">pozycji „x” </w:t>
            </w:r>
          </w:p>
        </w:tc>
      </w:tr>
      <w:tr w:rsidR="00FE6903" w:rsidRPr="00EB2E7B" w14:paraId="75887C2C" w14:textId="77777777" w:rsidTr="009F4159">
        <w:trPr>
          <w:trHeight w:val="514"/>
        </w:trPr>
        <w:tc>
          <w:tcPr>
            <w:tcW w:w="1951" w:type="dxa"/>
          </w:tcPr>
          <w:p w14:paraId="4CF9B4CA"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W-03 </w:t>
            </w:r>
          </w:p>
        </w:tc>
        <w:tc>
          <w:tcPr>
            <w:tcW w:w="6946" w:type="dxa"/>
          </w:tcPr>
          <w:p w14:paraId="22997E21" w14:textId="610DF301"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Weryfikacja negatywna – brak umowy o świadczenie usług dystrybucji pomiędzy OSD</w:t>
            </w:r>
            <w:r w:rsidR="00316695"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a URD </w:t>
            </w:r>
          </w:p>
        </w:tc>
      </w:tr>
      <w:tr w:rsidR="00FE6903" w:rsidRPr="00EB2E7B" w14:paraId="3C5E0A03" w14:textId="77777777" w:rsidTr="009F4159">
        <w:trPr>
          <w:trHeight w:val="226"/>
        </w:trPr>
        <w:tc>
          <w:tcPr>
            <w:tcW w:w="1951" w:type="dxa"/>
          </w:tcPr>
          <w:p w14:paraId="10108911"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W-04 </w:t>
            </w:r>
          </w:p>
        </w:tc>
        <w:tc>
          <w:tcPr>
            <w:tcW w:w="6946" w:type="dxa"/>
          </w:tcPr>
          <w:p w14:paraId="65670600" w14:textId="764A74F3"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Weryfikacja negatywna – brak umowy dystrybucji pomiędzy OSD</w:t>
            </w:r>
            <w:r w:rsidR="005B2D41" w:rsidRPr="00EB2E7B">
              <w:rPr>
                <w:rFonts w:asciiTheme="minorHAnsi" w:hAnsiTheme="minorHAnsi" w:cstheme="minorHAnsi"/>
                <w:sz w:val="20"/>
                <w:szCs w:val="20"/>
              </w:rPr>
              <w:t xml:space="preserve"> </w:t>
            </w:r>
            <w:r w:rsidRPr="00EB2E7B">
              <w:rPr>
                <w:rFonts w:asciiTheme="minorHAnsi" w:hAnsiTheme="minorHAnsi" w:cstheme="minorHAnsi"/>
                <w:sz w:val="20"/>
                <w:szCs w:val="20"/>
              </w:rPr>
              <w:t>a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sprzedawcy </w:t>
            </w:r>
          </w:p>
        </w:tc>
      </w:tr>
      <w:tr w:rsidR="00FE6903" w:rsidRPr="00EB2E7B" w14:paraId="63FD70D4" w14:textId="77777777" w:rsidTr="009F4159">
        <w:trPr>
          <w:trHeight w:val="226"/>
        </w:trPr>
        <w:tc>
          <w:tcPr>
            <w:tcW w:w="1951" w:type="dxa"/>
          </w:tcPr>
          <w:p w14:paraId="7EB2F106"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W-05 </w:t>
            </w:r>
          </w:p>
        </w:tc>
        <w:tc>
          <w:tcPr>
            <w:tcW w:w="6946" w:type="dxa"/>
          </w:tcPr>
          <w:p w14:paraId="31D56E83"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Weryfikacja negatywna – zmiana wybranego sprzedawcy dla danego PPE już występuje w zgłaszanym okresie </w:t>
            </w:r>
          </w:p>
        </w:tc>
      </w:tr>
      <w:tr w:rsidR="00FE6903" w:rsidRPr="00EB2E7B" w14:paraId="5605E120" w14:textId="77777777" w:rsidTr="009F4159">
        <w:trPr>
          <w:trHeight w:val="226"/>
        </w:trPr>
        <w:tc>
          <w:tcPr>
            <w:tcW w:w="1951" w:type="dxa"/>
          </w:tcPr>
          <w:p w14:paraId="0CDE5BAC"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W-06 </w:t>
            </w:r>
          </w:p>
        </w:tc>
        <w:tc>
          <w:tcPr>
            <w:tcW w:w="6946" w:type="dxa"/>
          </w:tcPr>
          <w:p w14:paraId="496F831E" w14:textId="4E238938"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Weryfikacja negatywna – brak Generalnej Umowy Dystrybucji </w:t>
            </w:r>
            <w:r w:rsidR="008D7560" w:rsidRPr="00EB2E7B">
              <w:rPr>
                <w:rFonts w:asciiTheme="minorHAnsi" w:hAnsiTheme="minorHAnsi" w:cstheme="minorHAnsi"/>
                <w:sz w:val="20"/>
                <w:szCs w:val="20"/>
              </w:rPr>
              <w:t xml:space="preserve"> </w:t>
            </w:r>
            <w:r w:rsidRPr="00EB2E7B">
              <w:rPr>
                <w:rFonts w:asciiTheme="minorHAnsi" w:hAnsiTheme="minorHAnsi" w:cstheme="minorHAnsi"/>
                <w:sz w:val="20"/>
                <w:szCs w:val="20"/>
              </w:rPr>
              <w:t>pomiędzy OSD</w:t>
            </w:r>
            <w:r w:rsidR="00711A1E"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a danym Sprzedawcą </w:t>
            </w:r>
          </w:p>
        </w:tc>
      </w:tr>
      <w:tr w:rsidR="00FE6903" w:rsidRPr="00EB2E7B" w14:paraId="193C7AC1" w14:textId="77777777" w:rsidTr="009F4159">
        <w:trPr>
          <w:trHeight w:val="226"/>
        </w:trPr>
        <w:tc>
          <w:tcPr>
            <w:tcW w:w="1951" w:type="dxa"/>
          </w:tcPr>
          <w:p w14:paraId="3A9A708D"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W-07 </w:t>
            </w:r>
          </w:p>
        </w:tc>
        <w:tc>
          <w:tcPr>
            <w:tcW w:w="6946" w:type="dxa"/>
          </w:tcPr>
          <w:p w14:paraId="51DCA897" w14:textId="05B49340"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Weryfikacja </w:t>
            </w:r>
            <w:r w:rsidR="2FC54B2B" w:rsidRPr="00EB2E7B">
              <w:rPr>
                <w:rFonts w:asciiTheme="minorHAnsi" w:hAnsiTheme="minorHAnsi" w:cstheme="minorHAnsi"/>
                <w:sz w:val="20"/>
                <w:szCs w:val="20"/>
              </w:rPr>
              <w:t>negatywna</w:t>
            </w:r>
            <w:r w:rsidRPr="00EB2E7B">
              <w:rPr>
                <w:rFonts w:asciiTheme="minorHAnsi" w:hAnsiTheme="minorHAnsi" w:cstheme="minorHAnsi"/>
                <w:sz w:val="20"/>
                <w:szCs w:val="20"/>
              </w:rPr>
              <w:t xml:space="preserve"> – konieczność dostosowania układów pomiarowo-rozliczeniowych </w:t>
            </w:r>
            <w:r w:rsidR="00E0242A" w:rsidRPr="00EB2E7B">
              <w:rPr>
                <w:rFonts w:asciiTheme="minorHAnsi" w:hAnsiTheme="minorHAnsi" w:cstheme="minorHAnsi"/>
                <w:sz w:val="20"/>
                <w:szCs w:val="20"/>
              </w:rPr>
              <w:t>przez URD</w:t>
            </w:r>
            <w:r w:rsidR="00E0242A" w:rsidRPr="00EB2E7B">
              <w:rPr>
                <w:rFonts w:asciiTheme="minorHAnsi" w:hAnsiTheme="minorHAnsi" w:cstheme="minorHAnsi"/>
                <w:sz w:val="20"/>
                <w:szCs w:val="20"/>
                <w:vertAlign w:val="subscript"/>
              </w:rPr>
              <w:t xml:space="preserve">O </w:t>
            </w:r>
            <w:r w:rsidR="00E0242A" w:rsidRPr="00EB2E7B">
              <w:rPr>
                <w:rFonts w:asciiTheme="minorHAnsi" w:hAnsiTheme="minorHAnsi" w:cstheme="minorHAnsi"/>
                <w:sz w:val="20"/>
                <w:szCs w:val="20"/>
              </w:rPr>
              <w:t>lub URD</w:t>
            </w:r>
            <w:r w:rsidR="00E0242A" w:rsidRPr="00EB2E7B">
              <w:rPr>
                <w:rFonts w:asciiTheme="minorHAnsi" w:hAnsiTheme="minorHAnsi" w:cstheme="minorHAnsi"/>
                <w:sz w:val="20"/>
                <w:szCs w:val="20"/>
                <w:vertAlign w:val="subscript"/>
              </w:rPr>
              <w:t>W</w:t>
            </w:r>
          </w:p>
        </w:tc>
      </w:tr>
      <w:tr w:rsidR="00FE6903" w:rsidRPr="00EB2E7B" w14:paraId="4D93A395" w14:textId="77777777" w:rsidTr="009F4159">
        <w:trPr>
          <w:trHeight w:val="100"/>
        </w:trPr>
        <w:tc>
          <w:tcPr>
            <w:tcW w:w="1951" w:type="dxa"/>
          </w:tcPr>
          <w:p w14:paraId="403E060B" w14:textId="77777777"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 xml:space="preserve">W-08 </w:t>
            </w:r>
          </w:p>
        </w:tc>
        <w:tc>
          <w:tcPr>
            <w:tcW w:w="6946" w:type="dxa"/>
          </w:tcPr>
          <w:p w14:paraId="267ABC39" w14:textId="7F32F805"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Weryfikacje negatywna – brak lub błędne wskazanie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lub MB </w:t>
            </w:r>
          </w:p>
        </w:tc>
      </w:tr>
      <w:tr w:rsidR="0074264B" w:rsidRPr="00EB2E7B" w14:paraId="66CFE21E" w14:textId="77777777" w:rsidTr="009F4159">
        <w:trPr>
          <w:trHeight w:val="100"/>
        </w:trPr>
        <w:tc>
          <w:tcPr>
            <w:tcW w:w="1951" w:type="dxa"/>
          </w:tcPr>
          <w:p w14:paraId="33C84773" w14:textId="75794274" w:rsidR="0074264B" w:rsidRPr="00EB2E7B" w:rsidRDefault="0074264B"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W-09</w:t>
            </w:r>
          </w:p>
        </w:tc>
        <w:tc>
          <w:tcPr>
            <w:tcW w:w="6946" w:type="dxa"/>
          </w:tcPr>
          <w:p w14:paraId="2569CC50" w14:textId="32353219" w:rsidR="0074264B" w:rsidRPr="00EB2E7B" w:rsidRDefault="0074264B"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Weryfikacja negatywna - zgłoszenie umowy kompleksowej dotyczy PPE dla którego nie jest możliwa realizacja umowy kompleksowej</w:t>
            </w:r>
          </w:p>
        </w:tc>
      </w:tr>
      <w:tr w:rsidR="00FE6903" w:rsidRPr="00EB2E7B" w14:paraId="14CEDB42" w14:textId="77777777" w:rsidTr="009F4159">
        <w:trPr>
          <w:trHeight w:val="226"/>
        </w:trPr>
        <w:tc>
          <w:tcPr>
            <w:tcW w:w="1951" w:type="dxa"/>
          </w:tcPr>
          <w:p w14:paraId="33F772E8" w14:textId="29A3D40A"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w:t>
            </w:r>
            <w:r w:rsidR="0074264B" w:rsidRPr="00EB2E7B">
              <w:rPr>
                <w:rFonts w:asciiTheme="minorHAnsi" w:hAnsiTheme="minorHAnsi" w:cstheme="minorHAnsi"/>
                <w:sz w:val="20"/>
                <w:szCs w:val="20"/>
              </w:rPr>
              <w:t>10</w:t>
            </w:r>
          </w:p>
        </w:tc>
        <w:tc>
          <w:tcPr>
            <w:tcW w:w="6946" w:type="dxa"/>
          </w:tcPr>
          <w:p w14:paraId="36FFF7B6" w14:textId="65CCCD3E" w:rsidR="00FE6903" w:rsidRPr="00EB2E7B" w:rsidRDefault="00FE6903" w:rsidP="005D19E7">
            <w:pPr>
              <w:ind w:left="70" w:firstLine="0"/>
              <w:rPr>
                <w:rFonts w:asciiTheme="minorHAnsi" w:hAnsiTheme="minorHAnsi" w:cstheme="minorHAnsi"/>
                <w:sz w:val="20"/>
                <w:szCs w:val="20"/>
              </w:rPr>
            </w:pPr>
            <w:r w:rsidRPr="00EB2E7B">
              <w:rPr>
                <w:rFonts w:asciiTheme="minorHAnsi" w:hAnsiTheme="minorHAnsi" w:cstheme="minorHAnsi"/>
                <w:sz w:val="20"/>
                <w:szCs w:val="20"/>
              </w:rPr>
              <w:t>Weryfikacja negatywna – inne (kod ten będzie uzupełniany o</w:t>
            </w:r>
            <w:r w:rsidR="00D91C88" w:rsidRPr="00EB2E7B">
              <w:rPr>
                <w:rFonts w:asciiTheme="minorHAnsi" w:hAnsiTheme="minorHAnsi" w:cstheme="minorHAnsi"/>
                <w:sz w:val="20"/>
                <w:szCs w:val="20"/>
              </w:rPr>
              <w:t> </w:t>
            </w:r>
            <w:r w:rsidRPr="00EB2E7B">
              <w:rPr>
                <w:rFonts w:asciiTheme="minorHAnsi" w:hAnsiTheme="minorHAnsi" w:cstheme="minorHAnsi"/>
                <w:sz w:val="20"/>
                <w:szCs w:val="20"/>
              </w:rPr>
              <w:t xml:space="preserve">przyczynę weryfikacji negatywnej) </w:t>
            </w:r>
          </w:p>
        </w:tc>
      </w:tr>
    </w:tbl>
    <w:p w14:paraId="5EBE3A28" w14:textId="23709467" w:rsidR="00DF063D" w:rsidRPr="00EB2E7B" w:rsidRDefault="00DF063D" w:rsidP="00727E43">
      <w:pPr>
        <w:ind w:left="70" w:firstLine="0"/>
        <w:rPr>
          <w:rFonts w:asciiTheme="minorHAnsi" w:hAnsiTheme="minorHAnsi" w:cstheme="minorHAnsi"/>
          <w:sz w:val="20"/>
          <w:szCs w:val="20"/>
        </w:rPr>
      </w:pPr>
      <w:r w:rsidRPr="00EB2E7B">
        <w:rPr>
          <w:rFonts w:asciiTheme="minorHAnsi" w:hAnsiTheme="minorHAnsi" w:cstheme="minorHAnsi"/>
          <w:sz w:val="20"/>
          <w:szCs w:val="20"/>
        </w:rPr>
        <w:br w:type="page"/>
      </w:r>
    </w:p>
    <w:p w14:paraId="30FA0923" w14:textId="491077F6" w:rsidR="00473957" w:rsidRPr="00EB2E7B" w:rsidRDefault="006C6FD5" w:rsidP="001F4E94">
      <w:pPr>
        <w:pStyle w:val="Nagwek1"/>
        <w:numPr>
          <w:ilvl w:val="0"/>
          <w:numId w:val="0"/>
        </w:numPr>
        <w:ind w:left="1134"/>
        <w:jc w:val="right"/>
        <w:rPr>
          <w:rFonts w:asciiTheme="minorHAnsi" w:hAnsiTheme="minorHAnsi" w:cstheme="minorHAnsi"/>
          <w:sz w:val="20"/>
          <w:szCs w:val="20"/>
        </w:rPr>
      </w:pPr>
      <w:bookmarkStart w:id="824" w:name="_Toc189833868"/>
      <w:bookmarkStart w:id="825" w:name="_Toc239333468"/>
      <w:r w:rsidRPr="00EB2E7B">
        <w:rPr>
          <w:rFonts w:asciiTheme="minorHAnsi" w:hAnsiTheme="minorHAnsi" w:cstheme="minorHAnsi"/>
          <w:b w:val="0"/>
          <w:bCs/>
          <w:i/>
          <w:iCs/>
          <w:sz w:val="20"/>
          <w:szCs w:val="20"/>
        </w:rPr>
        <w:lastRenderedPageBreak/>
        <w:t>Załącznik nr 4</w:t>
      </w:r>
      <w:bookmarkEnd w:id="824"/>
      <w:bookmarkEnd w:id="825"/>
    </w:p>
    <w:p w14:paraId="017084C1" w14:textId="27A82344" w:rsidR="00415801" w:rsidRPr="00EB2E7B" w:rsidRDefault="00415801" w:rsidP="00415801">
      <w:pPr>
        <w:ind w:left="70" w:firstLine="0"/>
        <w:jc w:val="center"/>
        <w:rPr>
          <w:rFonts w:asciiTheme="minorHAnsi" w:hAnsiTheme="minorHAnsi" w:cstheme="minorHAnsi"/>
          <w:b/>
          <w:bCs/>
          <w:sz w:val="20"/>
          <w:szCs w:val="20"/>
        </w:rPr>
      </w:pPr>
      <w:r w:rsidRPr="00EB2E7B">
        <w:rPr>
          <w:rFonts w:asciiTheme="minorHAnsi" w:hAnsiTheme="minorHAnsi" w:cstheme="minorHAnsi"/>
          <w:b/>
          <w:bCs/>
          <w:sz w:val="20"/>
          <w:szCs w:val="20"/>
        </w:rPr>
        <w:t>ISTOTNE POSTANOWIENIA UMOWY O ŚWIADCZENIE USŁUG DYSTRYBUCJI ZAWIERANYCH ZE SPRZEDAWCAMI</w:t>
      </w:r>
    </w:p>
    <w:p w14:paraId="785DA54B" w14:textId="3B9B13ED" w:rsidR="00415801" w:rsidRPr="00EB2E7B" w:rsidRDefault="00415801" w:rsidP="00415801">
      <w:pPr>
        <w:ind w:left="70" w:firstLine="0"/>
        <w:jc w:val="center"/>
        <w:rPr>
          <w:rFonts w:asciiTheme="minorHAnsi" w:hAnsiTheme="minorHAnsi" w:cstheme="minorHAnsi"/>
          <w:b/>
          <w:bCs/>
          <w:sz w:val="20"/>
          <w:szCs w:val="20"/>
        </w:rPr>
      </w:pPr>
    </w:p>
    <w:p w14:paraId="0885289C" w14:textId="77777777" w:rsidR="00E954A0" w:rsidRDefault="00047FD1">
      <w:pPr>
        <w:jc w:val="center"/>
        <w:rPr>
          <w:rFonts w:asciiTheme="minorHAnsi" w:hAnsiTheme="minorHAnsi" w:cstheme="minorHAnsi"/>
          <w:b/>
          <w:bCs/>
          <w:sz w:val="20"/>
          <w:szCs w:val="20"/>
        </w:rPr>
      </w:pPr>
      <w:r>
        <w:rPr>
          <w:rFonts w:asciiTheme="minorHAnsi" w:hAnsiTheme="minorHAnsi" w:cstheme="minorHAnsi"/>
          <w:b/>
          <w:bCs/>
          <w:sz w:val="20"/>
          <w:szCs w:val="20"/>
        </w:rPr>
        <w:t>Część A (obowiązuje do dnia poprzedzającego przystąpienie ACPRO do CSIRE)</w:t>
      </w:r>
    </w:p>
    <w:p w14:paraId="777390C1" w14:textId="77777777" w:rsidR="00E954A0" w:rsidRDefault="00E954A0">
      <w:pPr>
        <w:ind w:left="70" w:firstLine="0"/>
        <w:jc w:val="center"/>
        <w:rPr>
          <w:rFonts w:asciiTheme="minorHAnsi" w:hAnsiTheme="minorHAnsi" w:cstheme="minorHAnsi"/>
          <w:sz w:val="20"/>
          <w:szCs w:val="20"/>
        </w:rPr>
      </w:pPr>
    </w:p>
    <w:p w14:paraId="27854323" w14:textId="77777777" w:rsidR="00E954A0" w:rsidRDefault="00047FD1">
      <w:pPr>
        <w:jc w:val="center"/>
        <w:rPr>
          <w:rFonts w:asciiTheme="minorHAnsi" w:hAnsiTheme="minorHAnsi" w:cstheme="minorHAnsi"/>
          <w:b/>
          <w:bCs/>
          <w:sz w:val="20"/>
          <w:szCs w:val="20"/>
        </w:rPr>
      </w:pPr>
      <w:r>
        <w:rPr>
          <w:rFonts w:asciiTheme="minorHAnsi" w:hAnsiTheme="minorHAnsi" w:cstheme="minorHAnsi"/>
          <w:b/>
          <w:bCs/>
          <w:sz w:val="20"/>
          <w:szCs w:val="20"/>
        </w:rPr>
        <w:t>Istotne postanowienia GUD-K</w:t>
      </w:r>
    </w:p>
    <w:p w14:paraId="3E6D557B" w14:textId="77777777" w:rsidR="00E954A0" w:rsidRDefault="00E954A0">
      <w:pPr>
        <w:ind w:left="70" w:firstLine="0"/>
        <w:jc w:val="center"/>
        <w:rPr>
          <w:rFonts w:asciiTheme="minorHAnsi" w:hAnsiTheme="minorHAnsi" w:cstheme="minorHAnsi"/>
          <w:sz w:val="20"/>
          <w:szCs w:val="20"/>
        </w:rPr>
      </w:pPr>
    </w:p>
    <w:p w14:paraId="03751944" w14:textId="77777777" w:rsidR="00E954A0" w:rsidRDefault="00047FD1">
      <w:pPr>
        <w:spacing w:line="264" w:lineRule="auto"/>
        <w:ind w:left="357" w:hanging="357"/>
        <w:rPr>
          <w:rFonts w:asciiTheme="minorHAnsi" w:hAnsiTheme="minorHAnsi" w:cstheme="minorHAnsi"/>
          <w:sz w:val="20"/>
          <w:szCs w:val="20"/>
        </w:rPr>
      </w:pPr>
      <w:r>
        <w:rPr>
          <w:rFonts w:asciiTheme="minorHAnsi" w:hAnsiTheme="minorHAnsi" w:cstheme="minorHAnsi"/>
          <w:sz w:val="20"/>
          <w:szCs w:val="20"/>
        </w:rPr>
        <w:t>GUD-K zawiera następujące istotne postanowienia:</w:t>
      </w:r>
    </w:p>
    <w:p w14:paraId="3E57076A"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I. Postanowienia wstępne:</w:t>
      </w:r>
    </w:p>
    <w:p w14:paraId="2BC452D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ACPRO i sprzedawca przyjmują, że podstawę do ustalenia i realizacji warunków GUD-K stanowią w szczególności:</w:t>
      </w:r>
    </w:p>
    <w:p w14:paraId="25A9BF38"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1)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7C199005"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WDB,</w:t>
      </w:r>
    </w:p>
    <w:p w14:paraId="7BB7175C"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Taryfa ACPRO,</w:t>
      </w:r>
    </w:p>
    <w:p w14:paraId="3A0814E4" w14:textId="77777777" w:rsidR="00E954A0" w:rsidRDefault="00047FD1">
      <w:pPr>
        <w:spacing w:line="264" w:lineRule="auto"/>
        <w:ind w:left="1134" w:firstLine="0"/>
        <w:rPr>
          <w:rFonts w:asciiTheme="minorHAnsi" w:hAnsiTheme="minorHAnsi" w:cstheme="minorHAnsi"/>
          <w:sz w:val="20"/>
          <w:szCs w:val="20"/>
        </w:rPr>
      </w:pPr>
      <w:r>
        <w:rPr>
          <w:rFonts w:asciiTheme="minorHAnsi" w:hAnsiTheme="minorHAnsi" w:cstheme="minorHAnsi"/>
          <w:sz w:val="20"/>
          <w:szCs w:val="20"/>
        </w:rPr>
        <w:t>a także akty prawa powszechnie obowiązującego.</w:t>
      </w:r>
    </w:p>
    <w:p w14:paraId="63163B07"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Zatwierdzona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stanowi część GUD-K. Dokonane po wejściu w życie GUD-K zmiany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WDB obowiązują ACPRO i sprzedawcę bez konieczności sporządzania aneksu do GUD-K. W przypadku niezgodności zapisów GUD-K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obowiązują zapisy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Nie wyklucza to prawa do rozwiązania GUD-K, zgodnie z GUD-K. Jednocześnie ACPRO i sprzedawca przyjmują, że ACPRO powiadomi sprzedawcę w formie elektronicznej na dedykowany adres mailowy wskazany w GUD-K, o publicznym dostępie do projektu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jej zmian oraz o możliwości zgłaszania uwag, określając miejsce i termin ich zgłaszania. Powiadomienie to nastąpi nie później niż w terminie 7 dni kalendarzowych od dnia opublikowania projektu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jej zmian. Nie później niż 3 dni robocze po zatwierdzeniu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jej zmian ACPRO poinformuje o tym sprzedawcę w formie elektronicznej na dedykowany adres mailowy wskazany w GUD-K.</w:t>
      </w:r>
    </w:p>
    <w:p w14:paraId="66E37154"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Warunkiem realizacji zobowiązań ACPRO wobec sprzedawcy wynikających z GUD-K jest jednoczesne obowiązywanie umów:</w:t>
      </w:r>
    </w:p>
    <w:p w14:paraId="3E7F9209"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o świadczenie usług przesyłania energii elektrycznej zawartej pomiędzy ACPRO a OSP;</w:t>
      </w:r>
    </w:p>
    <w:p w14:paraId="3F123A09"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kompleksowych zawartych pomiędzy sprzedawcą a URD;</w:t>
      </w:r>
    </w:p>
    <w:p w14:paraId="3949522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o świadczenie usług dystrybucji zawartej pomiędzy ACPRO a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wskazanym przez sprzedawcę – przez wskazanie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rozumie się również oznaczenie samego sprzedawcy jako podmiotu odpowiedzialnego za bilansowanie;</w:t>
      </w:r>
    </w:p>
    <w:p w14:paraId="4CE13E5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o świadczenie usług przesyłania energii elektrycznej zawartej pomiędzy wskazanym przez sprzedawcę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a OSP.</w:t>
      </w:r>
    </w:p>
    <w:p w14:paraId="782174D5"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ACPRO wstrzymuje realizację GUD-K w całości lub w części, jeżeli którakolwiek z umów, o których mowa w pkt 3, nie obowiązuje lub nie jest realizowana, w zakresie w jakim nie będzie możliwa realizacja GUD-K bez obowiązywania lub realizacji danej umowy.</w:t>
      </w:r>
    </w:p>
    <w:p w14:paraId="368BF86E"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lastRenderedPageBreak/>
        <w:t>II. Przedmiot GUD-K:</w:t>
      </w:r>
    </w:p>
    <w:p w14:paraId="32C660E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Na mocy GUD-K ACPRO zobowiązuje się wobec sprzedawcy do świadczenia usług dystrybucji na rzecz URD, którym sprzedawca świadczy usługę kompleksową na podstawie umowy kompleksowej,</w:t>
      </w:r>
    </w:p>
    <w:p w14:paraId="7F80B963"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GUD-K wraz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Taryfą ACPRO określa szczegółowe warunki świadczenia przez ACPRO usług dystrybucji oraz zasady współpracy ACPRO i sprzedawcy w tym zakresie, w szczególności:</w:t>
      </w:r>
    </w:p>
    <w:p w14:paraId="0854F6A4"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zasady i terminy zgłaszania przez sprzedawcę do ACPRO umów kompleksowych;</w:t>
      </w:r>
    </w:p>
    <w:p w14:paraId="3E86A5C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zasady obejmowania postanowieniami GUD-K kolejnych URD i zobowiązania ACPRO i sprzedawcy w tym zakresie;</w:t>
      </w:r>
    </w:p>
    <w:p w14:paraId="4E939A7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zasady wyłączania z zakresu GUD-K tych URD, z którymi zawarte umowy kompleksowe wygasły lub zostały rozwiązane;</w:t>
      </w:r>
    </w:p>
    <w:p w14:paraId="0F999DC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wskazanie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oraz zasady i warunki jego zmiany, w tym umocowanie wskazanego przez sprzedawcę POB</w:t>
      </w:r>
      <w:r>
        <w:rPr>
          <w:rFonts w:asciiTheme="minorHAnsi" w:hAnsiTheme="minorHAnsi" w:cstheme="minorHAnsi"/>
          <w:sz w:val="20"/>
          <w:szCs w:val="20"/>
          <w:vertAlign w:val="subscript"/>
        </w:rPr>
        <w:t>Z</w:t>
      </w:r>
      <w:r>
        <w:rPr>
          <w:rFonts w:asciiTheme="minorHAnsi" w:hAnsiTheme="minorHAnsi" w:cstheme="minorHAnsi"/>
          <w:sz w:val="20"/>
          <w:szCs w:val="20"/>
        </w:rPr>
        <w:t>;</w:t>
      </w:r>
    </w:p>
    <w:p w14:paraId="134686E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5) zasady i terminy przekazywania informacji dotyczących rozwiązywania umów kompleksowych;</w:t>
      </w:r>
    </w:p>
    <w:p w14:paraId="13B21AD2"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6) zasady wstrzymywania i wznawiania dostarczania energii elektrycznej URD przez ACPRO;</w:t>
      </w:r>
    </w:p>
    <w:p w14:paraId="32BBA808"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7) zakres, zasady i terminy udostępniania danych dotyczących URD, w tym danych pomiarowych oraz innych niezbędnych do dokonania przez sprzedawcę rozliczeń za usługę kompleksową;</w:t>
      </w:r>
    </w:p>
    <w:p w14:paraId="642A0828"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8) zasady udzielania bonifikat, rozpatrywania reklamacji i wypłaty odszkodowań;</w:t>
      </w:r>
    </w:p>
    <w:p w14:paraId="3B87CAC9"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9) obowiązki ACPRO i sprzedawcy w zakresie obsługi URD;</w:t>
      </w:r>
    </w:p>
    <w:p w14:paraId="637B5C35"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10) warunki i zasady prowadzenia rozliczeń pomiędzy ACPRO i sprzedawcą;</w:t>
      </w:r>
    </w:p>
    <w:p w14:paraId="0E8D3945"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11) osoby upoważnione do kontaktu oraz ich dane teleadresowe;</w:t>
      </w:r>
    </w:p>
    <w:p w14:paraId="5ADAC1A4"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12) zasady zabezpieczenia należytego wykonania GUD-K;</w:t>
      </w:r>
    </w:p>
    <w:p w14:paraId="1543858D"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13) zasady i warunki sprzedaży rezerwowej.</w:t>
      </w:r>
    </w:p>
    <w:p w14:paraId="5A6724F3"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III. ACPRO zobowiązuje się w szczególności do:</w:t>
      </w:r>
    </w:p>
    <w:p w14:paraId="420156FE"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przyjmowania od sprzedawcy powiadomień o zawartych umowach kompleksowych oraz weryfikacji tych powiadomień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48732A83"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realizacji czynności niezbędnych do dostarczania energii elektrycznej do URD w związku ze zgłoszonymi przez sprzedawcę do ACPRO i przyjętymi przez ACPRO do realizacji umowami kompleksowymi;</w:t>
      </w:r>
    </w:p>
    <w:p w14:paraId="0532AE13"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dostarczania energii elektrycznej z zachowaniem ciągłości i niezawodności dostaw z uwzględnieniem parametrów jakościowych energii elektrycznej i standardów jakościowych obsługi odbiorców określonych w obowiązujących przepisach prawa, do miejsc dostarczania energii elektrycznej określonych w umowach kompleksowych;</w:t>
      </w:r>
    </w:p>
    <w:p w14:paraId="044CB12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odbierania i dystrybucji energii elektrycznej wytworzonej i wprowadzonej do sieci ACPRO przez URD będącego prosumentem energii odnawialnej na podstawie umów kompleksowych, o których mowa w pkt 2.;</w:t>
      </w:r>
    </w:p>
    <w:p w14:paraId="0D34B2A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5. udostępniania sprzedawcy danych pomiarowych URD oraz danych stanowiących podstawę do rozliczeń z URD, zgodnie z zapisami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oraz Taryfy ACPRO;</w:t>
      </w:r>
    </w:p>
    <w:p w14:paraId="39B6A52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lastRenderedPageBreak/>
        <w:t xml:space="preserve">6. wstrzymywania i wznawiania dostarczania energii elektrycznej URD na zasadach określonych w Ustawie oraz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2EEBC0D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7. rozpatrywania na zasadach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wniosków i reklamacji URD dotyczących świadczonych usług dystrybucji, zgłoszonych przez sprzedawcę w imieniu URD;</w:t>
      </w:r>
    </w:p>
    <w:p w14:paraId="2552880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8. niezwłocznego przekazywania sprzedawcy informacji wynikających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mających wpływ na realizację GUD-K i umów kompleksowych z URD, w zakresie świadczonych usług dystrybucji;</w:t>
      </w:r>
    </w:p>
    <w:p w14:paraId="6A390852"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9. udzielania sprzedawcy oraz URD informacji dotyczących świadczonych usług dystrybucji;</w:t>
      </w:r>
    </w:p>
    <w:p w14:paraId="29013032"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10. wykonywania innych obowiązków określonych w GUD-K, a także wynikających z przepisów obowiązującego prawa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2DA2B20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11. terminowej zapłaty należności wynikających z GUD-K;</w:t>
      </w:r>
    </w:p>
    <w:p w14:paraId="559565E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12. przekazania paszportu PPE niezwłocznie, jednak nie później niż w ciągu:</w:t>
      </w:r>
    </w:p>
    <w:p w14:paraId="5F7420B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1) trzech (3) dni roboczych, od złożenia przez sprzedawcę do ACPRO zapytania o paszport PPE (w szczególnie uzasadnionych przypadkach termin określony powyżej może być przedłużony do pięciu (5) dni roboczych, o czym ACPRO poinformuje sprzedawcę przed upływem ww. terminu) – dla URD przyłączonych do sieci elektroenergetycznej ACPRO o napięciu znamionowym do 1 </w:t>
      </w:r>
      <w:proofErr w:type="spellStart"/>
      <w:r>
        <w:rPr>
          <w:rFonts w:asciiTheme="minorHAnsi" w:hAnsiTheme="minorHAnsi" w:cstheme="minorHAnsi"/>
          <w:sz w:val="20"/>
          <w:szCs w:val="20"/>
        </w:rPr>
        <w:t>kV</w:t>
      </w:r>
      <w:proofErr w:type="spellEnd"/>
      <w:r>
        <w:rPr>
          <w:rFonts w:asciiTheme="minorHAnsi" w:hAnsiTheme="minorHAnsi" w:cstheme="minorHAnsi"/>
          <w:sz w:val="20"/>
          <w:szCs w:val="20"/>
        </w:rPr>
        <w:t xml:space="preserve"> i mocy przyłączeniowej nie wyższej niż 40 kW,</w:t>
      </w:r>
    </w:p>
    <w:p w14:paraId="0517203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pięciu (5) dni roboczych, od złożenia przez sprzedawcę do ACPRO zapytania o paszport PPE (w szczególnie uzasadnionych przypadkach termin określony powyżej może być przedłużony do dziesięciu (10) dni roboczych, o czym ACPRO poinformuje sprzedawcę przed upływem ww. terminu) – dla URD innych niż wymienionych w pkt 1);</w:t>
      </w:r>
    </w:p>
    <w:p w14:paraId="633B7F6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13. powiadamiania o zmianie Taryfy ACPRO oraz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poprzez udostępnianie ich w swojej siedzibie oraz publikowania na stronie internetowej ACPRO;</w:t>
      </w:r>
    </w:p>
    <w:p w14:paraId="7C934657"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14. przekazania, na dedykowany adres poczty elektronicznej sprzedawcy, zatwierdzonej Taryfy ACPRO, nie później niż w terminie dwóch (2) dni roboczych od jej opublikowania w Biuletynie URE;</w:t>
      </w:r>
    </w:p>
    <w:p w14:paraId="38FE7317"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15. zachowania tajemnicy przedsiębiorstwa związanej z realizacją GUD-K;</w:t>
      </w:r>
    </w:p>
    <w:p w14:paraId="1491FA0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16. informowania sprzedawcy o przyłączeniu do sieci ACPRO mikroinstalacji URD, w tym informacji o mocy zainstalowanej elektrycznej mikroinstalacji i rodzaju źródła energii.</w:t>
      </w:r>
    </w:p>
    <w:p w14:paraId="3F31624A"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IV. Sprzedawca zobowiązuje się w szczególności do:</w:t>
      </w:r>
    </w:p>
    <w:p w14:paraId="64948DDE"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występowania z wnioskiem o wydanie paszportu PPE przed zawarciem umowy kompleksowej z URD, przy czym wniosek ten nie jest obligatoryjny dla URD w gospodarstwie domowym przyłączonych do sieci elektroenergetycznej o napięciu znamionowym nie wyższym niż 1 </w:t>
      </w:r>
      <w:proofErr w:type="spellStart"/>
      <w:r>
        <w:rPr>
          <w:rFonts w:asciiTheme="minorHAnsi" w:hAnsiTheme="minorHAnsi" w:cstheme="minorHAnsi"/>
          <w:sz w:val="20"/>
          <w:szCs w:val="20"/>
        </w:rPr>
        <w:t>kV</w:t>
      </w:r>
      <w:proofErr w:type="spellEnd"/>
      <w:r>
        <w:rPr>
          <w:rFonts w:asciiTheme="minorHAnsi" w:hAnsiTheme="minorHAnsi" w:cstheme="minorHAnsi"/>
          <w:sz w:val="20"/>
          <w:szCs w:val="20"/>
        </w:rPr>
        <w:t xml:space="preserve">; wystąpienie z wnioskiem jest równoznaczne z dysponowaniem przez sprzedawcę pełnomocnictwem URD do pozyskania od ACPRO danych udostępnionych w paszporcie PPE. ACPRO zweryfikuje ze statusem negatywnym powiadomienia o zawartych umowach kompleksowych przyjęte od sprzedawcy w przypadku, gdy sprzedawca nie wystąpi o wydanie paszportu lub w przypadkach określonych w ust. III pkt 12 (za wyjątkiem URD w gospodarstwie domowym przyłączonych do sieci elektroenergetycznej o napięciu znamionowym nie wyższym niż 1 </w:t>
      </w:r>
      <w:proofErr w:type="spellStart"/>
      <w:r>
        <w:rPr>
          <w:rFonts w:asciiTheme="minorHAnsi" w:hAnsiTheme="minorHAnsi" w:cstheme="minorHAnsi"/>
          <w:sz w:val="20"/>
          <w:szCs w:val="20"/>
        </w:rPr>
        <w:t>kV</w:t>
      </w:r>
      <w:proofErr w:type="spellEnd"/>
      <w:r>
        <w:rPr>
          <w:rFonts w:asciiTheme="minorHAnsi" w:hAnsiTheme="minorHAnsi" w:cstheme="minorHAnsi"/>
          <w:sz w:val="20"/>
          <w:szCs w:val="20"/>
        </w:rPr>
        <w:t>, którym świadczona jest usługa dystrybucji);</w:t>
      </w:r>
    </w:p>
    <w:p w14:paraId="32136773"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zgłaszania do ACPRO informacji o zawartych umowach kompleksowych, zmianie danych wskazanych w zgłoszeniu lub o wygaśnięciu lub rozwiązaniu umów kompleksowych, na zasadach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dokonanie zgłoszenia jest równoznaczne z realizacją obowiązku, o którym mowa w pkt 4;</w:t>
      </w:r>
    </w:p>
    <w:p w14:paraId="2D746C8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lastRenderedPageBreak/>
        <w:t>3. zawierania lub rozwiązania umowy kompleksowej z URD obejmującej wszystkie PPE jednego obiektu oraz dokonania w jednym czasie zgłoszeń wszystkich PPE wchodzących w skład danego obiektu za wyjątkiem zmiany obiektu, gdzie będą zgłaszane tylko nowe PPE lub PPE usuwane z obiektu. ACPRO zweryfikuje ze statusem negatywnym powiadomienia o zawartych lub rozwiązywanych umowach kompleksowych przesłanych przez sprzedawcę w przypadku, gdy sprzedawca nie zgłosi wszystkich PPE wchodzących w skład danego obiektu w sposób umożliwiający ich jednoczesną weryfikację;</w:t>
      </w:r>
    </w:p>
    <w:p w14:paraId="6674A1B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uwzględnienia w umowach kompleksowych danych zawartych w paszporcie PPE oraz postanowień dotyczących zasad i warunków świadczenia usług dystrybucji;</w:t>
      </w:r>
    </w:p>
    <w:p w14:paraId="236D543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5. udzielania, na wniosek ACPRO, informacji o postanowieniach umów kompleksowych, o których mowa w GUD-K, w części dotyczącej świadczenia usług dystrybucji;</w:t>
      </w:r>
    </w:p>
    <w:p w14:paraId="3445385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6. terminowego regulowania należności wynikających z GUD-K;</w:t>
      </w:r>
    </w:p>
    <w:p w14:paraId="5E8F6AC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7. ustanowienia, uzupełniania oraz odnawiania zabezpieczenia należytego wykonania GUD-K;</w:t>
      </w:r>
    </w:p>
    <w:p w14:paraId="3F01045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8. informowania ACPRO o zmianie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lub zakończeniu świadczenia usługi bilansowania handlowego sprzedawcy,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2510CE4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9. przekazywania do ACPRO, na zasadach i w terminach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wniosków i reklamacji URD dotyczących świadczonych usług dystrybucji, zgłoszonych przez URD do sprzedawcy;</w:t>
      </w:r>
    </w:p>
    <w:p w14:paraId="10C674F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10. niezwłocznego, nie później niż w terminach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Ustawie, rozpatrywania reklamacji URD i udzielania na nie odpowiedzi URD;</w:t>
      </w:r>
    </w:p>
    <w:p w14:paraId="288265F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11. zachowania tajemnicy przedsiębiorstwa związanej z realizacją GUD-K;</w:t>
      </w:r>
    </w:p>
    <w:p w14:paraId="2D8EE26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12. informowania URD o miejscach uzyskania informacji dotyczących postępowań reklamacyjnych, o których mowa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5D90D7FE"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13. niezwłocznego przekazywania ACPRO informacji wynikających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mających wpływ na realizację GUD-K i świadczonych przez ACPRO usług dystrybucji na podstawie umów kompleksowych zawartych przez sprzedawcę z URD;</w:t>
      </w:r>
    </w:p>
    <w:p w14:paraId="18BB232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14. niezwłocznego, nie później niż w terminie 5 dni roboczych od ich otrzymania przez sprzedawcę od URD nie objętego ochroną przed wprowadzanymi ograniczeniami w dostarczaniu i poborze energii elektrycznej (zgodnie z Rozporządzeniem Rady Ministrów z dnia 8 listopada 2021 r. w sprawie szczegółowych zasad i trybu wprowadzania ograniczeń w sprzedaży paliw stałych oraz w dostarczaniu i poborze energii elektrycznej lub ciepła), przekazywania ACPRO informacji o danych kontaktowych URD na potrzeby realizacji ww. rozporządzenia: adresie poczty elektronicznej URD na potrzeby otrzymywania planów wprowadzania ograniczeń w dostarczaniu i poborze energii elektrycznej URD oraz adresie poczty elektronicznej lub numerze telefonu komórkowego URD na potrzeby otrzymywania powiadomień o wprowadzeniu ograniczeń w dostarczaniu i poborze energii elektrycznej – poprzez system, o którym mowa w GUD-K albo w formie elektronicznej na adres poczty elektronicznej wskazane w Załączniku do GUD-K;</w:t>
      </w:r>
    </w:p>
    <w:p w14:paraId="5E40A75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15. niezwłocznego dokonania odpowiednich zmian w umowie kompleksowej lub dokonania zgłoszenia nowej umowy kompleksowej, w przypadkach stwierdzenia przez ACPRO, że URD pobiera energię elektryczną na potrzeby inne, niż określone w umowie kompleksowej lub URD korzysta z grupy taryfowej niezgodnie z kwalifikacją określoną w Taryfie ACPRO;</w:t>
      </w:r>
    </w:p>
    <w:p w14:paraId="7160D7C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16. zamieszczania w treści umowy kompleksowej z URD, w szczególności:</w:t>
      </w:r>
    </w:p>
    <w:p w14:paraId="2B439E7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1) zobowiązania URD do przestrzegania zapisów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oraz Taryfy ACPRO ,</w:t>
      </w:r>
    </w:p>
    <w:p w14:paraId="5C23816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lastRenderedPageBreak/>
        <w:t>2) zgody URD na gromadzenie i przetwarzanie ich danych osobowych przez ACPRO w zakresie określonym w umowie kompleksowej, w tym w związku z wykonywaniem przez ACPRO odczytów układów pomiarowo-rozliczeniowych, a także kontrolą, modernizacją lub demontażem tych układów,</w:t>
      </w:r>
    </w:p>
    <w:p w14:paraId="5928AA34"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zobowiązania URD do umożliwienia upoważnionym przedstawicielom ACPRO wykonania kontroli oraz umożliwienia uprawnionym przedstawicielom ACPRO dostępu, wraz z niezbędnym sprzętem, do urządzeń oraz układu pomiarowo-rozliczeniowego znajdującego się na terenie lub w obiekcie URD, w celu wykonania prac eksploatacyjnych, usunięcia awarii w sieci dystrybucyjnej ACPRO, odczytu wskazań lub demontażu układu pomiarowo-rozliczeniowego,</w:t>
      </w:r>
    </w:p>
    <w:p w14:paraId="08167FE9"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informacji, że rozpoczęcie dostarczania energii elektrycznej następuje z dniem zainstalowania układu pomiarowo-rozliczeniowego lub podania napięcia – dotyczy URD nowo przyłączonych,</w:t>
      </w:r>
    </w:p>
    <w:p w14:paraId="6235BA2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5) poinformowania URD, że ACPRO ma prawo do wstrzymania lub ograniczenia dostarczania energii elektrycznej przez ACPRO, w przypadkach określonych w Ustawie i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42333FF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6) postanowień dotyczących sprzedaży rezerwowej określonych w Ustawie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w tym pozyskiwania od URD wymaganych oświadczeń lub upoważnień w tym zakresie.</w:t>
      </w:r>
    </w:p>
    <w:p w14:paraId="43299962"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 xml:space="preserve">V. Odniesienie do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oraz Taryfy ACPRO w zakresie zasad udostępniania danych pomiarowych i rozliczeniowych:</w:t>
      </w:r>
    </w:p>
    <w:p w14:paraId="2DEE165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Udostępnianie sprzedawcy przez ACPRO danych pomiarowych i rozliczeniowych dla każdego PPE odbywa się na zasadach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Taryfie ACPRO.</w:t>
      </w:r>
    </w:p>
    <w:p w14:paraId="21DC34B1"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W zakresie danych pomiarowych dotyczących prosumentów, prosumentów zbiorowych lub prosumentów wirtualnych, ACPRO udostępnia sprzedawcy dane obejmujące godzinowe ilości energii elektrycznej wprowadzonej i pobranej z sieci dystrybucyjnej ACPRO przez prosumenta, prosumenta zbiorowego lub prosumenta wirtualnego przed sumarycznym bilansowaniem i po sumarycznym bilansowaniu ilości energii elektrycznej wprowadzonej do i pobranej z sieci dystrybucyjnej ACPRO.</w:t>
      </w:r>
    </w:p>
    <w:p w14:paraId="17DE346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W zakresie danych pomiarowych dotyczących członków spółdzielni energetycznych, ACPRO udostępnia sprzedawcy dane pomiarowe obejmujące godzinowe ilości energii elektrycznej wprowadzonej do sieci dystrybucyjnej ACPRO i pobranej z tej sieci przez wszystkich członków spółdzielni energetycznej przed i po sumarycznym jej bilansowaniu z wszystkich faz.</w:t>
      </w:r>
    </w:p>
    <w:p w14:paraId="428D45E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4. Dane, o których mowa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1, 2 i 3 udostępnione są sprzedawcy poprzez system, o którym mowa w GUD-K, w formacie określonym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40BFC41A"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 xml:space="preserve">VI. Zasady wstrzymania i wznowienia dostarczania energii elektrycznej do odbiorców, w tym odniesienie się do zapisów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17D2E5B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Wstrzymanie oraz wznowienie dostarczania energii elektrycznej odbywa się na zasadach określonych w Ustawie oraz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10C3C09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Wymiana informacji w zakresie wstrzymania i wznowienia dostarczania energii elektrycznej pomiędzy sprzedawcą i ACPRO odbywa się poprzez system, o którym mowa w GUD-K.</w:t>
      </w:r>
    </w:p>
    <w:p w14:paraId="40C097F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Sprzedawca poinformuje URD, że ACPRO może wznowić dostarczanie energii elektrycznej bez odrębnego powiadomienia URD, również pod jego nieobecność.</w:t>
      </w:r>
    </w:p>
    <w:p w14:paraId="37934F53"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VII. Ograniczenia w wykonaniu postanowień GUD-K:</w:t>
      </w:r>
    </w:p>
    <w:p w14:paraId="29570682"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lastRenderedPageBreak/>
        <w:t>1. ACPRO i sprzedawca dopuszczają ograniczenie lub wstrzymanie, w części lub w całości, świadczenia usług dystrybucji będących przedmiotem GUD-K, w przypadkach:</w:t>
      </w:r>
    </w:p>
    <w:p w14:paraId="0AA17D8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działania siły wyższej albo z winy URD lub osoby trzeciej, za które ACPRO i sprzedawca nie ponosi odpowiedzialności;</w:t>
      </w:r>
    </w:p>
    <w:p w14:paraId="70593E6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ograniczenia w dostarczaniu energii elektrycznej w związku z zagrożeniem życia, zdrowia, mienia lub środowiska;</w:t>
      </w:r>
    </w:p>
    <w:p w14:paraId="2ABC665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przerwy w dostarczaniu energii elektrycznej, przez czas i na warunkach określonych zgodnie z przepisami prawa;</w:t>
      </w:r>
    </w:p>
    <w:p w14:paraId="18ADE40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ograniczenia w dostarczaniu mocy i energii elektrycznej wprowadzonymi zgodnie z Ustawą wraz z aktami wykonawczymi wydanymi do tej Ustawy;</w:t>
      </w:r>
    </w:p>
    <w:p w14:paraId="6210C524"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5) wystąpienia zdarzeń upoważniających do ograniczenia lub wstrzymania, w części lub w całości, świadczenia usług dystrybucji przewidzianych w Ustawie i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3867DA8F"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6) zaprzestania, niezależnie od przyczyny, bilansowania handlowego sprzedawcy przez POB</w:t>
      </w:r>
      <w:r>
        <w:rPr>
          <w:rFonts w:asciiTheme="minorHAnsi" w:hAnsiTheme="minorHAnsi" w:cstheme="minorHAnsi"/>
          <w:sz w:val="20"/>
          <w:szCs w:val="20"/>
          <w:vertAlign w:val="subscript"/>
        </w:rPr>
        <w:t>Z</w:t>
      </w:r>
      <w:r>
        <w:rPr>
          <w:rFonts w:asciiTheme="minorHAnsi" w:hAnsiTheme="minorHAnsi" w:cstheme="minorHAnsi"/>
          <w:sz w:val="20"/>
          <w:szCs w:val="20"/>
        </w:rPr>
        <w:t>, w szczególności w przypadku zawieszenia lub zaprzestania działalności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na RB;</w:t>
      </w:r>
    </w:p>
    <w:p w14:paraId="033869AF"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7) nieustanowienia, nieuzupełnienia lub nieodnowienia przez sprzedawcę na rzecz ACPRO zabezpieczenia należytego wykonania Umowy.</w:t>
      </w:r>
    </w:p>
    <w:p w14:paraId="263B07D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Ograniczenie lub wstrzymanie, o których mowa w pkt 1, możliwe jest tylko w takim zakresie, w jakim zaistnienie danej przyczyny uniemożliwia realizację GUD-K. W szczególności zaistnienie przesłanki określonej w pkt 1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7) powyżej może polegać na wstrzymaniu przyjmowania przez ACPRO nowych zgłoszeń dotyczących zawarcia przez sprzedawcę umów kompleksowych.</w:t>
      </w:r>
    </w:p>
    <w:p w14:paraId="41A95FF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3. Świadczenie usług dystrybucji będących przedmiotem GUD-K następuje niezwłocznie po ustaniu przyczyn ograniczenia lub wstrzymania, o których mowa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1.</w:t>
      </w:r>
    </w:p>
    <w:p w14:paraId="19D427F5"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Wstrzymanie dostarczania energii elektrycznej URD będącego prosumentem energii odnawialnej powoduje równocześnie wstrzymanie możliwości dostarczania do sieci dystrybucyjnej ACPRO energii wytworzonej przez tego URD.</w:t>
      </w:r>
    </w:p>
    <w:p w14:paraId="7B0D9A92"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VIII. Rozliczenia finansowe i fakturowanie</w:t>
      </w:r>
    </w:p>
    <w:p w14:paraId="53EFD88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Rozliczenia za świadczone przez ACPRO usługi dystrybucji na rzecz URD, którym sprzedawca świadczy usługę kompleksową na podstawie umowy kompleksowej, dokonywane są na podstawie stawek opłat i zasad ich stosowania określonych w Taryfie ACPRO, z uwzględnieniem udzielonych przez ACPRO bonifikat. W relacjach pomiędzy ACPRO a sprzedawcą rozliczenie usługi dystrybucji dla URD będącego prosumentem, prosumentem zbiorowym, prosumentem wirtualnym, członkiem spółdzielni energetycznej lub członkiem klastra energii odbywają się na zasadach zawartych w Ustawie OZE.</w:t>
      </w:r>
    </w:p>
    <w:p w14:paraId="3353DA2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W przypadku zmiany stawek opłat w trakcie okresu rozliczeniowego danego URD, stawki opłat i rozliczenia powinny być przyjmowane zgodnie z Taryfą ACPRO obowiązującą w danym okresie zużycia energii elektrycznej. W takim przypadku ACPRO udostępnia do rozliczeń dane pomiarowe wyznaczone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32E54C8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3. W celu poprawnego rozliczenia URD, dla których część opłat z tytułu świadczonych usług dystrybucji nie wynika z ilości energii elektrycznej pobranej z sieci ACPRO, sprzedawca jest zobowiązany przekazywać ACPRO niezbędne informacje, w tym otrzymane od URD stosowne oświadczenia </w:t>
      </w:r>
      <w:r>
        <w:rPr>
          <w:rFonts w:asciiTheme="minorHAnsi" w:hAnsiTheme="minorHAnsi" w:cstheme="minorHAnsi"/>
          <w:sz w:val="20"/>
          <w:szCs w:val="20"/>
        </w:rPr>
        <w:lastRenderedPageBreak/>
        <w:t>służące do prawidłowego rozliczenia usług dystrybucji, zgodnie z Taryfą ACPRO i na zasadach określonych przez ACPRO.</w:t>
      </w:r>
    </w:p>
    <w:p w14:paraId="21B5DDFE"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W każdym przypadku za datę zapłaty uznaje się datę wpływu należności na rachunek bankowy Strony.</w:t>
      </w:r>
    </w:p>
    <w:p w14:paraId="591211E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5. W przypadku opóźnień w płatnościach Strony mają prawo naliczyć odsetki określone w przepisach prawa za każdy dzień opóźnienia w płatnościach.</w:t>
      </w:r>
    </w:p>
    <w:p w14:paraId="25464A8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6. W przypadku, gdyby którakolwiek ze Stron przestała być czynnym podatnikiem podatku VAT ma ona obowiązek poinformowania o tym drugą Stronę, pod rygorem odszkodowania.</w:t>
      </w:r>
    </w:p>
    <w:p w14:paraId="14A4DA15"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7. W przypadku opóźnienia w płatnościach w jakiejkolwiek części ponad 14 dni, ACPRO w pierwszej kolejności ma prawo do skorzystania z Zabezpieczenia.</w:t>
      </w:r>
    </w:p>
    <w:p w14:paraId="134F195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8. Opłaty za wznowienie dostarczania energii elektrycznej URD, wstrzymanego na żądanie sprzedawcy ponosi sprzedawca na rzecz ACPRO. W innych przypadkach opłaty za wznowienie dostarczania energii elektrycznej ponosi URD na rzecz ACPRO.</w:t>
      </w:r>
    </w:p>
    <w:p w14:paraId="5C8C03E8"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IX. Zabezpieczenia finansowe:</w:t>
      </w:r>
    </w:p>
    <w:p w14:paraId="027ECB4E"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Sprzedawca ma obowiązek ustanowienia, uzupełniania oraz odnawiania na rzecz ACPRO zabezpieczenia należytego wykonania GUD-K („Zabezpieczenie”) w tym:</w:t>
      </w:r>
    </w:p>
    <w:p w14:paraId="554A11A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Zabezpieczenie ustanawiane jest przez sprzedawcę bez wezwania ACPRO dla każdego PPE (w przypadku grup taryfowych G, C1x,O i R po przekroczeniu obowiązującego limitu PPE, określonego w GUD-K).</w:t>
      </w:r>
    </w:p>
    <w:p w14:paraId="159414DB"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Zabezpieczenie może zostać ustanowione, według wyboru sprzedawcy, w jednej lub kilku z następujących form:</w:t>
      </w:r>
    </w:p>
    <w:p w14:paraId="6CF0D03A"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kaucji pieniężnej, wpłaconej na rachunek bankowy ACPRO,</w:t>
      </w:r>
    </w:p>
    <w:p w14:paraId="6D712386"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nieodwołalnej i bezwarunkowej gwarancji bankowej, wystawionej przez bank (posiadającego siedzibę lub oddział na trenie Europejskiego Obszaru Gospodarczego) o aktualnej ocenie ratingowej, nadanej przez agencję ratingową akceptowaną przez ACPRO, na poziomie równoważnym BBB lub wyższym,</w:t>
      </w:r>
    </w:p>
    <w:p w14:paraId="286CBF98"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c) nieodwołalnej i bezwarunkowej gwarancji ubezpieczeniowej, wystawionej przez ubezpieczyciela (posiadającego siedzibę lub oddział na trenie Europejskiego Obszaru Gospodarczego) o aktualnej ocenie ratingowej, nadanej przez agencję ratingową akceptowaną przez ACPRO, na poziomie równoważnym BBB lub wyższym.</w:t>
      </w:r>
    </w:p>
    <w:p w14:paraId="6EFF040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Wysokość Zabezpieczenia określa się dla każdego PPE jako stawka ryczałtowa dla grupy taryfowej G, C1x, O i R a dla pozostałych grup taryfowych jako iloczyn stawki ryczałtowej i 3 krotność średnio-miesięcznej ilości planowanego poboru energii elektrycznej z okresu ostatniego roku.</w:t>
      </w:r>
    </w:p>
    <w:p w14:paraId="484B851F"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ACPRO ma prawo do skorzystania z Zabezpieczenia ustanowionego przez sprzedawcę na zaspokojenie roszczeń z tytułu wymagalnych należności wynikających z GUD-K.</w:t>
      </w:r>
    </w:p>
    <w:p w14:paraId="143ECFC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5) ACPRO może zwolnić z ustanowienia Zabezpieczenia na pisemny wniosek sprzedawcy, w przypadku, gdy:</w:t>
      </w:r>
    </w:p>
    <w:p w14:paraId="48B6C7A2"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sprzedawca lub podmiot, który posiada bezpośrednio co najmniej 75% udziałów albo akcji sprzedawcy, posiada aktualną ocenę ratingową na poziomie inwestycyjnym, nadaną przez akceptowaną przez ACPRO agencję ratingową - o ile sprzedawca spełnia kryterium terminowości płatności,</w:t>
      </w:r>
    </w:p>
    <w:p w14:paraId="27157BBA"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lastRenderedPageBreak/>
        <w:t>b) sprzedawca jest sprzedawcą z urzędu lub przedsiębiorstwem energetycznym wykonującym obowiązki sprzedawcy z urzędu, na obszarze działania ACPRO. W przypadku, gdy wymaganą powyżej ocenę ratingową posiada podmiot, który posiada bezpośrednio co najmniej 75% udziałów lub akcji sprzedawcy, sprzedawca przedstawi ACPRO gwarancję korporacyjną, w której w sytuacji niewywiązywania się przez sprzedawcę ze swoich zobowiązań finansowych, wynikających z przedmiotu GUD-K, podmiot ten zagwarantuje pokrycie zobowiązań względem ACPRO w pełnej wysokości. Gwarancja korporacyjna powinna być nieodwołalna i bezwarunkowa.</w:t>
      </w:r>
    </w:p>
    <w:p w14:paraId="7E385B4B"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 Postępowanie reklamacyjne i tryb rozstrzygania sporów oraz realizacji obowiązków informacyjnych:</w:t>
      </w:r>
    </w:p>
    <w:p w14:paraId="53134C73"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Postępowanie reklamacyjne związane z trybem realizacji GUD-K:</w:t>
      </w:r>
    </w:p>
    <w:p w14:paraId="2668A98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1) w przypadku powstania sporu przy realizacji postanowień GUD-K, nieobjętych postępowaniem reklamacyjnym zawartym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Strony w pierwszej kolejności podejmą działania zmierzające do polubownego rozwiązania sporu w drodze wzajemnych negocjacji; Strony uznają, że negocjacje zakończyły się bezskutecznie, jeżeli nie uzgodnią sposobu rozwiązania sporu w terminie 30 dni kalendarzowych od dnia jego pisemnego zgłoszenia drugiej Stronie;</w:t>
      </w:r>
    </w:p>
    <w:p w14:paraId="183C5A0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2) do czasu zakończenia negocjacji określonych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1), żadna ze Stron nie skieruje sprawy na drogę postępowania sądowego, chyba że będzie to niezbędne dla zachowania terminu do dochodzenia roszczenia, wynikającego z przepisów prawa;</w:t>
      </w:r>
    </w:p>
    <w:p w14:paraId="5E56FBBC"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zgłoszenie reklamacji, wystąpienie lub istnienie sporu dotyczącego GUD-K albo zgłoszenie wniosku o renegocjacje GUD-K, nie zwalnia Stron z dotrzymania swoich zobowiązań wynikających z GUD-K.</w:t>
      </w:r>
    </w:p>
    <w:p w14:paraId="4A044DC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Zasady udzielania bonifikat:</w:t>
      </w:r>
    </w:p>
    <w:p w14:paraId="222906D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1) ACPRO udziela sprzedawcy, na zasadach oraz w terminach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oraz w Taryfie ACPRO bonifikaty z tytułu:</w:t>
      </w:r>
    </w:p>
    <w:p w14:paraId="1AF83263"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niedotrzymania standardów jakościowych obsługi odbiorców,</w:t>
      </w:r>
    </w:p>
    <w:p w14:paraId="3EB1AFFF"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niedotrzymania parametrów jakościowych energii elektrycznej.</w:t>
      </w:r>
    </w:p>
    <w:p w14:paraId="41B98DAC"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2) W przypadku udzielenia URD przez sprzedawcę bonifikat z tytułu niedotrzymania standardów jakościowych obsługi odbiorców, ACPRO pokrywa koszty udzielonych bonifikat w wysokości określonej na podstawie ilości dni, o którą ACPRO przekroczył wynikający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termin na udzielenie przez ACPRO odpowiedzi sprzedawcy. W przypadku, gdy przekroczenie terminu po stronie ACPRO jest większe niż całkowite przekroczenie terminu udzielenia odpowiedzi przez sprzedawcę, ACPRO pokrywa koszty bonifikat proporcjonalne do przekroczenia terminu odpowiedzi udzielonej URD. Wzajemne rozliczenie dotyczy jedynie przekroczeń terminów realizacji zgłoszeń skierowanych do ACPRO przez sprzedawcę, w przypadku, gdy sprzedawca nie przekroczy terminu 30 dni kalendarzowych na udzielenie bonifikaty URD.</w:t>
      </w:r>
    </w:p>
    <w:p w14:paraId="067CD6A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W przypadku udzielenia URD przez sprzedawcę bonifikat z tytułu niedotrzymania parametrów jakościowych energii elektrycznej, ACPRO pokrywa koszty udzielonych bonifikat w pełnej wysokości pod warunkiem uprzedniego potwierdzenia przez ACPRO niedotrzymania tych parametrów.</w:t>
      </w:r>
    </w:p>
    <w:p w14:paraId="7E429B7A"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XI. Zmiany, renegocjacje oraz wypowiedzenie GUD-K:</w:t>
      </w:r>
    </w:p>
    <w:p w14:paraId="5C5391F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lastRenderedPageBreak/>
        <w:t>1. Zmiany GUD-K mogą być dokonywane, pod rygorem nieważności, wyłącznie na piśmie w formie aneksu do GUD-K, za wyjątkiem zmian jednoznacznie przywołanych w GUD-K, dla których ustalano, że nie wymagają formy aneksu.</w:t>
      </w:r>
    </w:p>
    <w:p w14:paraId="0D140B0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Jeżeli którekolwiek z postanowień GUD-K uznane zostanie za nieważne na mocy prawomocnego wyroku sądu lub ostatecznej decyzji innego uprawnionego do tego organu władzy publicznej, pozostaje to bez wpływu na ważność pozostałych postanowień GUD-K. W takim przypadku Strony niezwłocznie podejmą negocjacje w celu zastąpienia postanowień nieważnych innymi postanowieniami, które będą realizować możliwie zbliżony cel.</w:t>
      </w:r>
    </w:p>
    <w:p w14:paraId="54F6B70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Postanowienia pkt 2 stosuje się również, jeżeli po zawarciu GUD-K wejdą w życie przepisy, na skutek których jakiekolwiek z postanowień GUD-K stanie się nieważne.</w:t>
      </w:r>
    </w:p>
    <w:p w14:paraId="17D91C1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W przypadku zmian w zakresie stanu prawnego lub faktycznego mających związek z postanowieniami GUD-K, Strony zobowiązują się do podjęcia w dobrej wierze jej renegocjacji pod kątem dostosowania GUD-K do nowych okoliczności.</w:t>
      </w:r>
    </w:p>
    <w:p w14:paraId="7F17FBF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5. Jeśli sprzedawca nie zgadza się ze zmianami wprowadzonymi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WDB, wówczas ma prawo wypowiedzenia GUD-K, przy czym oświadczenie o wypowiedzeniu GUD-K powinno zostać złożone w terminie 10 dni kalendarzowych od dnia opublikowania w Biuletynie URE zmian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WDB. Jeżeli oświadczenie o wypowiedzeniu GUD-K zostanie złożone ACPRO najpóźniej na 2 dni robocze przed dniem wejścia w życie zmienionej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WDB, to w takim przypadku wypowiedzenie GUD-K następuje ze skutkiem na dzień poprzedzający wejście w życie zmienionej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WDB. Jeżeli natomiast oświadczenie o wypowiedzeniu GUD-K zostanie złożone ACPRO w terminie późniejszym, ale z zachowaniem powyższego 10-dniowego terminu, to wypowiedzenie GUD-K następuje ze skutkiem w drugim dniu roboczym po dniu złożenia oświadczenia o wypowiedzeniu. W takim przypadku od dnia wejścia w życie zmienionej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WDB do dnia wypowiedzenia GUD-K obowiązują postanowienia nowej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WDB.</w:t>
      </w:r>
    </w:p>
    <w:p w14:paraId="562B245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6. Każda ze Stron ma prawo wypowiedzieć GUD-K z zachowaniem trzymiesięcznego okresu wypowiedzenia, ze skutkiem na koniec miesiąca kalendarzowego. Wypowiedzenie wymaga dla swej skuteczności zachowania formy pisemnej zawiadomienia drugiej Strony. Strony dopuszczają możliwość rozwiązania GUD-K w innym, wzajemnie uzgodnionym terminie.</w:t>
      </w:r>
    </w:p>
    <w:p w14:paraId="501E6BE2"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7. Każda ze Stron ma również prawo rozwiązania GUD-K z zachowaniem jednomiesięcznego okresu wypowiedzenia, w przypadkach:</w:t>
      </w:r>
    </w:p>
    <w:p w14:paraId="3A1D991D"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istotnego zawinionego naruszenia przez drugą Stronę warunków GUD-K, jeśli przyczyny i skutki naruszenia nie zostały usunięte w terminie 14 dni kalendarzowych od daty otrzymania pisemnego zgłoszenia żądania ich usunięcia zawierającego:</w:t>
      </w:r>
    </w:p>
    <w:p w14:paraId="1C87C97A"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stwierdzenie przyczyny uzasadniającej wypowiedzenie GUD-K,</w:t>
      </w:r>
    </w:p>
    <w:p w14:paraId="2048FBEE"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określenie istotnych szczegółów naruszenia,</w:t>
      </w:r>
    </w:p>
    <w:p w14:paraId="2AF58C3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niewypłacalności drugiej Strony lub rozpoczęcia przez właściwy sąd postępowania o wykreśleniu Strony z rejestru wobec przeprowadzenia postępowania likwidacyjnego. Prawo rozwiązania GUD-K, o którym mowa w niniejszym ustępie, nie przysługuje Stronie, która poprzez swoje umyślne działanie spowodowała istotne naruszenie postanowień GUD-K. Za istotne naruszenie warunków GUD-K przez sprzedawcę uważa się w szczególności:</w:t>
      </w:r>
    </w:p>
    <w:p w14:paraId="290FE628"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lastRenderedPageBreak/>
        <w:t>a) ustalenie treści umowy kompleksowej zawieranej z URD z naruszeniem GUD-K (w szczególności WUD lub WUD-P) lub wymogów wynikających z przepisów powszechnie obowiązujących,</w:t>
      </w:r>
    </w:p>
    <w:p w14:paraId="61FD4267"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wystąpienie opóźnienia w regulowaniu wynikających z GUD-K należności ACPRO przekraczających 30 dni kalendarzowych.</w:t>
      </w:r>
    </w:p>
    <w:p w14:paraId="4BE95A42"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8. ACPRO ma prawo, bez ponoszenia odpowiedzialności z tego tytułu, niezależnie od ograniczenia lub wstrzymania świadczenia usług będących przedmiotem GUD-K, do rozwiązania GUD-K ze skutkiem natychmiastowym w przypadku:</w:t>
      </w:r>
    </w:p>
    <w:p w14:paraId="523884F2"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cofnięcia przez Prezesa URE lub upływu okresu obowiązywania koncesji przywołanej w GUD-K, niezbędnej do zawarcia i realizacji GUD-K;</w:t>
      </w:r>
    </w:p>
    <w:p w14:paraId="5D51122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braku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sprzedawcy;</w:t>
      </w:r>
    </w:p>
    <w:p w14:paraId="0A314A24"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nieustanowienia, nieuzupełnienia oraz nieodnowienia przez Sprzedawcę zabezpieczeń finansowych.</w:t>
      </w:r>
    </w:p>
    <w:p w14:paraId="1FF60BD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9. Sprzedawca ma prawo do rozwiązania GUD-K ze skutkiem natychmiastowym w przypadku cofnięcia przez Prezesa URE lub upływu okresu obowiązywania koncesji ACPRO na dystrybucję energii elektrycznej lub utraty przez ACPRO statusu operatora systemu dystrybucyjnego.</w:t>
      </w:r>
    </w:p>
    <w:p w14:paraId="3D31ED62"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10. Oświadczenie Strony o wypowiedzeniu lub rozwiązaniu GUD-K powinno być pod rygorem nieważności złożone drugiej Stronie na piśmie na adres wskazany w Załączniku do GUD-K.</w:t>
      </w:r>
    </w:p>
    <w:p w14:paraId="3F6CA91C"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XII. Zasady sprzedaży rezerwowej:</w:t>
      </w:r>
    </w:p>
    <w:p w14:paraId="46A06F3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Zasady sprzedaży rezerwowej na podstawie rezerwowej umowy kompleksowej oraz warunki współpracy ACPRO i sprzedawcy w tym zakresie, zawarte są w Ustawie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13D754DE"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Sprzedawca rezerwowy:</w:t>
      </w:r>
    </w:p>
    <w:p w14:paraId="46DF91D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przekazuje ACPRO aktualną informację o adresie strony internetowej, na której zostały opublikowane warunki sprzedaży rezerwowej. W przypadku zmiany ww. adresu strony internetowej, sprzedawca przekazuje ACPRO nowy adres strony internetowej, co najmniej 14 dni kalendarzowych przed terminem zmiany tego adresu. Powyższe informacje przekazuje ACPRO w formie elektronicznej na adres poczty elektronicznej wskazany w GUD-K,</w:t>
      </w:r>
    </w:p>
    <w:p w14:paraId="09EB43CC"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2) w razie zaistnienia, określonych w Ustawie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podstaw do rozpoczęcia sprzedaży rezerwowej, otrzymuje od ACPRO informację o zawarciu z mocy prawa rezerwowej umowy kompleksowej oraz o dacie zawarcia tej umowy,</w:t>
      </w:r>
    </w:p>
    <w:p w14:paraId="2194964B"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3) otrzymuje informację, o której mowa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2), wraz z danymi URD określonymi w paszporcie PPE, w formie komunikatu udostępnianego poprzez system, o którym mowa w GUD-K lub w formie e-mail na adres poczty elektronicznej wskazany w GUD-K.</w:t>
      </w:r>
    </w:p>
    <w:p w14:paraId="5C568307"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XIII. Postępowanie w przypadku stwierdzenia nieprawidłowości u URD:</w:t>
      </w:r>
    </w:p>
    <w:p w14:paraId="7DED7DD4"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W przypadku stwierdzenia, w wyniku wykonywania przez ACPRO czynności związanych z dystrybucją energii elektrycznej lub kontroli dotrzymywania przez URD warunków umowy kompleksowej w części dystrybucyjnej, niewykonywania lub nienależytego wykonywania przez URD obowiązków wynikających z zawartej pomiędzy sprzedawcą a tym URD umowy kompleksowej, w szczególności w przypadku stwierdzenia nieprawidłowości o których mowa w pkt 2 poniżej, ACPRO ma prawo wezwać URD do niezwłocznego usunięcia wskazanej nieprawidłowości, określając termin do ich </w:t>
      </w:r>
      <w:r>
        <w:rPr>
          <w:rFonts w:asciiTheme="minorHAnsi" w:hAnsiTheme="minorHAnsi" w:cstheme="minorHAnsi"/>
          <w:sz w:val="20"/>
          <w:szCs w:val="20"/>
        </w:rPr>
        <w:lastRenderedPageBreak/>
        <w:t>usunięcia, nie krótszy niż 7 dni, z zastrzeżeniem, że po jego bezskutecznym upływie umowa kompleksowa zostanie rozwiązana przez sprzedawcę na żądanie ACPRO, zgodnie z pkt 3 poniżej.</w:t>
      </w:r>
    </w:p>
    <w:p w14:paraId="1B01298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ACPRO wezwie URD do zaprzestania niewykonywania lub nienależytego wykonywania obowiązków wynikających z zawartej pomiędzy sprzedawcą a tym URD umowy kompleksowej w części dystrybucyjnej, zgodnie z pkt 1 powyżej, w szczególności w przypadku:</w:t>
      </w:r>
    </w:p>
    <w:p w14:paraId="16A1D42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wprowadzania do sieci ACPRO zakłóceń przekraczających dopuszczalne poziomy, określone zgodnie z obowiązującymi przepisami prawa;</w:t>
      </w:r>
    </w:p>
    <w:p w14:paraId="59551FBB"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utrzymywania przez URD obiektu, własnej sieci, instalacji lub obiektów budowlanych w sposób zagrażający prawidłowemu funkcjonowaniu sieci zasilającej;</w:t>
      </w:r>
    </w:p>
    <w:p w14:paraId="31AF25EC"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uniemożliwienia upoważnionym przedstawicielom ACPRO dostępu, wraz z niezbędnym sprzętem, do elementów sieci i urządzeń, będących własnością ACPRO , znajdujących się na terenie lub w obiekcie URD, w celu usunięcia awarii w sieci;</w:t>
      </w:r>
    </w:p>
    <w:p w14:paraId="274E922C"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pobierania mocy w wysokości przekraczającej wielkość mocy przyłączeniowej;</w:t>
      </w:r>
    </w:p>
    <w:p w14:paraId="0C4A67BF"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5) w przypadku gdy ACPRO stwierdzi, że URD użytkuje źródło wytwórcze przyłączone do instalacji URD bez uprzedniego zgłoszenia/przyłączenia do sieci ACPRO instalacji wytwórczej lub braku uregulowania umownego;</w:t>
      </w:r>
    </w:p>
    <w:p w14:paraId="1D7AC1FC"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6) uniemożliwiania dostępu do urządzeń ACPRO znajdujących się w obiekcie URD, celem przeprowadzenia kontroli, wykonania prac eksploatacyjnych, odczytu wskazań układu pomiarowo -rozliczeniowego;</w:t>
      </w:r>
    </w:p>
    <w:p w14:paraId="0970B1D9"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7) niedostosowania urządzeń do zmienionych parametrów sieci, o których został wcześniej poinformowany;</w:t>
      </w:r>
    </w:p>
    <w:p w14:paraId="4363886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8) nieposiadania aktualnej Instrukcji Współpracy Ruchowej (IWR), jeżeli obowiązek jej uzgodnienia wynika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5C73D41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9) pobierania energii elektrycznej niezgodnie z taryfą ACPRO;</w:t>
      </w:r>
    </w:p>
    <w:p w14:paraId="629B806B"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10) z przyczyn przewidzianych przepisami prawa, w szczególności, jeżeli dalsza realizacja umowy kompleksowej naraziłaby ACPRO na odpowiedzialność wobec osób trzecich.</w:t>
      </w:r>
    </w:p>
    <w:p w14:paraId="029A667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Sprzedawca zobowiązuje się do wypowiedzenia na żądanie ACPRO umowy kompleksowej dla URD w terminie 7 dni od otrzymania przez sprzedawcę od ACPRO informacji o bezskutecznym upływie terminu wyznaczonego zgodnie z pkt 1 powyżej z zachowaniem przewidzianego w umowie kompleksowej okresu wypowiedzenia, przy czym okres wypowiedzenia winien być nie dłuższy niż 30 dni.</w:t>
      </w:r>
    </w:p>
    <w:p w14:paraId="78596B52"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Zobowiązanie do wypowiedzenia umowy kompleksowej w trybie pkt 3 powyżej pozostaje niezależne od uprawnienia ACPRO do wstrzymania dostarczania URD energii, zgodnie z przepisem art. 6b Ustawy.</w:t>
      </w:r>
    </w:p>
    <w:p w14:paraId="19771A4F"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XIV. Postanowienia końcowe:</w:t>
      </w:r>
    </w:p>
    <w:p w14:paraId="09391A4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Prawem właściwym dla GUD-K jest prawo polskie.</w:t>
      </w:r>
    </w:p>
    <w:p w14:paraId="6EB2A807"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Wszelkie spory pomiędzy Stronami wynikające z GUD-K będą rozpoznawane przez sąd zgodnie z właściwością ogólną.</w:t>
      </w:r>
    </w:p>
    <w:p w14:paraId="56E50D4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GUD-K jest sporządzona w języku polskim. Cześć B</w:t>
      </w:r>
    </w:p>
    <w:p w14:paraId="2C3A4211" w14:textId="77777777" w:rsidR="00E954A0" w:rsidRDefault="00E954A0">
      <w:pPr>
        <w:ind w:left="70" w:firstLine="0"/>
        <w:jc w:val="center"/>
        <w:rPr>
          <w:rFonts w:asciiTheme="minorHAnsi" w:hAnsiTheme="minorHAnsi" w:cstheme="minorHAnsi"/>
          <w:sz w:val="20"/>
          <w:szCs w:val="20"/>
        </w:rPr>
      </w:pPr>
    </w:p>
    <w:p w14:paraId="52055CA4" w14:textId="77777777" w:rsidR="00E954A0" w:rsidRDefault="00047FD1">
      <w:pPr>
        <w:jc w:val="center"/>
        <w:rPr>
          <w:rFonts w:asciiTheme="minorHAnsi" w:hAnsiTheme="minorHAnsi" w:cstheme="minorHAnsi"/>
          <w:b/>
          <w:bCs/>
          <w:sz w:val="20"/>
          <w:szCs w:val="20"/>
        </w:rPr>
      </w:pPr>
      <w:r>
        <w:rPr>
          <w:rFonts w:asciiTheme="minorHAnsi" w:hAnsiTheme="minorHAnsi" w:cstheme="minorHAnsi"/>
          <w:b/>
          <w:bCs/>
          <w:sz w:val="20"/>
          <w:szCs w:val="20"/>
        </w:rPr>
        <w:lastRenderedPageBreak/>
        <w:t>Część A (obowiązuje od dnia przystąpienia ACPRO do CSIRE)</w:t>
      </w:r>
    </w:p>
    <w:p w14:paraId="32BFF0F2" w14:textId="77777777" w:rsidR="00E954A0" w:rsidRDefault="00E954A0">
      <w:pPr>
        <w:ind w:left="70" w:firstLine="0"/>
        <w:jc w:val="center"/>
        <w:rPr>
          <w:rFonts w:asciiTheme="minorHAnsi" w:hAnsiTheme="minorHAnsi" w:cstheme="minorHAnsi"/>
          <w:sz w:val="20"/>
          <w:szCs w:val="20"/>
        </w:rPr>
      </w:pPr>
    </w:p>
    <w:p w14:paraId="088B46F0" w14:textId="77777777" w:rsidR="00E954A0" w:rsidRDefault="00047FD1">
      <w:pPr>
        <w:jc w:val="center"/>
        <w:rPr>
          <w:rFonts w:asciiTheme="minorHAnsi" w:hAnsiTheme="minorHAnsi" w:cstheme="minorHAnsi"/>
          <w:b/>
          <w:bCs/>
          <w:sz w:val="20"/>
          <w:szCs w:val="20"/>
        </w:rPr>
      </w:pPr>
      <w:r>
        <w:rPr>
          <w:rFonts w:asciiTheme="minorHAnsi" w:hAnsiTheme="minorHAnsi" w:cstheme="minorHAnsi"/>
          <w:b/>
          <w:bCs/>
          <w:sz w:val="20"/>
          <w:szCs w:val="20"/>
        </w:rPr>
        <w:t>Istotne postanowienia GUD-K</w:t>
      </w:r>
    </w:p>
    <w:p w14:paraId="622D228D" w14:textId="77777777" w:rsidR="00E954A0" w:rsidRDefault="00E954A0">
      <w:pPr>
        <w:ind w:left="70" w:firstLine="0"/>
        <w:jc w:val="center"/>
        <w:rPr>
          <w:rFonts w:asciiTheme="minorHAnsi" w:hAnsiTheme="minorHAnsi" w:cstheme="minorHAnsi"/>
          <w:sz w:val="20"/>
          <w:szCs w:val="20"/>
        </w:rPr>
      </w:pPr>
    </w:p>
    <w:p w14:paraId="7893725B" w14:textId="77777777" w:rsidR="00E954A0" w:rsidRDefault="00047FD1">
      <w:pPr>
        <w:spacing w:line="264" w:lineRule="auto"/>
        <w:ind w:left="357" w:hanging="357"/>
        <w:rPr>
          <w:rFonts w:asciiTheme="minorHAnsi" w:hAnsiTheme="minorHAnsi" w:cstheme="minorHAnsi"/>
          <w:sz w:val="20"/>
          <w:szCs w:val="20"/>
        </w:rPr>
      </w:pPr>
      <w:r>
        <w:rPr>
          <w:rFonts w:asciiTheme="minorHAnsi" w:hAnsiTheme="minorHAnsi" w:cstheme="minorHAnsi"/>
          <w:sz w:val="20"/>
          <w:szCs w:val="20"/>
        </w:rPr>
        <w:t>GUD-K zawiera następujące istotne postanowienia:</w:t>
      </w:r>
    </w:p>
    <w:p w14:paraId="4B9705EB"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I. Postanowienia wstępne:</w:t>
      </w:r>
    </w:p>
    <w:p w14:paraId="7BCAE1C2"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ACPRO i sprzedawca przyjmują, że podstawę do ustalenia i realizacji warunków GUD-K stanowią w szczególności:</w:t>
      </w:r>
    </w:p>
    <w:p w14:paraId="3143C411" w14:textId="77777777" w:rsidR="00E954A0" w:rsidRPr="00974F23" w:rsidRDefault="00047FD1">
      <w:pPr>
        <w:pStyle w:val="Akapitzlist"/>
        <w:spacing w:line="264" w:lineRule="auto"/>
        <w:ind w:left="1701" w:hanging="567"/>
        <w:contextualSpacing w:val="0"/>
        <w:rPr>
          <w:rFonts w:asciiTheme="minorHAnsi" w:hAnsiTheme="minorHAnsi" w:cstheme="minorHAnsi"/>
          <w:sz w:val="20"/>
          <w:szCs w:val="20"/>
          <w:lang w:val="en-US"/>
        </w:rPr>
      </w:pPr>
      <w:r w:rsidRPr="00974F23">
        <w:rPr>
          <w:rFonts w:asciiTheme="minorHAnsi" w:hAnsiTheme="minorHAnsi" w:cstheme="minorHAnsi"/>
          <w:sz w:val="20"/>
          <w:szCs w:val="20"/>
          <w:lang w:val="en-US"/>
        </w:rPr>
        <w:t xml:space="preserve">1) </w:t>
      </w:r>
      <w:proofErr w:type="spellStart"/>
      <w:r w:rsidRPr="00974F23">
        <w:rPr>
          <w:rFonts w:asciiTheme="minorHAnsi" w:hAnsiTheme="minorHAnsi" w:cstheme="minorHAnsi"/>
          <w:sz w:val="20"/>
          <w:szCs w:val="20"/>
          <w:lang w:val="en-US"/>
        </w:rPr>
        <w:t>IRiESD</w:t>
      </w:r>
      <w:proofErr w:type="spellEnd"/>
      <w:r w:rsidRPr="00974F23">
        <w:rPr>
          <w:rFonts w:asciiTheme="minorHAnsi" w:hAnsiTheme="minorHAnsi" w:cstheme="minorHAnsi"/>
          <w:sz w:val="20"/>
          <w:szCs w:val="20"/>
          <w:lang w:val="en-US"/>
        </w:rPr>
        <w:t>,</w:t>
      </w:r>
    </w:p>
    <w:p w14:paraId="0FC58BEE" w14:textId="77777777" w:rsidR="00E954A0" w:rsidRPr="00974F23" w:rsidRDefault="00047FD1">
      <w:pPr>
        <w:pStyle w:val="Akapitzlist"/>
        <w:spacing w:line="264" w:lineRule="auto"/>
        <w:ind w:left="1701" w:hanging="567"/>
        <w:contextualSpacing w:val="0"/>
        <w:rPr>
          <w:rFonts w:asciiTheme="minorHAnsi" w:hAnsiTheme="minorHAnsi" w:cstheme="minorHAnsi"/>
          <w:sz w:val="20"/>
          <w:szCs w:val="20"/>
          <w:lang w:val="en-US"/>
        </w:rPr>
      </w:pPr>
      <w:r w:rsidRPr="00974F23">
        <w:rPr>
          <w:rFonts w:asciiTheme="minorHAnsi" w:hAnsiTheme="minorHAnsi" w:cstheme="minorHAnsi"/>
          <w:sz w:val="20"/>
          <w:szCs w:val="20"/>
          <w:lang w:val="en-US"/>
        </w:rPr>
        <w:t>2) WDB,</w:t>
      </w:r>
    </w:p>
    <w:p w14:paraId="2895F571" w14:textId="77777777" w:rsidR="00E954A0" w:rsidRPr="00974F23" w:rsidRDefault="00047FD1">
      <w:pPr>
        <w:pStyle w:val="Akapitzlist"/>
        <w:spacing w:line="264" w:lineRule="auto"/>
        <w:ind w:left="1701" w:hanging="567"/>
        <w:contextualSpacing w:val="0"/>
        <w:rPr>
          <w:rFonts w:asciiTheme="minorHAnsi" w:hAnsiTheme="minorHAnsi" w:cstheme="minorHAnsi"/>
          <w:sz w:val="20"/>
          <w:szCs w:val="20"/>
          <w:lang w:val="en-US"/>
        </w:rPr>
      </w:pPr>
      <w:r w:rsidRPr="00974F23">
        <w:rPr>
          <w:rFonts w:asciiTheme="minorHAnsi" w:hAnsiTheme="minorHAnsi" w:cstheme="minorHAnsi"/>
          <w:sz w:val="20"/>
          <w:szCs w:val="20"/>
          <w:lang w:val="en-US"/>
        </w:rPr>
        <w:t xml:space="preserve">3) </w:t>
      </w:r>
      <w:proofErr w:type="spellStart"/>
      <w:r w:rsidRPr="00974F23">
        <w:rPr>
          <w:rFonts w:asciiTheme="minorHAnsi" w:hAnsiTheme="minorHAnsi" w:cstheme="minorHAnsi"/>
          <w:sz w:val="20"/>
          <w:szCs w:val="20"/>
          <w:lang w:val="en-US"/>
        </w:rPr>
        <w:t>IRiESP</w:t>
      </w:r>
      <w:proofErr w:type="spellEnd"/>
      <w:r w:rsidRPr="00974F23">
        <w:rPr>
          <w:rFonts w:asciiTheme="minorHAnsi" w:hAnsiTheme="minorHAnsi" w:cstheme="minorHAnsi"/>
          <w:sz w:val="20"/>
          <w:szCs w:val="20"/>
          <w:lang w:val="en-US"/>
        </w:rPr>
        <w:t>-OIRE,</w:t>
      </w:r>
    </w:p>
    <w:p w14:paraId="1BF5AA93" w14:textId="77777777" w:rsidR="00E954A0" w:rsidRPr="00974F23" w:rsidRDefault="00047FD1">
      <w:pPr>
        <w:pStyle w:val="Akapitzlist"/>
        <w:spacing w:line="264" w:lineRule="auto"/>
        <w:ind w:left="1701" w:hanging="567"/>
        <w:contextualSpacing w:val="0"/>
        <w:rPr>
          <w:rFonts w:asciiTheme="minorHAnsi" w:hAnsiTheme="minorHAnsi" w:cstheme="minorHAnsi"/>
          <w:sz w:val="20"/>
          <w:szCs w:val="20"/>
          <w:lang w:val="en-US"/>
        </w:rPr>
      </w:pPr>
      <w:r w:rsidRPr="00974F23">
        <w:rPr>
          <w:rFonts w:asciiTheme="minorHAnsi" w:hAnsiTheme="minorHAnsi" w:cstheme="minorHAnsi"/>
          <w:sz w:val="20"/>
          <w:szCs w:val="20"/>
          <w:lang w:val="en-US"/>
        </w:rPr>
        <w:t xml:space="preserve">4) </w:t>
      </w:r>
      <w:proofErr w:type="spellStart"/>
      <w:r w:rsidRPr="00974F23">
        <w:rPr>
          <w:rFonts w:asciiTheme="minorHAnsi" w:hAnsiTheme="minorHAnsi" w:cstheme="minorHAnsi"/>
          <w:sz w:val="20"/>
          <w:szCs w:val="20"/>
          <w:lang w:val="en-US"/>
        </w:rPr>
        <w:t>Taryfa</w:t>
      </w:r>
      <w:proofErr w:type="spellEnd"/>
      <w:r w:rsidRPr="00974F23">
        <w:rPr>
          <w:rFonts w:asciiTheme="minorHAnsi" w:hAnsiTheme="minorHAnsi" w:cstheme="minorHAnsi"/>
          <w:sz w:val="20"/>
          <w:szCs w:val="20"/>
          <w:lang w:val="en-US"/>
        </w:rPr>
        <w:t xml:space="preserve"> ACPRO,</w:t>
      </w:r>
    </w:p>
    <w:p w14:paraId="3A9D778F" w14:textId="77777777" w:rsidR="00E954A0" w:rsidRDefault="00047FD1">
      <w:pPr>
        <w:spacing w:line="264" w:lineRule="auto"/>
        <w:ind w:left="1134" w:firstLine="0"/>
        <w:rPr>
          <w:rFonts w:asciiTheme="minorHAnsi" w:hAnsiTheme="minorHAnsi" w:cstheme="minorHAnsi"/>
          <w:sz w:val="20"/>
          <w:szCs w:val="20"/>
        </w:rPr>
      </w:pPr>
      <w:r>
        <w:rPr>
          <w:rFonts w:asciiTheme="minorHAnsi" w:hAnsiTheme="minorHAnsi" w:cstheme="minorHAnsi"/>
          <w:sz w:val="20"/>
          <w:szCs w:val="20"/>
        </w:rPr>
        <w:t>a także akty prawa powszechnie obowiązującego.</w:t>
      </w:r>
    </w:p>
    <w:p w14:paraId="46007E9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Zatwierdzona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stanowi część GUD-K. Dokonane po wejściu w życie GUD-K zmiany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 xml:space="preserve">-OIRE lub WDB obowiązują ACPRO i sprzedawcę bez konieczności sporządzania aneksu do GUD-K. W przypadku niezgodności zapisów GUD-K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obowiązują zapisy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Nie wyklucza to prawa do rozwiązania GUD-K, zgodnie z GUD-K. Jednocześnie ACPRO i sprzedawca przyjmują, że ACPRO powiadomi sprzedawcę w formie elektronicznej na dedykowany adres mailowy wskazany w GUD-K, o publicznym dostępie do projektu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jej zmian oraz o możliwości zgłaszania uwag, określając miejsce i termin ich zgłaszania. Powiadomienie to nastąpi nie później niż w terminie 7 dni kalendarzowych od dnia opublikowania projektu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jej zmian. Nie później niż 3 dni robocze po zatwierdzeniu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lub jej zmian ACPRO poinformuje o tym sprzedawcę w formie elektronicznej na dedykowany adres mailowy wskazany w GUD-K.</w:t>
      </w:r>
    </w:p>
    <w:p w14:paraId="1C05584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Warunkiem realizacji zobowiązań ACPRO wobec sprzedawcy wynikających z GUD-K jest jednoczesne obowiązywanie umów:</w:t>
      </w:r>
    </w:p>
    <w:p w14:paraId="1419359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o świadczenie usług przesyłania energii elektrycznej zawartej pomiędzy ACPRO a OSP;</w:t>
      </w:r>
    </w:p>
    <w:p w14:paraId="262A0E3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kompleksowych zawartych pomiędzy sprzedawcą a URD;</w:t>
      </w:r>
    </w:p>
    <w:p w14:paraId="366F3EF3"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o świadczenie usług dystrybucji zawartej pomiędzy ACPRO a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wskazanym przez sprzedawcę – przez wskazanie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rozumie się również oznaczenie samego sprzedawcy jako podmiotu odpowiedzialnego za bilansowanie;</w:t>
      </w:r>
    </w:p>
    <w:p w14:paraId="64CEBF4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o świadczenie usług przesyłania energii elektrycznej zawartej pomiędzy wskazanym przez sprzedawcę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a OSP.</w:t>
      </w:r>
    </w:p>
    <w:p w14:paraId="6A8BE552"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5) o której mowa w art. 11zg Ustawy zawartej pomiędzy ACPRO a OIRE;</w:t>
      </w:r>
    </w:p>
    <w:p w14:paraId="13E96A49"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6) o której mowa w art. 11zg Ustawy zawartej pomiędzy sprzedawcą a OIRE.</w:t>
      </w:r>
    </w:p>
    <w:p w14:paraId="7C9F30C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ACPRO wstrzymuje realizację GUD-K w całości lub w części, jeżeli którakolwiek z umów, o których mowa w pkt 3, nie obowiązuje lub nie jest realizowana, w zakresie w jakim nie będzie możliwa realizacja GUD-K bez obowiązywania lub realizacji danej umowy.</w:t>
      </w:r>
    </w:p>
    <w:p w14:paraId="021F66B1"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lastRenderedPageBreak/>
        <w:t>II. Przedmiot GUD-K:</w:t>
      </w:r>
    </w:p>
    <w:p w14:paraId="09B3357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Na mocy GUD-K ACPRO zobowiązuje się wobec sprzedawcy do świadczenia usług dystrybucji na rzecz URD, którym sprzedawca świadczy usługę kompleksową na podstawie umowy kompleksowej,</w:t>
      </w:r>
    </w:p>
    <w:p w14:paraId="3B180E8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GUD-K wraz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Taryfą ACPRO określa szczegółowe warunki świadczenia przez ACPRO usług dystrybucji oraz zasady współpracy ACPRO i sprzedawcy w tym zakresie, w szczególności:</w:t>
      </w:r>
    </w:p>
    <w:p w14:paraId="24F1FCCB"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zasady i terminy zgłaszania przez sprzedawcę do OIRE umów kompleksowych;</w:t>
      </w:r>
    </w:p>
    <w:p w14:paraId="727BC54B"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zasady obejmowania postanowieniami GUD-K kolejnych URD i zobowiązania ACPRO i sprzedawcy w tym zakresie;</w:t>
      </w:r>
    </w:p>
    <w:p w14:paraId="114CCE6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zasady wyłączania z zakresu GUD-K tych URD, z którymi zawarte umowy kompleksowe wygasły lub zostały rozwiązane;</w:t>
      </w:r>
    </w:p>
    <w:p w14:paraId="4A9603B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wskazanie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oraz zasady i warunki jego zmiany, w tym umocowanie wskazanego przez sprzedawcę POB</w:t>
      </w:r>
      <w:r>
        <w:rPr>
          <w:rFonts w:asciiTheme="minorHAnsi" w:hAnsiTheme="minorHAnsi" w:cstheme="minorHAnsi"/>
          <w:sz w:val="20"/>
          <w:szCs w:val="20"/>
          <w:vertAlign w:val="subscript"/>
        </w:rPr>
        <w:t>Z</w:t>
      </w:r>
      <w:r>
        <w:rPr>
          <w:rFonts w:asciiTheme="minorHAnsi" w:hAnsiTheme="minorHAnsi" w:cstheme="minorHAnsi"/>
          <w:sz w:val="20"/>
          <w:szCs w:val="20"/>
        </w:rPr>
        <w:t>;</w:t>
      </w:r>
    </w:p>
    <w:p w14:paraId="7819E204"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5) zasady i terminy przekazywania informacji dotyczących rozwiązywania umów kompleksowych;</w:t>
      </w:r>
    </w:p>
    <w:p w14:paraId="14009F6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6) zasady wstrzymywania i wznawiania dostarczania energii elektrycznej URD przez ACPRO;</w:t>
      </w:r>
    </w:p>
    <w:p w14:paraId="76F0E8B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7) zakres, zasady i terminy udostępniania danych dotyczących URD, w tym danych pomiarowych oraz innych niezbędnych do dokonania przez sprzedawcę rozliczeń za usługę kompleksową;</w:t>
      </w:r>
    </w:p>
    <w:p w14:paraId="131BD52D"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8) zasady udzielania bonifikat, rozpatrywania reklamacji i wypłaty odszkodowań;</w:t>
      </w:r>
    </w:p>
    <w:p w14:paraId="2DCDD10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9) obowiązki ACPRO i sprzedawcy w zakresie obsługi URD;</w:t>
      </w:r>
    </w:p>
    <w:p w14:paraId="4BD8BD6D"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10) warunki i zasady prowadzenia rozliczeń pomiędzy ACPRO i sprzedawcą;</w:t>
      </w:r>
    </w:p>
    <w:p w14:paraId="54E7EE2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11) osoby upoważnione do kontaktu oraz ich dane teleadresowe;</w:t>
      </w:r>
    </w:p>
    <w:p w14:paraId="60A8ACD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12) zasady zabezpieczenia należytego wykonania GUD-K;</w:t>
      </w:r>
    </w:p>
    <w:p w14:paraId="41FC211B"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13) zasady i warunki sprzedaży rezerwowej.</w:t>
      </w:r>
    </w:p>
    <w:p w14:paraId="008ED098"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III. ACPRO zobowiązuje się w szczególności do:</w:t>
      </w:r>
    </w:p>
    <w:p w14:paraId="01E50B2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przyjmowania od OIRE powiadomień o zawartych umowach kompleksowych;</w:t>
      </w:r>
    </w:p>
    <w:p w14:paraId="4AE95F9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realizacji czynności niezbędnych do dostarczania energii elektrycznej do URD w związku ze zgłoszonymi przez sprzedawcę do OIRE i przyjętymi przez ACPRO do realizacji umowami kompleksowymi;</w:t>
      </w:r>
    </w:p>
    <w:p w14:paraId="7603E37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dostarczania energii elektrycznej z zachowaniem ciągłości i niezawodności dostaw z uwzględnieniem parametrów jakościowych energii elektrycznej i standardów jakościowych obsługi odbiorców określonych w obowiązujących przepisach prawa, do miejsc dostarczania energii elektrycznej określonych w umowach kompleksowych;</w:t>
      </w:r>
    </w:p>
    <w:p w14:paraId="0E3A877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odbierania i dystrybucji energii elektrycznej wytworzonej i wprowadzonej do sieci ACPRO przez URD będącego prosumentem energii odnawialnej na podstawie umów kompleksowych, o których mowa w pkt 2.;</w:t>
      </w:r>
    </w:p>
    <w:p w14:paraId="766C2A2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5. pozyskiwania lub wyznaczania danych pomiarowych, a także informacji rozliczeniowych GUD-K lub informacji o rozliczeniu dodatkowym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oraz Taryfą ACPRO, a także ich udostępniania OIRE poprzez CSIRE zgodnie z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oraz TSKB;</w:t>
      </w:r>
    </w:p>
    <w:p w14:paraId="2E9A54BE"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lastRenderedPageBreak/>
        <w:t xml:space="preserve">6. wstrzymywania i wznawiania dostarczania energii elektrycznej URD na zasadach określonych w Ustawie oraz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71B1BB9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7. rozpatrywania na zasadach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wniosków i reklamacji URD dotyczących świadczonych usług dystrybucji, zgłoszonych przez sprzedawcę w imieniu URD;</w:t>
      </w:r>
    </w:p>
    <w:p w14:paraId="4A765D0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8. niezwłocznego przekazywania sprzedawcy informacji wynikających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mających wpływ na realizację GUD-K i umów kompleksowych z URD, w zakresie świadczonych usług dystrybucji;</w:t>
      </w:r>
    </w:p>
    <w:p w14:paraId="39DBD95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9. udzielania sprzedawcy oraz URD informacji dotyczących świadczonych usług dystrybucji;</w:t>
      </w:r>
    </w:p>
    <w:p w14:paraId="422DCBD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10. wykonywania innych obowiązków określonych w GUD-K, a także wynikających z przepisów obowiązującego prawa,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w:t>
      </w:r>
    </w:p>
    <w:p w14:paraId="71F23D9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11. terminowej zapłaty należności wynikających z GUD-K;</w:t>
      </w:r>
    </w:p>
    <w:p w14:paraId="7531AA0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12. powiadamiania o zmianie Taryfy ACPRO oraz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poprzez udostępnianie ich w swojej siedzibie oraz publikowania na stronie internetowej ACPRO;</w:t>
      </w:r>
    </w:p>
    <w:p w14:paraId="0D560A5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13. przekazania, na dedykowany adres poczty elektronicznej sprzedawcy, zatwierdzonej Taryfy ACPRO, nie później niż w terminie dwóch (2) dni roboczych od jej opublikowania w Biuletynie URE;</w:t>
      </w:r>
    </w:p>
    <w:p w14:paraId="38D7A66A"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14. zachowania tajemnicy przedsiębiorstwa związanej z realizacją GUD-K;</w:t>
      </w:r>
    </w:p>
    <w:p w14:paraId="4417FF2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15. informowania OIRE o przyłączeniu do sieci ACPRO mikroinstalacji URD, w tym informacji o mocy zainstalowanej elektrycznej mikroinstalacji i rodzaju źródła energii.</w:t>
      </w:r>
    </w:p>
    <w:p w14:paraId="67A57D45"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IV. Sprzedawca zobowiązuje się w szczególności do:</w:t>
      </w:r>
    </w:p>
    <w:p w14:paraId="52C3C00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zgłaszania do OIRE informacji o zawartych umowach kompleksowych, zmianie danych wskazanych w zgłoszeniu lub o wygaśnięciu lub rozwiązaniu umów kompleksowych, na zasadach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oraz TSKB; dokonanie zgłoszenia jest równoznaczne z realizacją obowiązku, o którym mowa w pkt 2.;</w:t>
      </w:r>
    </w:p>
    <w:p w14:paraId="3AAB492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uwzględnienia w umowach kompleksowych danych zawartych w charakterystyce PP oraz postanowień dotyczących zasad i warunków świadczenia usług dystrybucji;</w:t>
      </w:r>
    </w:p>
    <w:p w14:paraId="5821366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udzielania, na wniosek ACPRO, informacji o postanowieniach umów kompleksowych, o których mowa w GUD-K, w części dotyczącej świadczenia usług dystrybucji;</w:t>
      </w:r>
    </w:p>
    <w:p w14:paraId="0D2FF45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terminowego regulowania należności wynikających z GUD-K;</w:t>
      </w:r>
    </w:p>
    <w:p w14:paraId="03BD83E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5. ustanowienia, uzupełniania oraz odnawiania zabezpieczenia należytego wykonania GUD-K;</w:t>
      </w:r>
    </w:p>
    <w:p w14:paraId="187AD82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6. przekazywania poprzez CSIRE do ACPRO, na zasadach i w terminach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oraz TSKB, wniosków i reklamacji URD dotyczących świadczonych usług dystrybucji, zgłoszonych przez URD do sprzedawcy;</w:t>
      </w:r>
    </w:p>
    <w:p w14:paraId="3BC39E85"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7. niezwłocznego, nie później niż w terminach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Ustawie, rozpatrywania reklamacji URD i udzielania na nie odpowiedzi URD;</w:t>
      </w:r>
    </w:p>
    <w:p w14:paraId="5AA5374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8. zachowania tajemnicy przedsiębiorstwa związanej z realizacją GUD-K;</w:t>
      </w:r>
    </w:p>
    <w:p w14:paraId="0F47366E"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9. informowania URD o miejscach uzyskania informacji dotyczących postępowań reklamacyjnych, o których mowa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39FFC8F1"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lastRenderedPageBreak/>
        <w:t xml:space="preserve">10. niezwłocznego przekazywania ACPRO informacji wynikających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mających wpływ na realizację GUD-K i świadczonych przez ACPRO usług dystrybucji na podstawie umów kompleksowych zawartych przez sprzedawcę z URD;</w:t>
      </w:r>
    </w:p>
    <w:p w14:paraId="24CC9B1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11. niezwłocznego, nie później niż w terminie 5 dni roboczych od ich otrzymania przez sprzedawcę od URD nie objętego ochroną przed wprowadzanymi ograniczeniami w dostarczaniu i poborze energii elektrycznej (zgodnie z Rozporządzeniem Rady Ministrów z dnia 8 listopada 2021 r. w sprawie szczegółowych zasad i trybu wprowadzania ograniczeń w sprzedaży paliw stałych oraz w dostarczaniu i poborze energii elektrycznej lub ciepła), przekazywania ACPRO informacji o danych kontaktowych URD na potrzeby realizacji ww. rozporządzenia: adresie poczty elektronicznej URD na potrzeby otrzymywania planów wprowadzania ograniczeń w dostarczaniu i poborze energii elektrycznej URD oraz adresie poczty elektronicznej lub numerze telefonu komórkowego URD na potrzeby otrzymywania powiadomień o wprowadzeniu ograniczeń w dostarczaniu i poborze energii elektrycznej – poprzez system, o którym mowa w GUD-K albo w formie elektronicznej na adres poczty elektronicznej wskazany w Załączniku do GUD-K;</w:t>
      </w:r>
    </w:p>
    <w:p w14:paraId="5867B85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12. niezwłocznego dokonania odpowiednich zmian w umowie kompleksowej lub dokonania zgłoszenia nowej umowy kompleksowej, w przypadkach stwierdzenia przez ACPRO, że URD pobiera energię elektryczną na potrzeby inne, niż określone w umowie kompleksowej lub URD korzysta z grupy taryfowej niezgodnie z kwalifikacją określoną w Taryfie ACPRO;</w:t>
      </w:r>
    </w:p>
    <w:p w14:paraId="1E18F2A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13. zamieszczania w treści umowy kompleksowej z URD, w szczególności:</w:t>
      </w:r>
    </w:p>
    <w:p w14:paraId="3E209CFF"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1) zobowiązania URD do przestrzegania zapisów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oraz Taryfy ACPRO,</w:t>
      </w:r>
    </w:p>
    <w:p w14:paraId="0433B74F"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informacji dla URD o gromadzeniu i przetwarzaniu ich danych osobowych przez ACPRO w zakresie określonym w umowie kompleksowej, w tym w związku z wykonywaniem przez ACPRO odczytów układów pomiarowo-rozliczeniowych, a także kontrolą, modernizacją lub demontażem tych układów,</w:t>
      </w:r>
    </w:p>
    <w:p w14:paraId="4F0C0EE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zobowiązania URD do umożliwienia upoważnionym przedstawicielom ACPRO wykonania kontroli oraz umożliwienia uprawnionym przedstawicielom ACPRO dostępu, wraz z niezbędnym sprzętem, do urządzeń oraz układu pomiarowo-rozliczeniowego znajdującego się na terenie lub w obiekcie URD, w celu wykonania prac eksploatacyjnych, usunięcia awarii w sieci dystrybucyjnej ACPRO, odczytu wskazań lub demontażu układu pomiarowo-rozliczeniowego,</w:t>
      </w:r>
    </w:p>
    <w:p w14:paraId="1CA5103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informacji, że rozpoczęcie dostarczania energii elektrycznej następuje z dniem zainstalowania układu pomiarowo-rozliczeniowego lub podania napięcia – dotyczy URD nowo przyłączonych,</w:t>
      </w:r>
    </w:p>
    <w:p w14:paraId="036B9BFF"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5) poinformowania URD, że ACPRO ma prawo do wstrzymania lub ograniczenia dostarczania energii elektrycznej przez ACPRO, w przypadkach określonych w Ustawie i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524C37D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6) postanowień dotyczących sprzedaży rezerwowej określonych w Ustawie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51070168"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 xml:space="preserve">V. Odniesienie do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TSKB oraz Taryfy ACPRO w zakresie zasad udostępniania danych pomiarowych, informacji rozliczeniowych GUD-K lub informacji o rozliczeniu dodatkowym:</w:t>
      </w:r>
    </w:p>
    <w:p w14:paraId="14CDC581"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Udostępnianie sprzedawcy danych pomiarowych, informacji rozliczeniowych GUD-K lub informacji o rozliczeniu dodatkowym odbywa się na zasadach i w terminach określonych w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i TSKB.</w:t>
      </w:r>
    </w:p>
    <w:p w14:paraId="351EADB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Dane, o których mowa w pkt 1., udostępnione są sprzedawcy przez OIRE poprzez CSIRE.</w:t>
      </w:r>
    </w:p>
    <w:p w14:paraId="74FB4D19"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lastRenderedPageBreak/>
        <w:t xml:space="preserve">VI. Zasady wstrzymania i wznowienia dostarczania energii elektrycznej do odbiorców, w tym odniesienie się do zapisów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67C9AF71"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Wstrzymanie oraz wznowienie dostarczania energii elektrycznej odbywa się na zasadach określonych w Ustawie oraz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3F5C6987"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Wymiana informacji w zakresie wstrzymania i wznowienia dostarczania energii elektrycznej pomiędzy sprzedawcą a ACPRO odbywa się poprzez CSIRE.</w:t>
      </w:r>
    </w:p>
    <w:p w14:paraId="574933F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Sprzedawca poinformuje URD, że ACPRO może wznowić dostarczanie energii elektrycznej bez odrębnego powiadomienia URD, również pod jego nieobecność.</w:t>
      </w:r>
    </w:p>
    <w:p w14:paraId="2E5B4EFE"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VII. Ograniczenia w wykonaniu postanowień GUD-K:</w:t>
      </w:r>
    </w:p>
    <w:p w14:paraId="7FF22BF4"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ACPRO i sprzedawca dopuszczają ograniczenie lub wstrzymanie, w części lub w całości, świadczenia usług dystrybucji będących przedmiotem GUD-K, w przypadkach:</w:t>
      </w:r>
    </w:p>
    <w:p w14:paraId="088D2D0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działania siły wyższej albo z winy URD lub osoby trzeciej, za które ACPRO i sprzedawca nie ponosi odpowiedzialności;</w:t>
      </w:r>
    </w:p>
    <w:p w14:paraId="2B040822"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ograniczenia w dostarczaniu energii elektrycznej w związku z zagrożeniem życia, zdrowia, mienia lub środowiska;</w:t>
      </w:r>
    </w:p>
    <w:p w14:paraId="54B8BD7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przerwy w dostarczaniu energii elektrycznej, przez czas i na warunkach określonych zgodnie z przepisami prawa;</w:t>
      </w:r>
    </w:p>
    <w:p w14:paraId="4E4A6D0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ograniczenia w dostarczaniu mocy i energii elektrycznej wprowadzonymi zgodnie z Ustawą wraz z aktami wykonawczymi wydanymi do tej Ustawy;</w:t>
      </w:r>
    </w:p>
    <w:p w14:paraId="18449E3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5) wystąpienia zdarzeń upoważniających do ograniczenia lub wstrzymania, w części lub w całości, świadczenia usług dystrybucji przewidzianych w Ustawie i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1B76C8E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6) zaprzestania, niezależnie od przyczyny, bilansowania handlowego sprzedawcy przez POB</w:t>
      </w:r>
      <w:r>
        <w:rPr>
          <w:rFonts w:asciiTheme="minorHAnsi" w:hAnsiTheme="minorHAnsi" w:cstheme="minorHAnsi"/>
          <w:sz w:val="20"/>
          <w:szCs w:val="20"/>
          <w:vertAlign w:val="subscript"/>
        </w:rPr>
        <w:t>Z</w:t>
      </w:r>
      <w:r>
        <w:rPr>
          <w:rFonts w:asciiTheme="minorHAnsi" w:hAnsiTheme="minorHAnsi" w:cstheme="minorHAnsi"/>
          <w:sz w:val="20"/>
          <w:szCs w:val="20"/>
        </w:rPr>
        <w:t>, w szczególności w przypadku zawieszenia lub zaprzestania działalności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na RB;</w:t>
      </w:r>
    </w:p>
    <w:p w14:paraId="3705F16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7) nieustanowienia, nieuzupełnienia lub nieodnowienia przez sprzedawcę na rzecz ACPRO zabezpieczenia należytego wykonania Umowy.</w:t>
      </w:r>
    </w:p>
    <w:p w14:paraId="7A09D733"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8) niedostępności CSIRE, w tym skutkującym brakiem możliwości przekazywania lub odbierania komunikatu zgodnie z TSKB.</w:t>
      </w:r>
    </w:p>
    <w:p w14:paraId="6691ABD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Ograniczenie lub wstrzymanie, o których mowa w pkt 1., możliwe jest tylko w takim zakresie, w jakim zaistnienie danej przyczyny uniemożliwia realizację GUD-K. W szczególności zaistnienie przesłanki określonej w pkt 1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7) powyżej może polegać na wstrzymaniu przyjmowania przez CSIRE nowych zgłoszeń dotyczących zawarcia przez sprzedawcę umów kompleksowych.</w:t>
      </w:r>
    </w:p>
    <w:p w14:paraId="7D7B7D06"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Świadczenie usług dystrybucji będących przedmiotem GUD-K następuje niezwłocznie po ustaniu przyczyn ograniczenia lub wstrzymania, o których mowa w pkt 1.</w:t>
      </w:r>
    </w:p>
    <w:p w14:paraId="0578486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Wstrzymanie dostarczania energii elektrycznej URD będącego prosumentem energii odnawialnej powoduje równocześnie wstrzymanie możliwości dostarczania do sieci dystrybucyjnej ACPRO energii wytworzonej przez tego URD.</w:t>
      </w:r>
    </w:p>
    <w:p w14:paraId="727EE073"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VIII. Rozliczenia finansowe i fakturowanie</w:t>
      </w:r>
    </w:p>
    <w:p w14:paraId="087582B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1. Rozliczenia za świadczone przez ACPRO usługi dystrybucji na rzecz URD, którym sprzedawca świadczy usługę kompleksową na podstawie umowy kompleksowej, dokonywane są na podstawie stawek </w:t>
      </w:r>
      <w:r>
        <w:rPr>
          <w:rFonts w:asciiTheme="minorHAnsi" w:hAnsiTheme="minorHAnsi" w:cstheme="minorHAnsi"/>
          <w:sz w:val="20"/>
          <w:szCs w:val="20"/>
        </w:rPr>
        <w:lastRenderedPageBreak/>
        <w:t>opłat i zasad ich stosowania określonych w Taryfie ACPRO, z uwzględnieniem udzielonych przez ACPRO bonifikat. W relacjach pomiędzy ACPRO a sprzedawcą rozliczenie usługi dystrybucji dla URD będącego prosumentem, prosumentem zbiorowym, prosumentem wirtualnym, członkiem spółdzielni energetycznej lub członkiem klastra energii odbywają się na zasadach zawartych w Ustawie OZE.</w:t>
      </w:r>
    </w:p>
    <w:p w14:paraId="1F250997"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2. W przypadku zmiany stawek opłat w trakcie okresu rozliczeniowego danego URD, stawki opłat i rozliczenia powinny być przyjmowane zgodnie z Taryfą ACPRO obowiązującą w danym okresie zużycia energii elektrycznej. W takim przypadku ACPRO udostępnia do rozliczeń dane pomiarowe wyznaczone zgodnie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6AEDAE8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W celu poprawnego rozliczenia URD, dla których część opłat z tytułu świadczonych usług dystrybucji nie wynika z ilości energii elektrycznej pobranej z sieci ACPRO, sprzedawca jest zobowiązany przekazywać ACPRO niezbędne informacje, w tym otrzymane od URD stosowne oświadczenia służące do prawidłowego rozliczenia usług dystrybucji, zgodnie z Taryfą ACPRO w formie elektronicznej na adres poczty elektronicznej wskazany w Załączniku do GUD-K.</w:t>
      </w:r>
    </w:p>
    <w:p w14:paraId="3B4D9EF4"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W każdym przypadku za datę zapłaty uznaje się datę wpływu należności na rachunek bankowy Strony.</w:t>
      </w:r>
    </w:p>
    <w:p w14:paraId="2BD7C0BF"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5. W przypadku opóźnień w płatnościach Strony mają prawo naliczyć odsetki określone w przepisach prawa za każdy dzień opóźnienia w płatnościach.</w:t>
      </w:r>
    </w:p>
    <w:p w14:paraId="0F0A2B84"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6. W przypadku, gdyby którakolwiek ze Stron przestała być czynnym podatnikiem podatku VAT ma ona obowiązek poinformowania o tym drugą Stronę, pod rygorem odszkodowania.</w:t>
      </w:r>
    </w:p>
    <w:p w14:paraId="14342F6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7. W przypadku opóźnienia w płatnościach w jakiejkolwiek części ponad 14 dni, ACPRO w pierwszej kolejności ma prawo do skorzystania z Zabezpieczenia.</w:t>
      </w:r>
    </w:p>
    <w:p w14:paraId="310B9B6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8. Opłaty za wznowienie dostarczania energii elektrycznej URD, wstrzymanego na żądanie sprzedawcy ponosi sprzedawca na rzecz ACPRO. W innych przypadkach opłaty za wznowienie dostarczania energii elektrycznej ponosi URD na rzecz ACPRO.</w:t>
      </w:r>
    </w:p>
    <w:p w14:paraId="255654A1"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IX. Zabezpieczenia finansowe:</w:t>
      </w:r>
    </w:p>
    <w:p w14:paraId="7BF96885"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Sprzedawca ma obowiązek ustanowienia, uzupełniania oraz odnawiania na rzecz ACPRO zabezpieczenia należytego wykonania GUD-K („Zabezpieczenie”) w tym:</w:t>
      </w:r>
    </w:p>
    <w:p w14:paraId="2A2BB3D3"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Zabezpieczenie ustanawiane jest przez sprzedawcę bez wezwania ACPRO dla każdego PPE (w przypadku grup taryfowych G, C1x,O i R po przekroczeniu obowiązującego limitu PPE, określonego w GUD-K).</w:t>
      </w:r>
    </w:p>
    <w:p w14:paraId="699E62B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Zabezpieczenie może zostać ustanowione, według wyboru sprzedawcy, w jednej lub kilku z następujących form:</w:t>
      </w:r>
    </w:p>
    <w:p w14:paraId="7C3E081A"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kaucji pieniężnej, wpłaconej na rachunek bankowy ACPRO,</w:t>
      </w:r>
    </w:p>
    <w:p w14:paraId="72C9D6C9"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nieodwołalnej i bezwarunkowej gwarancji bankowej, wystawionej przez bank (posiadającego siedzibę lub oddział na trenie Europejskiego Obszaru Gospodarczego) o aktualnej ocenie ratingowej, nadanej przez agencję ratingową akceptowaną przez ACPRO, na poziomie równoważnym BBB lub wyższym,</w:t>
      </w:r>
    </w:p>
    <w:p w14:paraId="4441DB46"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c) nieodwołalnej i bezwarunkowej gwarancji ubezpieczeniowej, wystawionej przez ubezpieczyciela (posiadającego siedzibę lub oddział na trenie Europejskiego Obszaru Gospodarczego) o aktualnej ocenie ratingowej, nadanej przez agencję ratingową akceptowaną przez ACPRO, na poziomie równoważnym BBB lub wyższym.</w:t>
      </w:r>
    </w:p>
    <w:p w14:paraId="2D85E8D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lastRenderedPageBreak/>
        <w:t>3) Wysokość Zabezpieczenia określa się dla każdego PPE jako stawka ryczałtowa dla grupy taryfowej G, C1x, O i R a dla pozostałych grup taryfowych jako iloczyn stawki ryczałtowej i 3 krotność średnio-miesięcznej ilości planowanego poboru energii elektrycznej z okresu ostatniego roku.</w:t>
      </w:r>
    </w:p>
    <w:p w14:paraId="05417258"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ACPRO ma prawo do skorzystania z Zabezpieczenia ustanowionego przez sprzedawcę na zaspokojenie roszczeń z tytułu wymagalnych należności wynikających z GUD-K.</w:t>
      </w:r>
    </w:p>
    <w:p w14:paraId="3ACC5A55"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5) ACPRO może zwolnić z ustanowienia Zabezpieczenia na pisemny wniosek sprzedawcy, w przypadku, gdy:</w:t>
      </w:r>
    </w:p>
    <w:p w14:paraId="4CB249D7"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sprzedawca lub podmiot, który posiada bezpośrednio co najmniej 75% udziałów albo akcji sprzedawcy, posiada aktualną ocenę ratingową na poziomie inwestycyjnym, nadaną przez akceptowaną przez ACPRO agencję ratingową - o ile sprzedawca spełnia kryterium terminowości płatności,</w:t>
      </w:r>
    </w:p>
    <w:p w14:paraId="6EC7AA93"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sprzedawca jest sprzedawcą z urzędu lub przedsiębiorstwem energetycznym wykonującym obowiązki sprzedawcy z urzędu, na obszarze działania ACPRO. W przypadku, gdy wymaganą powyżej ocenę ratingową posiada podmiot, który posiada bezpośrednio co najmniej 75% udziałów lub akcji sprzedawcy, sprzedawca przedstawi ACPRO gwarancję korporacyjną, w której w sytuacji niewywiązywania się przez sprzedawcę ze swoich zobowiązań finansowych, wynikających z przedmiotu GUD-K, podmiot ten zagwarantuje pokrycie zobowiązań względem ACPRO w pełnej wysokości. Gwarancja korporacyjna powinna być nieodwołalna i bezwarunkowa.</w:t>
      </w:r>
    </w:p>
    <w:p w14:paraId="7CE7B1B3"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c) sprzedawca jest sprzedawcą zobowiązanym na obszarze ACPRO.</w:t>
      </w:r>
    </w:p>
    <w:p w14:paraId="5F991A3C"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 Postępowanie reklamacyjne i tryb rozstrzygania sporów oraz realizacji obowiązków informacyjnych:</w:t>
      </w:r>
    </w:p>
    <w:p w14:paraId="0F90538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Postępowanie reklamacyjne związane z trybem realizacji GUD-K:</w:t>
      </w:r>
    </w:p>
    <w:p w14:paraId="2EE132D1"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1) w przypadku powstania sporu przy realizacji postanowień GUD-K, nieobjętych postępowaniem reklamacyjnym zawartym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Strony w pierwszej kolejności podejmą działania zmierzające do polubownego rozwiązania sporu w drodze wzajemnych negocjacji; Strony uznają, że negocjacje zakończyły się bezskutecznie, jeżeli nie uzgodnią sposobu rozwiązania sporu w terminie 30 dni kalendarzowych od dnia jego pisemnego zgłoszenia drugiej Stronie;</w:t>
      </w:r>
    </w:p>
    <w:p w14:paraId="10674E6D"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2) do czasu zakończenia negocjacji określonych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1), żadna ze Stron nie skieruje sprawy na drogę postępowania sądowego, chyba że będzie to niezbędne dla zachowania terminu do dochodzenia roszczenia, wynikającego z przepisów prawa;</w:t>
      </w:r>
    </w:p>
    <w:p w14:paraId="66385E8C"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zgłoszenie reklamacji, wystąpienie lub istnienie sporu dotyczącego GUD-K albo zgłoszenie wniosku o renegocjacje GUD-K, nie zwalnia Stron z dotrzymania swoich zobowiązań wynikających z GUD-K.</w:t>
      </w:r>
    </w:p>
    <w:p w14:paraId="1B900E7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Zasady udzielania bonifikat:</w:t>
      </w:r>
    </w:p>
    <w:p w14:paraId="0088549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1) ACPRO udziela sprzedawcy, na zasadach oraz w terminach określonych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oraz w Taryfie ACPRO bonifikaty z tytułu:</w:t>
      </w:r>
    </w:p>
    <w:p w14:paraId="0920BD8E"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niedotrzymania standardów jakościowych obsługi odbiorców,</w:t>
      </w:r>
    </w:p>
    <w:p w14:paraId="4814AEA1"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niedotrzymania parametrów jakościowych energii elektrycznej.</w:t>
      </w:r>
    </w:p>
    <w:p w14:paraId="5C7C24C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2) W przypadku udzielenia URD przez sprzedawcę bonifikat z tytułu niedotrzymania standardów jakościowych obsługi odbiorców, ACPRO pokrywa koszty udzielonych bonifikat w wysokości </w:t>
      </w:r>
      <w:r>
        <w:rPr>
          <w:rFonts w:asciiTheme="minorHAnsi" w:hAnsiTheme="minorHAnsi" w:cstheme="minorHAnsi"/>
          <w:sz w:val="20"/>
          <w:szCs w:val="20"/>
        </w:rPr>
        <w:lastRenderedPageBreak/>
        <w:t xml:space="preserve">określonej na podstawie ilości dni, o którą ACPRO przekroczył wynikający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termin na udzielenie przez ACPRO odpowiedzi sprzedawcy. W przypadku, gdy przekroczenie terminu po stronie ACPRO jest większe niż całkowite przekroczenie terminu udzielenia odpowiedzi przez sprzedawcę, ACPRO pokrywa koszty bonifikat proporcjonalne do przekroczenia terminu odpowiedzi udzielonej URD. Wzajemne rozliczenie dotyczy jedynie przekroczeń terminów realizacji zgłoszeń skierowanych do ACPRO przez sprzedawcę, w przypadku, gdy sprzedawca nie przekroczy terminu 30 dni kalendarzowych na udzielenie bonifikaty URD.</w:t>
      </w:r>
    </w:p>
    <w:p w14:paraId="219ABC35"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W przypadku udzielenia URD przez sprzedawcę bonifikat z tytułu niedotrzymania parametrów jakościowych energii elektrycznej, ACPRO pokrywa koszty udzielonych bonifikat w pełnej wysokości pod warunkiem uprzedniego potwierdzenia przez ACPRO niedotrzymania tych parametrów.</w:t>
      </w:r>
    </w:p>
    <w:p w14:paraId="48330AA8"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XI. Zmiany, renegocjacje oraz wypowiedzenie GUD-K:</w:t>
      </w:r>
    </w:p>
    <w:p w14:paraId="692C9AD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Zmiany GUD-K mogą być dokonywane, pod rygorem nieważności, wyłącznie na piśmie w formie aneksu do GUD-K, za wyjątkiem zmian jednoznacznie przywołanych w GUD-K, dla których ustalano, że nie wymagają formy aneksu.</w:t>
      </w:r>
    </w:p>
    <w:p w14:paraId="6F3DBCD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Jeżeli którekolwiek z postanowień GUD-K uznane zostanie za nieważne na mocy prawomocnego wyroku sądu lub ostatecznej decyzji innego uprawnionego do tego organu władzy publicznej, pozostaje to bez wpływu na ważność pozostałych postanowień GUD-K. W takim przypadku Strony niezwłocznie podejmą negocjacje w celu zastąpienia postanowień nieważnych innymi postanowieniami, które będą realizować możliwie zbliżony cel.</w:t>
      </w:r>
    </w:p>
    <w:p w14:paraId="2E836D6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Postanowienia pkt 2 stosuje się również, jeżeli po zawarciu GUD-K wejdą w życie przepisy, na skutek których jakiekolwiek z postanowień GUD-K stanie się nieważne.</w:t>
      </w:r>
    </w:p>
    <w:p w14:paraId="03092A31"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W przypadku zmian w zakresie stanu prawnego lub faktycznego mających związek z postanowieniami GUD-K, Strony zobowiązują się do podjęcia w dobrej wierze jej renegocjacji pod kątem dostosowania GUD-K do nowych okoliczności.</w:t>
      </w:r>
    </w:p>
    <w:p w14:paraId="11A45380"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5. Jeśli sprzedawca nie zgadza się ze zmianami wprowadzonymi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 xml:space="preserve">-OIRE lub WDB, wówczas ma prawo wypowiedzenia GUD-K, przy czym oświadczenie o wypowiedzeniu GUD-K powinno zostać złożone w terminie 10 dni kalendarzowych od dnia opublikowania w Biuletynie URE zmian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 xml:space="preserve">-OIRE lub WDB. Jeżeli oświadczenie o wypowiedzeniu GUD-K zostanie złożone ACPRO najpóźniej na 2 dni robocze przed dniem wejścia w życie zmienionej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 xml:space="preserve">-OIRE lub WDB, to w takim przypadku wypowiedzenie GUD-K następuje ze skutkiem na dzień poprzedzający wejście w życie zmienionej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 xml:space="preserve">-OIRE lub zmienionych WDB. Jeżeli natomiast oświadczenie o wypowiedzeniu GUD-K zostanie złożone ACPRO w terminie późniejszym, ale z zachowaniem powyższego 10-dniowego terminu, to wypowiedzenie GUD-K następuje ze skutkiem w drugim dniu roboczym po dniu złożenia oświadczenia o wypowiedzeniu. W takim przypadku od dnia wejścia w życie zmienionej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 xml:space="preserve">-OIRE lub zmienionych WDB do dnia wypowiedzenia GUD-K obowiązują postanowienia nowej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 lub nowych WDB.</w:t>
      </w:r>
    </w:p>
    <w:p w14:paraId="682403B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6. Każda ze Stron ma prawo wypowiedzieć GUD-K z zachowaniem trzymiesięcznego okresu wypowiedzenia, ze skutkiem na koniec miesiąca kalendarzowego. Wypowiedzenie wymaga dla swej skuteczności zachowania formy pisemnej zawiadomienia drugiej Strony. Strony dopuszczają możliwość rozwiązania GUD-K w innym, wzajemnie uzgodnionym terminie.</w:t>
      </w:r>
    </w:p>
    <w:p w14:paraId="48B0108C"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7. Każda ze Stron ma również prawo rozwiązania GUD-K z zachowaniem jednomiesięcznego okresu wypowiedzenia, w przypadkach:</w:t>
      </w:r>
    </w:p>
    <w:p w14:paraId="2577AF1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lastRenderedPageBreak/>
        <w:t>1) istotnego zawinionego naruszenia przez drugą Stronę warunków GUD-K, jeśli przyczyny i skutki naruszenia nie zostały usunięte w terminie 14 dni kalendarzowych od daty otrzymania pisemnego zgłoszenia żądania ich usunięcia zawierającego:</w:t>
      </w:r>
    </w:p>
    <w:p w14:paraId="7B85C6B8"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stwierdzenie przyczyny uzasadniającej wypowiedzenie GUD-K,</w:t>
      </w:r>
    </w:p>
    <w:p w14:paraId="56258338"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określenie istotnych szczegółów naruszenia,</w:t>
      </w:r>
    </w:p>
    <w:p w14:paraId="7827D74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niewypłacalności drugiej Strony lub rozpoczęcia przez właściwy sąd postępowania o wykreśleniu Strony z rejestru wobec przeprowadzenia postępowania likwidacyjnego. Prawo rozwiązania GUD-K, o którym mowa w niniejszym ustępie, nie przysługuje Stronie, która poprzez swoje umyślne działanie spowodowała istotne naruszenie postanowień GUD-K. Za istotne naruszenie warunków GUD-K przez sprzedawcę uważa się w szczególności:</w:t>
      </w:r>
    </w:p>
    <w:p w14:paraId="2B7ABA20"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a) ustalenie treści umowy kompleksowej zawieranej z URD z naruszeniem GUD-K (w szczególności WUD lub WUD-P) lub wymogów wynikających z przepisów powszechnie obowiązujących,</w:t>
      </w:r>
    </w:p>
    <w:p w14:paraId="1E4336DE" w14:textId="77777777" w:rsidR="00E954A0" w:rsidRDefault="00047FD1">
      <w:pPr>
        <w:pStyle w:val="Akapitzlist"/>
        <w:spacing w:line="264" w:lineRule="auto"/>
        <w:ind w:left="2268" w:hanging="567"/>
        <w:contextualSpacing w:val="0"/>
        <w:rPr>
          <w:rFonts w:asciiTheme="minorHAnsi" w:hAnsiTheme="minorHAnsi" w:cstheme="minorHAnsi"/>
          <w:sz w:val="20"/>
          <w:szCs w:val="20"/>
        </w:rPr>
      </w:pPr>
      <w:r>
        <w:rPr>
          <w:rFonts w:asciiTheme="minorHAnsi" w:hAnsiTheme="minorHAnsi" w:cstheme="minorHAnsi"/>
          <w:sz w:val="20"/>
          <w:szCs w:val="20"/>
        </w:rPr>
        <w:t>b) wystąpienie opóźnienia w regulowaniu wynikających z GUD-K należności ACPRO przekraczających 30 dni kalendarzowych.</w:t>
      </w:r>
    </w:p>
    <w:p w14:paraId="139CA2F1"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8. ACPRO ma prawo, bez ponoszenia odpowiedzialności z tego tytułu, niezależnie od ograniczenia lub wstrzymania świadczenia usług będących przedmiotem GUD-K, do rozwiązania GUD-K ze skutkiem natychmiastowym w przypadku:</w:t>
      </w:r>
    </w:p>
    <w:p w14:paraId="7B23A52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cofnięcia przez Prezesa URE lub upływu okresu obowiązywania koncesji przywołanej w GUD-K, niezbędnej do zawarcia i realizacji GUD-K;</w:t>
      </w:r>
    </w:p>
    <w:p w14:paraId="2184C74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braku POB</w:t>
      </w:r>
      <w:r>
        <w:rPr>
          <w:rFonts w:asciiTheme="minorHAnsi" w:hAnsiTheme="minorHAnsi" w:cstheme="minorHAnsi"/>
          <w:sz w:val="20"/>
          <w:szCs w:val="20"/>
          <w:vertAlign w:val="subscript"/>
        </w:rPr>
        <w:t>Z</w:t>
      </w:r>
      <w:r>
        <w:rPr>
          <w:rFonts w:asciiTheme="minorHAnsi" w:hAnsiTheme="minorHAnsi" w:cstheme="minorHAnsi"/>
          <w:sz w:val="20"/>
          <w:szCs w:val="20"/>
        </w:rPr>
        <w:t xml:space="preserve"> sprzedawcy;</w:t>
      </w:r>
    </w:p>
    <w:p w14:paraId="7DDEBCE5"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nieustanowienia, nieuzupełnienia oraz nieodnowienia przez Sprzedawcę zabezpieczeń finansowych.</w:t>
      </w:r>
    </w:p>
    <w:p w14:paraId="65019AEB"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9. Sprzedawca ma prawo do rozwiązania GUD-K ze skutkiem natychmiastowym w przypadku cofnięcia przez Prezesa URE lub upływu okresu obowiązywania koncesji ACPRO na dystrybucję energii elektrycznej lub utraty przez ACPRO statusu operatora systemu dystrybucyjnego.</w:t>
      </w:r>
    </w:p>
    <w:p w14:paraId="09A121C9"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10. Oświadczenie Strony o wypowiedzeniu lub rozwiązaniu GUD-K powinno być pod rygorem nieważności złożone drugiej Stronie na piśmie na adres wskazany w Załączniku do GUD-K.</w:t>
      </w:r>
    </w:p>
    <w:p w14:paraId="0599CB87"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XII. Zasady sprzedaży rezerwowej:</w:t>
      </w:r>
    </w:p>
    <w:p w14:paraId="7821B3A9" w14:textId="77777777" w:rsidR="00E954A0" w:rsidRDefault="00047FD1">
      <w:pPr>
        <w:spacing w:line="264" w:lineRule="auto"/>
        <w:ind w:left="1134" w:firstLine="0"/>
        <w:rPr>
          <w:rFonts w:asciiTheme="minorHAnsi" w:hAnsiTheme="minorHAnsi" w:cstheme="minorHAnsi"/>
          <w:sz w:val="20"/>
          <w:szCs w:val="20"/>
        </w:rPr>
      </w:pPr>
      <w:r>
        <w:rPr>
          <w:rFonts w:asciiTheme="minorHAnsi" w:hAnsiTheme="minorHAnsi" w:cstheme="minorHAnsi"/>
          <w:sz w:val="20"/>
          <w:szCs w:val="20"/>
        </w:rPr>
        <w:t xml:space="preserve">Zasady sprzedaży rezerwowej na podstawie umowy kompleksowej rezerwowej zawarte są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w:t>
      </w:r>
    </w:p>
    <w:p w14:paraId="3FF64E62"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XIII. Postępowanie w przypadku stwierdzenia nieprawidłowości u URD:</w:t>
      </w:r>
    </w:p>
    <w:p w14:paraId="6729E655"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W przypadku stwierdzenia, w wyniku wykonywania przez ACPRO czynności związanych z dystrybucją energii elektrycznej lub kontroli dotrzymywania przez URD warunków umowy kompleksowej w części dystrybucyjnej, niewykonywania lub nienależytego wykonywania przez URD obowiązków wynikających z zawartej pomiędzy sprzedawcą a tym URD umowy kompleksowej, w szczególności w przypadku stwierdzenia nieprawidłowości o których mowa w pkt 2 poniżej, ACPRO ma prawo wezwać URD do niezwłocznego usunięcia wskazanej nieprawidłowości, określając termin do ich usunięcia, nie krótszy niż 7 dni, z zastrzeżeniem, że po jego bezskutecznym upływie umowa kompleksowa zostanie rozwiązana przez sprzedawcę na żądanie ACPRO, zgodnie z pkt 3 poniżej.</w:t>
      </w:r>
    </w:p>
    <w:p w14:paraId="4D7637D3"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lastRenderedPageBreak/>
        <w:t>2. ACPRO wezwie URD do zaprzestania niewykonywania lub nienależytego wykonywania obowiązków wynikających z zawartej pomiędzy sprzedawcą a tym URD umowy kompleksowej w części dystrybucyjnej, zgodnie z pkt 1 powyżej, w szczególności w przypadku:</w:t>
      </w:r>
    </w:p>
    <w:p w14:paraId="4B48778A"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 wprowadzania do sieci ACPRO zakłóceń przekraczających dopuszczalne poziomy, określone zgodnie z obowiązującymi przepisami prawa;</w:t>
      </w:r>
    </w:p>
    <w:p w14:paraId="361EB37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2) utrzymywania przez URD obiektu, własnej sieci, instalacji lub obiektów budowlanych w sposób zagrażający prawidłowemu funkcjonowaniu sieci zasilającej;</w:t>
      </w:r>
    </w:p>
    <w:p w14:paraId="52D796E6"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3) uniemożliwienia upoważnionym przedstawicielom ACPRO dostępu, wraz z niezbędnym sprzętem, do elementów sieci i urządzeń, będących własnością ACPRO , znajdujących się na terenie lub w obiekcie URD, w celu usunięcia awarii w sieci;</w:t>
      </w:r>
    </w:p>
    <w:p w14:paraId="33C4D803"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4) pobierania mocy w wysokości przekraczającej wielkość mocy przyłączeniowej;</w:t>
      </w:r>
    </w:p>
    <w:p w14:paraId="219FB87E"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5) w przypadku gdy ACPRO stwierdzi, że URD użytkuje źródło wytwórcze przyłączone do instalacji URD bez uprzedniego zgłoszenia/przyłączenia do sieci ACPRO instalacji wytwórczej lub braku uregulowania umownego;</w:t>
      </w:r>
    </w:p>
    <w:p w14:paraId="0775859B"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6) uniemożliwiania dostępu do urządzeń ACPRO znajdujących się w obiekcie URD, celem przeprowadzenia kontroli, wykonania prac eksploatacyjnych, odczytu wskazań układu pomiarowo -rozliczeniowego;</w:t>
      </w:r>
    </w:p>
    <w:p w14:paraId="429337E4"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7) niedostosowania urządzeń do zmienionych parametrów sieci, o których został wcześniej poinformowany;</w:t>
      </w:r>
    </w:p>
    <w:p w14:paraId="24D40297"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8) nieposiadania aktualnej Instrukcji Współpracy Ruchowej (IWR), jeżeli obowiązek jej uzgodnienia wynika z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w:t>
      </w:r>
    </w:p>
    <w:p w14:paraId="74742FBF"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9) pobierania energii elektrycznej niezgodnie z taryfą ACPRO;</w:t>
      </w:r>
    </w:p>
    <w:p w14:paraId="2858AAE0" w14:textId="77777777" w:rsidR="00E954A0" w:rsidRDefault="00047FD1">
      <w:pPr>
        <w:pStyle w:val="Akapitzlist"/>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10) z przyczyn przewidzianych przepisami prawa, w szczególności, jeżeli dalsza realizacja umowy kompleksowej naraziłaby ACPRO na odpowiedzialność wobec osób trzecich.</w:t>
      </w:r>
    </w:p>
    <w:p w14:paraId="6CA009D8"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Sprzedawca zobowiązuje się do wypowiedzenia na żądanie ACPRO umowy kompleksowej dla URD w terminie 7 dni od otrzymania przez sprzedawcę od ACPRO informacji o bezskutecznym upływie terminu wyznaczonego zgodnie z pkt 1 powyżej z zachowaniem przewidzianego w umowie kompleksowej okresu wypowiedzenia, przy czym okres wypowiedzenia winien być nie dłuższy niż 30 dni.</w:t>
      </w:r>
    </w:p>
    <w:p w14:paraId="52A6A5B1"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4. Zobowiązanie do wypowiedzenia umowy kompleksowej w trybie pkt 3 powyżej pozostaje niezależne od uprawnienia ACPRO do wstrzymania dostarczania URD energii, zgodnie z przepisem art. 6b Ustawy.</w:t>
      </w:r>
    </w:p>
    <w:p w14:paraId="5E2F6BD0" w14:textId="77777777" w:rsidR="00E954A0" w:rsidRDefault="00047FD1">
      <w:pPr>
        <w:pStyle w:val="GUDI"/>
        <w:numPr>
          <w:ilvl w:val="0"/>
          <w:numId w:val="0"/>
        </w:numPr>
        <w:spacing w:line="264" w:lineRule="auto"/>
        <w:ind w:left="567" w:hanging="567"/>
        <w:rPr>
          <w:rFonts w:asciiTheme="minorHAnsi" w:hAnsiTheme="minorHAnsi" w:cstheme="minorHAnsi"/>
          <w:sz w:val="20"/>
          <w:szCs w:val="20"/>
        </w:rPr>
      </w:pPr>
      <w:r>
        <w:rPr>
          <w:rFonts w:asciiTheme="minorHAnsi" w:hAnsiTheme="minorHAnsi" w:cstheme="minorHAnsi"/>
          <w:sz w:val="20"/>
          <w:szCs w:val="20"/>
        </w:rPr>
        <w:t>XIV. Postanowienia końcowe:</w:t>
      </w:r>
    </w:p>
    <w:p w14:paraId="5C47F5B5"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1. Prawem właściwym dla GUD-K jest prawo polskie.</w:t>
      </w:r>
    </w:p>
    <w:p w14:paraId="4FAA1737"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2. Wszelkie spory pomiędzy Stronami wynikające z GUD-K będą rozpoznawane przez sąd zgodnie z właściwością ogólną.</w:t>
      </w:r>
    </w:p>
    <w:p w14:paraId="4B49797D" w14:textId="77777777" w:rsidR="00E954A0" w:rsidRDefault="00047FD1">
      <w:pPr>
        <w:pStyle w:val="Gwny2"/>
        <w:numPr>
          <w:ilvl w:val="1"/>
          <w:numId w:val="0"/>
        </w:numPr>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3. GUD-K jest sporządzona w języku polskim. Cześć B</w:t>
      </w:r>
    </w:p>
    <w:p w14:paraId="5CC68873" w14:textId="77777777" w:rsidR="00E954A0" w:rsidRDefault="00E954A0">
      <w:pPr>
        <w:ind w:left="70" w:firstLine="0"/>
        <w:jc w:val="center"/>
        <w:rPr>
          <w:rFonts w:asciiTheme="minorHAnsi" w:hAnsiTheme="minorHAnsi" w:cstheme="minorHAnsi"/>
          <w:sz w:val="20"/>
          <w:szCs w:val="20"/>
        </w:rPr>
      </w:pPr>
    </w:p>
    <w:p w14:paraId="476D8E07" w14:textId="77777777" w:rsidR="00E954A0" w:rsidRDefault="00047FD1">
      <w:pPr>
        <w:jc w:val="center"/>
        <w:rPr>
          <w:rFonts w:asciiTheme="minorHAnsi" w:hAnsiTheme="minorHAnsi" w:cstheme="minorHAnsi"/>
          <w:b/>
          <w:bCs/>
          <w:sz w:val="20"/>
          <w:szCs w:val="20"/>
        </w:rPr>
      </w:pPr>
      <w:r>
        <w:rPr>
          <w:rFonts w:asciiTheme="minorHAnsi" w:hAnsiTheme="minorHAnsi" w:cstheme="minorHAnsi"/>
          <w:b/>
          <w:bCs/>
          <w:sz w:val="20"/>
          <w:szCs w:val="20"/>
        </w:rPr>
        <w:t>Część B</w:t>
      </w:r>
    </w:p>
    <w:p w14:paraId="50EE6BBF" w14:textId="77777777" w:rsidR="00E954A0" w:rsidRDefault="00E954A0">
      <w:pPr>
        <w:ind w:left="70" w:firstLine="0"/>
        <w:jc w:val="center"/>
        <w:rPr>
          <w:rFonts w:asciiTheme="minorHAnsi" w:hAnsiTheme="minorHAnsi" w:cstheme="minorHAnsi"/>
          <w:sz w:val="20"/>
          <w:szCs w:val="20"/>
        </w:rPr>
      </w:pPr>
    </w:p>
    <w:p w14:paraId="1D685EBF" w14:textId="332286C6" w:rsidR="00415801" w:rsidRPr="00EB2E7B" w:rsidRDefault="00415801" w:rsidP="00415801">
      <w:pPr>
        <w:jc w:val="center"/>
        <w:rPr>
          <w:rFonts w:asciiTheme="minorHAnsi" w:hAnsiTheme="minorHAnsi" w:cstheme="minorHAnsi"/>
          <w:b/>
          <w:bCs/>
          <w:sz w:val="20"/>
          <w:szCs w:val="20"/>
        </w:rPr>
      </w:pPr>
      <w:r w:rsidRPr="00EB2E7B">
        <w:rPr>
          <w:rFonts w:asciiTheme="minorHAnsi" w:hAnsiTheme="minorHAnsi" w:cstheme="minorHAnsi"/>
          <w:b/>
          <w:bCs/>
          <w:sz w:val="20"/>
          <w:szCs w:val="20"/>
        </w:rPr>
        <w:t>Istotne postanowienia GUD</w:t>
      </w:r>
    </w:p>
    <w:p w14:paraId="4758314E" w14:textId="5286F3CF" w:rsidR="00415801" w:rsidRPr="00EB2E7B" w:rsidRDefault="00415801" w:rsidP="00415801">
      <w:pPr>
        <w:ind w:left="70" w:firstLine="0"/>
        <w:jc w:val="center"/>
        <w:rPr>
          <w:rFonts w:asciiTheme="minorHAnsi" w:hAnsiTheme="minorHAnsi" w:cstheme="minorHAnsi"/>
          <w:sz w:val="20"/>
          <w:szCs w:val="20"/>
        </w:rPr>
      </w:pPr>
    </w:p>
    <w:p w14:paraId="194D1E97" w14:textId="77777777" w:rsidR="00415801" w:rsidRPr="00EB2E7B" w:rsidRDefault="00415801" w:rsidP="00C650B4">
      <w:pPr>
        <w:spacing w:line="264" w:lineRule="auto"/>
        <w:ind w:left="357" w:hanging="357"/>
        <w:rPr>
          <w:rFonts w:asciiTheme="minorHAnsi" w:hAnsiTheme="minorHAnsi" w:cstheme="minorHAnsi"/>
          <w:sz w:val="20"/>
          <w:szCs w:val="20"/>
        </w:rPr>
      </w:pPr>
      <w:r w:rsidRPr="00EB2E7B">
        <w:rPr>
          <w:rFonts w:asciiTheme="minorHAnsi" w:hAnsiTheme="minorHAnsi" w:cstheme="minorHAnsi"/>
          <w:sz w:val="20"/>
          <w:szCs w:val="20"/>
        </w:rPr>
        <w:t>GUD zawiera następujące istotne postanowienia:</w:t>
      </w:r>
    </w:p>
    <w:p w14:paraId="3E9B40B3" w14:textId="77777777" w:rsidR="00415801" w:rsidRPr="00EB2E7B" w:rsidRDefault="00415801" w:rsidP="00C650B4">
      <w:pPr>
        <w:pStyle w:val="GUDI"/>
        <w:numPr>
          <w:ilvl w:val="0"/>
          <w:numId w:val="466"/>
        </w:numPr>
        <w:spacing w:line="264" w:lineRule="auto"/>
        <w:ind w:left="567" w:hanging="567"/>
        <w:rPr>
          <w:rFonts w:asciiTheme="minorHAnsi" w:hAnsiTheme="minorHAnsi" w:cstheme="minorHAnsi"/>
          <w:sz w:val="20"/>
          <w:szCs w:val="20"/>
        </w:rPr>
      </w:pPr>
      <w:r w:rsidRPr="00EB2E7B">
        <w:rPr>
          <w:rFonts w:asciiTheme="minorHAnsi" w:hAnsiTheme="minorHAnsi" w:cstheme="minorHAnsi"/>
          <w:sz w:val="20"/>
          <w:szCs w:val="20"/>
        </w:rPr>
        <w:t>Postanowienia wstępne</w:t>
      </w:r>
    </w:p>
    <w:p w14:paraId="650DF58E" w14:textId="664BCB53"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ACPRO i </w:t>
      </w:r>
      <w:r w:rsidR="00551F86" w:rsidRPr="00EB2E7B">
        <w:rPr>
          <w:rFonts w:asciiTheme="minorHAnsi" w:hAnsiTheme="minorHAnsi" w:cstheme="minorHAnsi"/>
          <w:sz w:val="20"/>
          <w:szCs w:val="20"/>
        </w:rPr>
        <w:t>S</w:t>
      </w:r>
      <w:r w:rsidRPr="00EB2E7B">
        <w:rPr>
          <w:rFonts w:asciiTheme="minorHAnsi" w:hAnsiTheme="minorHAnsi" w:cstheme="minorHAnsi"/>
          <w:sz w:val="20"/>
          <w:szCs w:val="20"/>
        </w:rPr>
        <w:t>przedawca przyjmują, że podstawę do ustalenia i realizacji warunków GUD stanowią w szczególności:</w:t>
      </w:r>
    </w:p>
    <w:p w14:paraId="63924351" w14:textId="44DE2AE5" w:rsidR="00415801" w:rsidRPr="00EB2E7B" w:rsidRDefault="00415801" w:rsidP="00C650B4">
      <w:pPr>
        <w:pStyle w:val="Akapitzlist"/>
        <w:numPr>
          <w:ilvl w:val="0"/>
          <w:numId w:val="496"/>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IRIESD,</w:t>
      </w:r>
    </w:p>
    <w:p w14:paraId="7D2D687E" w14:textId="7D2BCDC0" w:rsidR="00415801" w:rsidRPr="00EB2E7B" w:rsidRDefault="00415801" w:rsidP="00C650B4">
      <w:pPr>
        <w:pStyle w:val="Akapitzlist"/>
        <w:numPr>
          <w:ilvl w:val="0"/>
          <w:numId w:val="496"/>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WDB,</w:t>
      </w:r>
    </w:p>
    <w:p w14:paraId="1191C7A0" w14:textId="3385CB6E" w:rsidR="00956A27" w:rsidRPr="00EB2E7B" w:rsidRDefault="00956A27" w:rsidP="00C650B4">
      <w:pPr>
        <w:pStyle w:val="Akapitzlist"/>
        <w:numPr>
          <w:ilvl w:val="0"/>
          <w:numId w:val="496"/>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od dnia przystąpienia ACPRO do CSIRE -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 xml:space="preserve"> – OIRE,</w:t>
      </w:r>
    </w:p>
    <w:p w14:paraId="520EA375" w14:textId="7096698E" w:rsidR="00415801" w:rsidRPr="00EB2E7B" w:rsidRDefault="00415801" w:rsidP="00C650B4">
      <w:pPr>
        <w:pStyle w:val="Akapitzlist"/>
        <w:numPr>
          <w:ilvl w:val="0"/>
          <w:numId w:val="496"/>
        </w:numPr>
        <w:spacing w:line="264" w:lineRule="auto"/>
        <w:ind w:left="1701" w:hanging="567"/>
        <w:contextualSpacing w:val="0"/>
        <w:rPr>
          <w:rFonts w:asciiTheme="minorHAnsi" w:hAnsiTheme="minorHAnsi" w:cstheme="minorHAnsi"/>
          <w:sz w:val="20"/>
          <w:szCs w:val="20"/>
        </w:rPr>
      </w:pPr>
      <w:bookmarkStart w:id="826" w:name="_Ref142658304"/>
      <w:r w:rsidRPr="00EB2E7B">
        <w:rPr>
          <w:rFonts w:asciiTheme="minorHAnsi" w:hAnsiTheme="minorHAnsi" w:cstheme="minorHAnsi"/>
          <w:sz w:val="20"/>
          <w:szCs w:val="20"/>
        </w:rPr>
        <w:t>Taryfa ACPRO,</w:t>
      </w:r>
      <w:bookmarkEnd w:id="826"/>
    </w:p>
    <w:p w14:paraId="16A198BF" w14:textId="77777777" w:rsidR="00415801" w:rsidRPr="00EB2E7B" w:rsidRDefault="00415801" w:rsidP="00C650B4">
      <w:pPr>
        <w:spacing w:line="264" w:lineRule="auto"/>
        <w:ind w:left="1134" w:firstLine="0"/>
        <w:rPr>
          <w:rFonts w:asciiTheme="minorHAnsi" w:hAnsiTheme="minorHAnsi" w:cstheme="minorHAnsi"/>
          <w:sz w:val="20"/>
          <w:szCs w:val="20"/>
        </w:rPr>
      </w:pPr>
      <w:r w:rsidRPr="00EB2E7B">
        <w:rPr>
          <w:rFonts w:asciiTheme="minorHAnsi" w:hAnsiTheme="minorHAnsi" w:cstheme="minorHAnsi"/>
          <w:sz w:val="20"/>
          <w:szCs w:val="20"/>
        </w:rPr>
        <w:t>a także akty prawa powszechnie obowiązującego.</w:t>
      </w:r>
    </w:p>
    <w:p w14:paraId="506D97AD" w14:textId="26EC68B2" w:rsidR="00415801" w:rsidRPr="00EB2E7B" w:rsidRDefault="00C93139"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Zatwierdzona </w:t>
      </w:r>
      <w:proofErr w:type="spellStart"/>
      <w:r w:rsidR="00D42AAC" w:rsidRPr="00EB2E7B">
        <w:rPr>
          <w:rFonts w:asciiTheme="minorHAnsi" w:hAnsiTheme="minorHAnsi" w:cstheme="minorHAnsi"/>
          <w:sz w:val="20"/>
          <w:szCs w:val="20"/>
        </w:rPr>
        <w:t>IRiESD</w:t>
      </w:r>
      <w:proofErr w:type="spellEnd"/>
      <w:r w:rsidR="00D42AAC" w:rsidRPr="00EB2E7B">
        <w:rPr>
          <w:rFonts w:asciiTheme="minorHAnsi" w:hAnsiTheme="minorHAnsi" w:cstheme="minorHAnsi"/>
          <w:sz w:val="20"/>
          <w:szCs w:val="20"/>
        </w:rPr>
        <w:t xml:space="preserve"> stanowi część GUD. Dokonane po wejściu w życie GUD zmiany </w:t>
      </w:r>
      <w:proofErr w:type="spellStart"/>
      <w:r w:rsidR="00D42AAC" w:rsidRPr="00EB2E7B">
        <w:rPr>
          <w:rFonts w:asciiTheme="minorHAnsi" w:hAnsiTheme="minorHAnsi" w:cstheme="minorHAnsi"/>
          <w:sz w:val="20"/>
          <w:szCs w:val="20"/>
        </w:rPr>
        <w:t>IRiESD</w:t>
      </w:r>
      <w:proofErr w:type="spellEnd"/>
      <w:r w:rsidR="008E6BE8" w:rsidRPr="00EB2E7B">
        <w:rPr>
          <w:rFonts w:asciiTheme="minorHAnsi" w:hAnsiTheme="minorHAnsi" w:cstheme="minorHAnsi"/>
          <w:sz w:val="20"/>
          <w:szCs w:val="20"/>
        </w:rPr>
        <w:t xml:space="preserve">, </w:t>
      </w:r>
      <w:proofErr w:type="spellStart"/>
      <w:r w:rsidR="008E6BE8" w:rsidRPr="00EB2E7B">
        <w:rPr>
          <w:rFonts w:asciiTheme="minorHAnsi" w:hAnsiTheme="minorHAnsi" w:cstheme="minorHAnsi"/>
          <w:sz w:val="20"/>
          <w:szCs w:val="20"/>
        </w:rPr>
        <w:t>IRiESP</w:t>
      </w:r>
      <w:proofErr w:type="spellEnd"/>
      <w:r w:rsidR="008E6BE8" w:rsidRPr="00EB2E7B">
        <w:rPr>
          <w:rFonts w:asciiTheme="minorHAnsi" w:hAnsiTheme="minorHAnsi" w:cstheme="minorHAnsi"/>
          <w:sz w:val="20"/>
          <w:szCs w:val="20"/>
        </w:rPr>
        <w:t xml:space="preserve"> – OIRE</w:t>
      </w:r>
      <w:r w:rsidR="00D42AAC" w:rsidRPr="00EB2E7B">
        <w:rPr>
          <w:rFonts w:asciiTheme="minorHAnsi" w:hAnsiTheme="minorHAnsi" w:cstheme="minorHAnsi"/>
          <w:sz w:val="20"/>
          <w:szCs w:val="20"/>
        </w:rPr>
        <w:t xml:space="preserve"> lub WDB, obowiązują ACPRO i </w:t>
      </w:r>
      <w:r w:rsidR="005B1144" w:rsidRPr="00EB2E7B">
        <w:rPr>
          <w:rFonts w:asciiTheme="minorHAnsi" w:hAnsiTheme="minorHAnsi" w:cstheme="minorHAnsi"/>
          <w:sz w:val="20"/>
          <w:szCs w:val="20"/>
        </w:rPr>
        <w:t>s</w:t>
      </w:r>
      <w:r w:rsidR="00D42AAC" w:rsidRPr="00EB2E7B">
        <w:rPr>
          <w:rFonts w:asciiTheme="minorHAnsi" w:hAnsiTheme="minorHAnsi" w:cstheme="minorHAnsi"/>
          <w:sz w:val="20"/>
          <w:szCs w:val="20"/>
        </w:rPr>
        <w:t xml:space="preserve">przedawcę bez konieczności sporządzania aneksu do GUD. W przypadku niezgodności zapisów GUD i </w:t>
      </w:r>
      <w:proofErr w:type="spellStart"/>
      <w:r w:rsidR="00D42AAC" w:rsidRPr="00EB2E7B">
        <w:rPr>
          <w:rFonts w:asciiTheme="minorHAnsi" w:hAnsiTheme="minorHAnsi" w:cstheme="minorHAnsi"/>
          <w:sz w:val="20"/>
          <w:szCs w:val="20"/>
        </w:rPr>
        <w:t>IRiESD</w:t>
      </w:r>
      <w:proofErr w:type="spellEnd"/>
      <w:r w:rsidR="00D42AAC" w:rsidRPr="00EB2E7B">
        <w:rPr>
          <w:rFonts w:asciiTheme="minorHAnsi" w:hAnsiTheme="minorHAnsi" w:cstheme="minorHAnsi"/>
          <w:sz w:val="20"/>
          <w:szCs w:val="20"/>
        </w:rPr>
        <w:t xml:space="preserve"> obowiązują zapisy </w:t>
      </w:r>
      <w:proofErr w:type="spellStart"/>
      <w:r w:rsidR="00D42AAC" w:rsidRPr="00EB2E7B">
        <w:rPr>
          <w:rFonts w:asciiTheme="minorHAnsi" w:hAnsiTheme="minorHAnsi" w:cstheme="minorHAnsi"/>
          <w:sz w:val="20"/>
          <w:szCs w:val="20"/>
        </w:rPr>
        <w:t>IRiESD</w:t>
      </w:r>
      <w:proofErr w:type="spellEnd"/>
      <w:r w:rsidR="00D42AAC" w:rsidRPr="00EB2E7B">
        <w:rPr>
          <w:rFonts w:asciiTheme="minorHAnsi" w:hAnsiTheme="minorHAnsi" w:cstheme="minorHAnsi"/>
          <w:sz w:val="20"/>
          <w:szCs w:val="20"/>
        </w:rPr>
        <w:t xml:space="preserve">. Nie wyklucza to prawa do rozwiązania GUD, zgodnie z GUD. Jednocześnie </w:t>
      </w:r>
      <w:r w:rsidR="002F39C0" w:rsidRPr="00EB2E7B">
        <w:rPr>
          <w:rFonts w:asciiTheme="minorHAnsi" w:hAnsiTheme="minorHAnsi" w:cstheme="minorHAnsi"/>
          <w:sz w:val="20"/>
          <w:szCs w:val="20"/>
        </w:rPr>
        <w:t xml:space="preserve">Strony </w:t>
      </w:r>
      <w:r w:rsidR="00D42AAC" w:rsidRPr="00EB2E7B">
        <w:rPr>
          <w:rFonts w:asciiTheme="minorHAnsi" w:hAnsiTheme="minorHAnsi" w:cstheme="minorHAnsi"/>
          <w:sz w:val="20"/>
          <w:szCs w:val="20"/>
        </w:rPr>
        <w:t xml:space="preserve">przyjmują, że ACPRO </w:t>
      </w:r>
      <w:r w:rsidR="003C48F5" w:rsidRPr="00EB2E7B">
        <w:rPr>
          <w:rFonts w:asciiTheme="minorHAnsi" w:hAnsiTheme="minorHAnsi" w:cstheme="minorHAnsi"/>
          <w:sz w:val="20"/>
          <w:szCs w:val="20"/>
        </w:rPr>
        <w:t xml:space="preserve">powiadomi sprzedawcę w formie elektronicznej na dedykowany adres mailowy wskazany w GUD, o publicznym dostępie do projektu </w:t>
      </w:r>
      <w:proofErr w:type="spellStart"/>
      <w:r w:rsidR="003C48F5" w:rsidRPr="00EB2E7B">
        <w:rPr>
          <w:rFonts w:asciiTheme="minorHAnsi" w:hAnsiTheme="minorHAnsi" w:cstheme="minorHAnsi"/>
          <w:sz w:val="20"/>
          <w:szCs w:val="20"/>
        </w:rPr>
        <w:t>IRiESD</w:t>
      </w:r>
      <w:proofErr w:type="spellEnd"/>
      <w:r w:rsidR="003C48F5" w:rsidRPr="00EB2E7B">
        <w:rPr>
          <w:rFonts w:asciiTheme="minorHAnsi" w:hAnsiTheme="minorHAnsi" w:cstheme="minorHAnsi"/>
          <w:sz w:val="20"/>
          <w:szCs w:val="20"/>
        </w:rPr>
        <w:t xml:space="preserve"> lub jej zmian oraz o możliwości zgłaszania uwag, określając miejsce i termin ich zgłaszania. Powiadomienie to nastąpi nie później niż w terminie 7 dni kalendarzowych od dnia opublikowania projektu </w:t>
      </w:r>
      <w:proofErr w:type="spellStart"/>
      <w:r w:rsidR="003C48F5" w:rsidRPr="00EB2E7B">
        <w:rPr>
          <w:rFonts w:asciiTheme="minorHAnsi" w:hAnsiTheme="minorHAnsi" w:cstheme="minorHAnsi"/>
          <w:sz w:val="20"/>
          <w:szCs w:val="20"/>
        </w:rPr>
        <w:t>IRiESD</w:t>
      </w:r>
      <w:proofErr w:type="spellEnd"/>
      <w:r w:rsidR="003C48F5" w:rsidRPr="00EB2E7B">
        <w:rPr>
          <w:rFonts w:asciiTheme="minorHAnsi" w:hAnsiTheme="minorHAnsi" w:cstheme="minorHAnsi"/>
          <w:sz w:val="20"/>
          <w:szCs w:val="20"/>
        </w:rPr>
        <w:t xml:space="preserve"> lub jej zmian. Nie później niż 3 dni robocze po zatwierdzeniu </w:t>
      </w:r>
      <w:proofErr w:type="spellStart"/>
      <w:r w:rsidR="003C48F5" w:rsidRPr="00EB2E7B">
        <w:rPr>
          <w:rFonts w:asciiTheme="minorHAnsi" w:hAnsiTheme="minorHAnsi" w:cstheme="minorHAnsi"/>
          <w:sz w:val="20"/>
          <w:szCs w:val="20"/>
        </w:rPr>
        <w:t>IRiESD</w:t>
      </w:r>
      <w:proofErr w:type="spellEnd"/>
      <w:r w:rsidR="003C48F5" w:rsidRPr="00EB2E7B">
        <w:rPr>
          <w:rFonts w:asciiTheme="minorHAnsi" w:hAnsiTheme="minorHAnsi" w:cstheme="minorHAnsi"/>
          <w:sz w:val="20"/>
          <w:szCs w:val="20"/>
        </w:rPr>
        <w:t xml:space="preserve"> </w:t>
      </w:r>
      <w:r w:rsidR="002202DA" w:rsidRPr="00EB2E7B">
        <w:rPr>
          <w:rFonts w:asciiTheme="minorHAnsi" w:hAnsiTheme="minorHAnsi" w:cstheme="minorHAnsi"/>
          <w:sz w:val="20"/>
          <w:szCs w:val="20"/>
        </w:rPr>
        <w:t>ACPRO</w:t>
      </w:r>
      <w:r w:rsidR="003C48F5" w:rsidRPr="00EB2E7B">
        <w:rPr>
          <w:rFonts w:asciiTheme="minorHAnsi" w:hAnsiTheme="minorHAnsi" w:cstheme="minorHAnsi"/>
          <w:sz w:val="20"/>
          <w:szCs w:val="20"/>
        </w:rPr>
        <w:t xml:space="preserve"> poinformuje o tym </w:t>
      </w:r>
      <w:r w:rsidR="002202DA" w:rsidRPr="00EB2E7B">
        <w:rPr>
          <w:rFonts w:asciiTheme="minorHAnsi" w:hAnsiTheme="minorHAnsi" w:cstheme="minorHAnsi"/>
          <w:sz w:val="20"/>
          <w:szCs w:val="20"/>
        </w:rPr>
        <w:t>S</w:t>
      </w:r>
      <w:r w:rsidR="003C48F5" w:rsidRPr="00EB2E7B">
        <w:rPr>
          <w:rFonts w:asciiTheme="minorHAnsi" w:hAnsiTheme="minorHAnsi" w:cstheme="minorHAnsi"/>
          <w:sz w:val="20"/>
          <w:szCs w:val="20"/>
        </w:rPr>
        <w:t>przedawcę w formie elektronicznej na dedykowany adres mailowy wskazany w GUD</w:t>
      </w:r>
      <w:r w:rsidR="00106145" w:rsidRPr="00EB2E7B">
        <w:rPr>
          <w:rFonts w:asciiTheme="minorHAnsi" w:hAnsiTheme="minorHAnsi" w:cstheme="minorHAnsi"/>
          <w:sz w:val="20"/>
          <w:szCs w:val="20"/>
        </w:rPr>
        <w:t>.</w:t>
      </w:r>
      <w:r w:rsidR="003C48F5" w:rsidRPr="00EB2E7B">
        <w:rPr>
          <w:rFonts w:asciiTheme="minorHAnsi" w:hAnsiTheme="minorHAnsi" w:cstheme="minorHAnsi"/>
          <w:sz w:val="20"/>
          <w:szCs w:val="20"/>
        </w:rPr>
        <w:t xml:space="preserve"> </w:t>
      </w:r>
      <w:r w:rsidR="00106145" w:rsidRPr="00EB2E7B">
        <w:rPr>
          <w:rFonts w:asciiTheme="minorHAnsi" w:hAnsiTheme="minorHAnsi" w:cstheme="minorHAnsi"/>
          <w:sz w:val="20"/>
          <w:szCs w:val="20"/>
        </w:rPr>
        <w:t xml:space="preserve">ACPRO </w:t>
      </w:r>
      <w:r w:rsidR="006153AD" w:rsidRPr="00EB2E7B">
        <w:rPr>
          <w:rFonts w:asciiTheme="minorHAnsi" w:hAnsiTheme="minorHAnsi" w:cstheme="minorHAnsi"/>
          <w:sz w:val="20"/>
          <w:szCs w:val="20"/>
        </w:rPr>
        <w:t>będzie</w:t>
      </w:r>
      <w:r w:rsidR="008E485A" w:rsidRPr="00EB2E7B">
        <w:rPr>
          <w:rFonts w:asciiTheme="minorHAnsi" w:hAnsiTheme="minorHAnsi" w:cstheme="minorHAnsi"/>
          <w:sz w:val="20"/>
          <w:szCs w:val="20"/>
        </w:rPr>
        <w:t xml:space="preserve"> również</w:t>
      </w:r>
      <w:r w:rsidR="006153AD" w:rsidRPr="00EB2E7B">
        <w:rPr>
          <w:rFonts w:asciiTheme="minorHAnsi" w:hAnsiTheme="minorHAnsi" w:cstheme="minorHAnsi"/>
          <w:sz w:val="20"/>
          <w:szCs w:val="20"/>
        </w:rPr>
        <w:t xml:space="preserve"> </w:t>
      </w:r>
      <w:r w:rsidR="00371FF5" w:rsidRPr="00EB2E7B">
        <w:rPr>
          <w:rFonts w:asciiTheme="minorHAnsi" w:hAnsiTheme="minorHAnsi" w:cstheme="minorHAnsi"/>
          <w:sz w:val="20"/>
          <w:szCs w:val="20"/>
        </w:rPr>
        <w:t xml:space="preserve">informował o zmianach </w:t>
      </w:r>
      <w:proofErr w:type="spellStart"/>
      <w:r w:rsidR="00371FF5" w:rsidRPr="00EB2E7B">
        <w:rPr>
          <w:rFonts w:asciiTheme="minorHAnsi" w:hAnsiTheme="minorHAnsi" w:cstheme="minorHAnsi"/>
          <w:sz w:val="20"/>
          <w:szCs w:val="20"/>
        </w:rPr>
        <w:t>IRiESD</w:t>
      </w:r>
      <w:proofErr w:type="spellEnd"/>
      <w:r w:rsidR="00371FF5" w:rsidRPr="00EB2E7B">
        <w:rPr>
          <w:rFonts w:asciiTheme="minorHAnsi" w:hAnsiTheme="minorHAnsi" w:cstheme="minorHAnsi"/>
          <w:sz w:val="20"/>
          <w:szCs w:val="20"/>
        </w:rPr>
        <w:t xml:space="preserve"> poprzez jej niezwłoczne opublikowanie po wprowadzeniu, na swojej stronie </w:t>
      </w:r>
      <w:r w:rsidR="009A269F" w:rsidRPr="00EB2E7B">
        <w:rPr>
          <w:rFonts w:asciiTheme="minorHAnsi" w:hAnsiTheme="minorHAnsi" w:cstheme="minorHAnsi"/>
          <w:sz w:val="20"/>
          <w:szCs w:val="20"/>
        </w:rPr>
        <w:t xml:space="preserve">internetowej, która na dzień zawarcia GUD umieszczona jest pod adresem: </w:t>
      </w:r>
      <w:r w:rsidR="003108FB" w:rsidRPr="00EB2E7B">
        <w:rPr>
          <w:rFonts w:asciiTheme="minorHAnsi" w:hAnsiTheme="minorHAnsi" w:cstheme="minorHAnsi"/>
          <w:sz w:val="20"/>
          <w:szCs w:val="20"/>
        </w:rPr>
        <w:t>http://www.</w:t>
      </w:r>
      <w:r w:rsidR="00574D97">
        <w:rPr>
          <w:rFonts w:asciiTheme="minorHAnsi" w:hAnsiTheme="minorHAnsi" w:cstheme="minorHAnsi"/>
          <w:sz w:val="20"/>
          <w:szCs w:val="20"/>
        </w:rPr>
        <w:t>acpro</w:t>
      </w:r>
      <w:r w:rsidR="003108FB" w:rsidRPr="00EB2E7B">
        <w:rPr>
          <w:rFonts w:asciiTheme="minorHAnsi" w:hAnsiTheme="minorHAnsi" w:cstheme="minorHAnsi"/>
          <w:sz w:val="20"/>
          <w:szCs w:val="20"/>
        </w:rPr>
        <w:t xml:space="preserve">.pl. </w:t>
      </w:r>
    </w:p>
    <w:p w14:paraId="17609BD8" w14:textId="0E50F035"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Warunkiem realizacji zobowiązań ACPRO wobec </w:t>
      </w:r>
      <w:r w:rsidR="00F22491" w:rsidRPr="00EB2E7B">
        <w:rPr>
          <w:rFonts w:asciiTheme="minorHAnsi" w:hAnsiTheme="minorHAnsi" w:cstheme="minorHAnsi"/>
          <w:sz w:val="20"/>
          <w:szCs w:val="20"/>
        </w:rPr>
        <w:t>S</w:t>
      </w:r>
      <w:r w:rsidRPr="00EB2E7B">
        <w:rPr>
          <w:rFonts w:asciiTheme="minorHAnsi" w:hAnsiTheme="minorHAnsi" w:cstheme="minorHAnsi"/>
          <w:sz w:val="20"/>
          <w:szCs w:val="20"/>
        </w:rPr>
        <w:t xml:space="preserve">przedawcy wynikających z GUD jest </w:t>
      </w:r>
      <w:r w:rsidR="00656A18" w:rsidRPr="00EB2E7B">
        <w:rPr>
          <w:rFonts w:asciiTheme="minorHAnsi" w:hAnsiTheme="minorHAnsi" w:cstheme="minorHAnsi"/>
          <w:sz w:val="20"/>
          <w:szCs w:val="20"/>
        </w:rPr>
        <w:t xml:space="preserve">posiadanie koncesji na dystrybucję </w:t>
      </w:r>
      <w:r w:rsidR="0043598B" w:rsidRPr="00EB2E7B">
        <w:rPr>
          <w:rFonts w:asciiTheme="minorHAnsi" w:hAnsiTheme="minorHAnsi" w:cstheme="minorHAnsi"/>
          <w:sz w:val="20"/>
          <w:szCs w:val="20"/>
        </w:rPr>
        <w:t xml:space="preserve">energii elektrycznej przez ACPRO i koncesji na obrót energią elektryczną przez </w:t>
      </w:r>
      <w:r w:rsidR="008D200A" w:rsidRPr="00EB2E7B">
        <w:rPr>
          <w:rFonts w:asciiTheme="minorHAnsi" w:hAnsiTheme="minorHAnsi" w:cstheme="minorHAnsi"/>
          <w:sz w:val="20"/>
          <w:szCs w:val="20"/>
        </w:rPr>
        <w:t>S</w:t>
      </w:r>
      <w:r w:rsidR="0043598B" w:rsidRPr="00EB2E7B">
        <w:rPr>
          <w:rFonts w:asciiTheme="minorHAnsi" w:hAnsiTheme="minorHAnsi" w:cstheme="minorHAnsi"/>
          <w:sz w:val="20"/>
          <w:szCs w:val="20"/>
        </w:rPr>
        <w:t xml:space="preserve">przedawcę oraz </w:t>
      </w:r>
      <w:r w:rsidRPr="00EB2E7B">
        <w:rPr>
          <w:rFonts w:asciiTheme="minorHAnsi" w:hAnsiTheme="minorHAnsi" w:cstheme="minorHAnsi"/>
          <w:sz w:val="20"/>
          <w:szCs w:val="20"/>
        </w:rPr>
        <w:t>jednoczesne obowiązywanie umów:</w:t>
      </w:r>
    </w:p>
    <w:p w14:paraId="0E037A45" w14:textId="789EB163" w:rsidR="00C47CF5" w:rsidRPr="00EB2E7B" w:rsidRDefault="00C47CF5" w:rsidP="00C650B4">
      <w:pPr>
        <w:pStyle w:val="Akapitzlist"/>
        <w:numPr>
          <w:ilvl w:val="0"/>
          <w:numId w:val="490"/>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 świadczenie usług przesyłania energii elektrycznej zawartej pomiędzy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 xml:space="preserve"> a OSP;</w:t>
      </w:r>
    </w:p>
    <w:p w14:paraId="704778B2" w14:textId="01B4BEAC" w:rsidR="00415801" w:rsidRPr="00EB2E7B" w:rsidRDefault="00415801" w:rsidP="00C650B4">
      <w:pPr>
        <w:pStyle w:val="Akapitzlist"/>
        <w:numPr>
          <w:ilvl w:val="0"/>
          <w:numId w:val="490"/>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 świadczenie usług dystrybucji energii elektrycznej zawartej pomiędzy ACPRO a </w:t>
      </w:r>
      <w:proofErr w:type="spellStart"/>
      <w:r w:rsidRPr="00EB2E7B">
        <w:rPr>
          <w:rFonts w:asciiTheme="minorHAnsi" w:hAnsiTheme="minorHAnsi" w:cstheme="minorHAnsi"/>
          <w:sz w:val="20"/>
          <w:szCs w:val="20"/>
        </w:rPr>
        <w:t>OSDp</w:t>
      </w:r>
      <w:proofErr w:type="spellEnd"/>
      <w:r w:rsidRPr="00EB2E7B">
        <w:rPr>
          <w:rFonts w:asciiTheme="minorHAnsi" w:hAnsiTheme="minorHAnsi" w:cstheme="minorHAnsi"/>
          <w:sz w:val="20"/>
          <w:szCs w:val="20"/>
        </w:rPr>
        <w:t>;</w:t>
      </w:r>
    </w:p>
    <w:p w14:paraId="00EE2C98" w14:textId="1F8F1824" w:rsidR="00415801" w:rsidRPr="00EB2E7B" w:rsidRDefault="00415801" w:rsidP="00C650B4">
      <w:pPr>
        <w:pStyle w:val="Akapitzlist"/>
        <w:numPr>
          <w:ilvl w:val="0"/>
          <w:numId w:val="490"/>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 świadczenie usług dystrybucji zawartych pomiędzy ACPRO a URD;</w:t>
      </w:r>
    </w:p>
    <w:p w14:paraId="15736A27" w14:textId="60A84886" w:rsidR="002C0B9F" w:rsidRPr="00EB2E7B" w:rsidRDefault="00415801" w:rsidP="00C650B4">
      <w:pPr>
        <w:pStyle w:val="Akapitzlist"/>
        <w:numPr>
          <w:ilvl w:val="0"/>
          <w:numId w:val="490"/>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 świadczenie odpowiednio usług przesyłania i dystrybucji energii elektrycznej zawartej pomiędzy wskazanym przez sprzedawcę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a OSP i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a ACPRO</w:t>
      </w:r>
      <w:r w:rsidR="009E7E06" w:rsidRPr="00EB2E7B">
        <w:rPr>
          <w:rFonts w:asciiTheme="minorHAnsi" w:hAnsiTheme="minorHAnsi" w:cstheme="minorHAnsi"/>
          <w:sz w:val="20"/>
          <w:szCs w:val="20"/>
        </w:rPr>
        <w:t xml:space="preserve"> lub umów zawartych </w:t>
      </w:r>
      <w:r w:rsidR="00E24643" w:rsidRPr="00EB2E7B">
        <w:rPr>
          <w:rFonts w:asciiTheme="minorHAnsi" w:hAnsiTheme="minorHAnsi" w:cstheme="minorHAnsi"/>
          <w:sz w:val="20"/>
          <w:szCs w:val="20"/>
        </w:rPr>
        <w:t xml:space="preserve">odpowiednio przez </w:t>
      </w:r>
      <w:r w:rsidR="005B1144" w:rsidRPr="00EB2E7B">
        <w:rPr>
          <w:rFonts w:asciiTheme="minorHAnsi" w:hAnsiTheme="minorHAnsi" w:cstheme="minorHAnsi"/>
          <w:sz w:val="20"/>
          <w:szCs w:val="20"/>
        </w:rPr>
        <w:t>s</w:t>
      </w:r>
      <w:r w:rsidR="00E24643" w:rsidRPr="00EB2E7B">
        <w:rPr>
          <w:rFonts w:asciiTheme="minorHAnsi" w:hAnsiTheme="minorHAnsi" w:cstheme="minorHAnsi"/>
          <w:sz w:val="20"/>
          <w:szCs w:val="20"/>
        </w:rPr>
        <w:t>przedawcę jeżeli on pełni samodzielnie funkcję POB</w:t>
      </w:r>
      <w:r w:rsidR="003C57AF" w:rsidRPr="00EB2E7B">
        <w:rPr>
          <w:rFonts w:asciiTheme="minorHAnsi" w:hAnsiTheme="minorHAnsi" w:cstheme="minorHAnsi"/>
          <w:sz w:val="20"/>
          <w:szCs w:val="20"/>
          <w:vertAlign w:val="subscript"/>
        </w:rPr>
        <w:t>Z</w:t>
      </w:r>
      <w:r w:rsidR="00E24643" w:rsidRPr="00EB2E7B">
        <w:rPr>
          <w:rFonts w:asciiTheme="minorHAnsi" w:hAnsiTheme="minorHAnsi" w:cstheme="minorHAnsi"/>
          <w:sz w:val="20"/>
          <w:szCs w:val="20"/>
        </w:rPr>
        <w:t>.</w:t>
      </w:r>
    </w:p>
    <w:p w14:paraId="132A9B80" w14:textId="77777777" w:rsidR="00DA30D4" w:rsidRPr="00EB2E7B" w:rsidRDefault="0044378B" w:rsidP="00C650B4">
      <w:pPr>
        <w:pStyle w:val="Akapitzlist"/>
        <w:numPr>
          <w:ilvl w:val="0"/>
          <w:numId w:val="490"/>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od dnia przystąpienia ACPRO do CSIRE, </w:t>
      </w:r>
      <w:r w:rsidR="00DA30D4" w:rsidRPr="00EB2E7B">
        <w:rPr>
          <w:rFonts w:asciiTheme="minorHAnsi" w:hAnsiTheme="minorHAnsi" w:cstheme="minorHAnsi"/>
          <w:sz w:val="20"/>
          <w:szCs w:val="20"/>
        </w:rPr>
        <w:t>umowy</w:t>
      </w:r>
      <w:r w:rsidRPr="00EB2E7B">
        <w:rPr>
          <w:rFonts w:asciiTheme="minorHAnsi" w:hAnsiTheme="minorHAnsi" w:cstheme="minorHAnsi"/>
          <w:sz w:val="20"/>
          <w:szCs w:val="20"/>
        </w:rPr>
        <w:t xml:space="preserve">, </w:t>
      </w:r>
      <w:r w:rsidR="003B7C69" w:rsidRPr="00EB2E7B">
        <w:rPr>
          <w:rFonts w:asciiTheme="minorHAnsi" w:hAnsiTheme="minorHAnsi" w:cstheme="minorHAnsi"/>
          <w:sz w:val="20"/>
          <w:szCs w:val="20"/>
        </w:rPr>
        <w:t>o której mowa w art. 11zg Ustawy zawartej pomiędzy ACPRO a OIRE</w:t>
      </w:r>
      <w:r w:rsidR="00DA30D4" w:rsidRPr="00EB2E7B">
        <w:rPr>
          <w:rFonts w:asciiTheme="minorHAnsi" w:hAnsiTheme="minorHAnsi" w:cstheme="minorHAnsi"/>
          <w:sz w:val="20"/>
          <w:szCs w:val="20"/>
        </w:rPr>
        <w:t>,</w:t>
      </w:r>
    </w:p>
    <w:p w14:paraId="4C31744C" w14:textId="4B05E2B6" w:rsidR="00415801" w:rsidRPr="00EB2E7B" w:rsidRDefault="00E74596" w:rsidP="00C650B4">
      <w:pPr>
        <w:pStyle w:val="Akapitzlist"/>
        <w:numPr>
          <w:ilvl w:val="0"/>
          <w:numId w:val="490"/>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od dnia przystąpienia ACPRO do CSIRE, umowy, o której mowa w art. 11zg Ustawy zawartej pomiędzy sprzedawcą a OIRE</w:t>
      </w:r>
      <w:r w:rsidR="00E24643" w:rsidRPr="00EB2E7B">
        <w:rPr>
          <w:rFonts w:asciiTheme="minorHAnsi" w:hAnsiTheme="minorHAnsi" w:cstheme="minorHAnsi"/>
          <w:sz w:val="20"/>
          <w:szCs w:val="20"/>
        </w:rPr>
        <w:t xml:space="preserve"> </w:t>
      </w:r>
    </w:p>
    <w:p w14:paraId="59EC52D2" w14:textId="37B5C44F" w:rsidR="008C23F3"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lastRenderedPageBreak/>
        <w:t>ACPRO wstrzymuje realizację GUD w całości lub w części, jeżeli którakolwiek z umów, o</w:t>
      </w:r>
      <w:r w:rsidR="008C23F3" w:rsidRPr="00EB2E7B">
        <w:rPr>
          <w:rFonts w:asciiTheme="minorHAnsi" w:hAnsiTheme="minorHAnsi" w:cstheme="minorHAnsi"/>
          <w:sz w:val="20"/>
          <w:szCs w:val="20"/>
        </w:rPr>
        <w:t> </w:t>
      </w:r>
      <w:r w:rsidRPr="00EB2E7B">
        <w:rPr>
          <w:rFonts w:asciiTheme="minorHAnsi" w:hAnsiTheme="minorHAnsi" w:cstheme="minorHAnsi"/>
          <w:sz w:val="20"/>
          <w:szCs w:val="20"/>
        </w:rPr>
        <w:t xml:space="preserve">których mowa w </w:t>
      </w:r>
      <w:r w:rsidR="00523DD5" w:rsidRPr="00EB2E7B">
        <w:rPr>
          <w:rFonts w:asciiTheme="minorHAnsi" w:hAnsiTheme="minorHAnsi" w:cstheme="minorHAnsi"/>
          <w:sz w:val="20"/>
          <w:szCs w:val="20"/>
        </w:rPr>
        <w:t>pk</w:t>
      </w:r>
      <w:r w:rsidR="00A61836" w:rsidRPr="00EB2E7B">
        <w:rPr>
          <w:rFonts w:asciiTheme="minorHAnsi" w:hAnsiTheme="minorHAnsi" w:cstheme="minorHAnsi"/>
          <w:sz w:val="20"/>
          <w:szCs w:val="20"/>
        </w:rPr>
        <w:t>t</w:t>
      </w:r>
      <w:r w:rsidRPr="00EB2E7B">
        <w:rPr>
          <w:rFonts w:asciiTheme="minorHAnsi" w:hAnsiTheme="minorHAnsi" w:cstheme="minorHAnsi"/>
          <w:sz w:val="20"/>
          <w:szCs w:val="20"/>
        </w:rPr>
        <w:t>.</w:t>
      </w:r>
      <w:r w:rsidR="00584C47" w:rsidRPr="00EB2E7B">
        <w:rPr>
          <w:rFonts w:asciiTheme="minorHAnsi" w:hAnsiTheme="minorHAnsi" w:cstheme="minorHAnsi"/>
          <w:sz w:val="20"/>
          <w:szCs w:val="20"/>
        </w:rPr>
        <w:t xml:space="preserve"> 3</w:t>
      </w:r>
      <w:r w:rsidRPr="00EB2E7B">
        <w:rPr>
          <w:rFonts w:asciiTheme="minorHAnsi" w:hAnsiTheme="minorHAnsi" w:cstheme="minorHAnsi"/>
          <w:sz w:val="20"/>
          <w:szCs w:val="20"/>
        </w:rPr>
        <w:t>, nie obowiązuje lub nie jest realizowana, w zakresie w jakim nie będzie możliwa realizacja GUD bez obowiązywania lub realizacji danej umowy.</w:t>
      </w:r>
    </w:p>
    <w:p w14:paraId="6D4CF798" w14:textId="77777777" w:rsidR="00415801" w:rsidRPr="00EB2E7B" w:rsidRDefault="00415801" w:rsidP="00C650B4">
      <w:pPr>
        <w:pStyle w:val="GUDI"/>
        <w:spacing w:line="264" w:lineRule="auto"/>
        <w:ind w:left="567" w:hanging="567"/>
        <w:rPr>
          <w:rFonts w:asciiTheme="minorHAnsi" w:hAnsiTheme="minorHAnsi" w:cstheme="minorHAnsi"/>
          <w:sz w:val="20"/>
          <w:szCs w:val="20"/>
        </w:rPr>
      </w:pPr>
      <w:r w:rsidRPr="00EB2E7B">
        <w:rPr>
          <w:rFonts w:asciiTheme="minorHAnsi" w:hAnsiTheme="minorHAnsi" w:cstheme="minorHAnsi"/>
          <w:sz w:val="20"/>
          <w:szCs w:val="20"/>
        </w:rPr>
        <w:t>Przedmiot GUD:</w:t>
      </w:r>
    </w:p>
    <w:p w14:paraId="3CC362CD" w14:textId="5338E789"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Na mocy GUD ACPRO zobowiązuje się wobec </w:t>
      </w:r>
      <w:r w:rsidR="003C4D25" w:rsidRPr="00EB2E7B">
        <w:rPr>
          <w:rFonts w:asciiTheme="minorHAnsi" w:hAnsiTheme="minorHAnsi" w:cstheme="minorHAnsi"/>
          <w:sz w:val="20"/>
          <w:szCs w:val="20"/>
        </w:rPr>
        <w:t>S</w:t>
      </w:r>
      <w:r w:rsidRPr="00EB2E7B">
        <w:rPr>
          <w:rFonts w:asciiTheme="minorHAnsi" w:hAnsiTheme="minorHAnsi" w:cstheme="minorHAnsi"/>
          <w:sz w:val="20"/>
          <w:szCs w:val="20"/>
        </w:rPr>
        <w:t>przedawcy do świadczenia usług dystrybucji na rze</w:t>
      </w:r>
      <w:r w:rsidR="00B01DCD" w:rsidRPr="00EB2E7B">
        <w:rPr>
          <w:rFonts w:asciiTheme="minorHAnsi" w:hAnsiTheme="minorHAnsi" w:cstheme="minorHAnsi"/>
          <w:sz w:val="20"/>
          <w:szCs w:val="20"/>
        </w:rPr>
        <w:t>c</w:t>
      </w:r>
      <w:r w:rsidRPr="00EB2E7B">
        <w:rPr>
          <w:rFonts w:asciiTheme="minorHAnsi" w:hAnsiTheme="minorHAnsi" w:cstheme="minorHAnsi"/>
          <w:sz w:val="20"/>
          <w:szCs w:val="20"/>
        </w:rPr>
        <w:t>z URD, w przypadku:</w:t>
      </w:r>
    </w:p>
    <w:p w14:paraId="2EB2318F" w14:textId="28F749BD" w:rsidR="00415801" w:rsidRPr="00EB2E7B" w:rsidRDefault="00415801" w:rsidP="00C650B4">
      <w:pPr>
        <w:pStyle w:val="Akapitzlist"/>
        <w:numPr>
          <w:ilvl w:val="0"/>
          <w:numId w:val="491"/>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sprzedaży energii elektrycznej na podstawie umowy sprzedaży – dotyczy energii elektrycznej pobranej z sieci dystrybucyjnej ACPRO;</w:t>
      </w:r>
    </w:p>
    <w:p w14:paraId="052401AF" w14:textId="3811D09C" w:rsidR="00415801" w:rsidRPr="00EB2E7B" w:rsidRDefault="00415801" w:rsidP="00C650B4">
      <w:pPr>
        <w:pStyle w:val="Akapitzlist"/>
        <w:numPr>
          <w:ilvl w:val="0"/>
          <w:numId w:val="491"/>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zakupu energii elektrycznej na podstawie umowy sprzedaży – dotyczy energii elektrycznej wprowadzonej do sieci dystrybucyjnej ACPRO.</w:t>
      </w:r>
    </w:p>
    <w:p w14:paraId="51615C08" w14:textId="49174EA2"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GUD wraz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i Taryfą ACPRO określa szczegółowe warunki świadczenia przez ACPRO usług dystrybucji oraz zasady współpracy ACPRO i </w:t>
      </w:r>
      <w:r w:rsidR="00E616C9" w:rsidRPr="00EB2E7B">
        <w:rPr>
          <w:rFonts w:asciiTheme="minorHAnsi" w:hAnsiTheme="minorHAnsi" w:cstheme="minorHAnsi"/>
          <w:sz w:val="20"/>
          <w:szCs w:val="20"/>
        </w:rPr>
        <w:t>S</w:t>
      </w:r>
      <w:r w:rsidRPr="00EB2E7B">
        <w:rPr>
          <w:rFonts w:asciiTheme="minorHAnsi" w:hAnsiTheme="minorHAnsi" w:cstheme="minorHAnsi"/>
          <w:sz w:val="20"/>
          <w:szCs w:val="20"/>
        </w:rPr>
        <w:t>przedawcy w tym zakresie, w szczególności:</w:t>
      </w:r>
    </w:p>
    <w:p w14:paraId="1F14875C" w14:textId="57E8D9EF"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zasady i terminy zgłaszania przez sprzedawcę do ACPRO umów sprzedaży;</w:t>
      </w:r>
    </w:p>
    <w:p w14:paraId="1F97C9EB" w14:textId="08BCA260" w:rsidR="00D47E79" w:rsidRPr="00EB2E7B" w:rsidRDefault="00D47E79"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od dnia przystąpienia ACPRO do CSIRE, zasady i terminy zgłaszania przez sprzedawcę do OIRE umów sprzedaży i umów kompleksowych,</w:t>
      </w:r>
    </w:p>
    <w:p w14:paraId="71998FD6" w14:textId="1E306ADB"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zasady obejmowania postanowieniami GUD kolejnych URD i zobowiązania ACPRO i </w:t>
      </w:r>
      <w:r w:rsidR="007B1C7F" w:rsidRPr="00EB2E7B">
        <w:rPr>
          <w:rFonts w:asciiTheme="minorHAnsi" w:hAnsiTheme="minorHAnsi" w:cstheme="minorHAnsi"/>
          <w:sz w:val="20"/>
          <w:szCs w:val="20"/>
        </w:rPr>
        <w:t>S</w:t>
      </w:r>
      <w:r w:rsidRPr="00EB2E7B">
        <w:rPr>
          <w:rFonts w:asciiTheme="minorHAnsi" w:hAnsiTheme="minorHAnsi" w:cstheme="minorHAnsi"/>
          <w:sz w:val="20"/>
          <w:szCs w:val="20"/>
        </w:rPr>
        <w:t>przedawcy w tym zakresie;</w:t>
      </w:r>
    </w:p>
    <w:p w14:paraId="2B300685" w14:textId="42D3BC7A"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zasady wyłączania z zakresu GUD tych URD, z którymi zawarte umowy sprzedaży lub umowy o świadczenie usług dystrybucji wygasły lub zostały rozwiązane;</w:t>
      </w:r>
    </w:p>
    <w:p w14:paraId="6C76E6DE" w14:textId="42800A68"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wskazanie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oraz zasady i warunki jego zmiany, w tym umocowanie wskazanego przez </w:t>
      </w:r>
      <w:r w:rsidR="00F54777" w:rsidRPr="00EB2E7B">
        <w:rPr>
          <w:rFonts w:asciiTheme="minorHAnsi" w:hAnsiTheme="minorHAnsi" w:cstheme="minorHAnsi"/>
          <w:sz w:val="20"/>
          <w:szCs w:val="20"/>
        </w:rPr>
        <w:t>S</w:t>
      </w:r>
      <w:r w:rsidRPr="00EB2E7B">
        <w:rPr>
          <w:rFonts w:asciiTheme="minorHAnsi" w:hAnsiTheme="minorHAnsi" w:cstheme="minorHAnsi"/>
          <w:sz w:val="20"/>
          <w:szCs w:val="20"/>
        </w:rPr>
        <w:t>przedawcę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w:t>
      </w:r>
    </w:p>
    <w:p w14:paraId="2883C896" w14:textId="451C101F"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zasady i termin</w:t>
      </w:r>
      <w:r w:rsidR="00F54777" w:rsidRPr="00EB2E7B">
        <w:rPr>
          <w:rFonts w:asciiTheme="minorHAnsi" w:hAnsiTheme="minorHAnsi" w:cstheme="minorHAnsi"/>
          <w:sz w:val="20"/>
          <w:szCs w:val="20"/>
        </w:rPr>
        <w:t>y</w:t>
      </w:r>
      <w:r w:rsidRPr="00EB2E7B">
        <w:rPr>
          <w:rFonts w:asciiTheme="minorHAnsi" w:hAnsiTheme="minorHAnsi" w:cstheme="minorHAnsi"/>
          <w:sz w:val="20"/>
          <w:szCs w:val="20"/>
        </w:rPr>
        <w:t xml:space="preserve"> przekazywania informacji dotyczących rozwiązywania umów sprzedaży;</w:t>
      </w:r>
    </w:p>
    <w:p w14:paraId="62B2F8BC" w14:textId="4253268C"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zasady wstrzymywania i wznawiania dostarczania energii elektrycznej URD przez ACPRO,</w:t>
      </w:r>
    </w:p>
    <w:p w14:paraId="06FD20C3" w14:textId="4B463C21"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zakres, zasady i terminy udostępnian</w:t>
      </w:r>
      <w:r w:rsidR="000031E3" w:rsidRPr="00EB2E7B">
        <w:rPr>
          <w:rFonts w:asciiTheme="minorHAnsi" w:hAnsiTheme="minorHAnsi" w:cstheme="minorHAnsi"/>
          <w:sz w:val="20"/>
          <w:szCs w:val="20"/>
        </w:rPr>
        <w:t>i</w:t>
      </w:r>
      <w:r w:rsidRPr="00EB2E7B">
        <w:rPr>
          <w:rFonts w:asciiTheme="minorHAnsi" w:hAnsiTheme="minorHAnsi" w:cstheme="minorHAnsi"/>
          <w:sz w:val="20"/>
          <w:szCs w:val="20"/>
        </w:rPr>
        <w:t>a danych dotyczących URD</w:t>
      </w:r>
      <w:r w:rsidR="00F85E5D" w:rsidRPr="00EB2E7B">
        <w:rPr>
          <w:rFonts w:asciiTheme="minorHAnsi" w:hAnsiTheme="minorHAnsi" w:cstheme="minorHAnsi"/>
          <w:sz w:val="20"/>
          <w:szCs w:val="20"/>
        </w:rPr>
        <w:t xml:space="preserve"> (w tym pomiarowych)</w:t>
      </w:r>
      <w:r w:rsidRPr="00EB2E7B">
        <w:rPr>
          <w:rFonts w:asciiTheme="minorHAnsi" w:hAnsiTheme="minorHAnsi" w:cstheme="minorHAnsi"/>
          <w:sz w:val="20"/>
          <w:szCs w:val="20"/>
        </w:rPr>
        <w:t>;</w:t>
      </w:r>
    </w:p>
    <w:p w14:paraId="37DE91DC" w14:textId="03418B37"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osoby upoważnione do kontaktu oraz ich dane teleadresowe;</w:t>
      </w:r>
    </w:p>
    <w:p w14:paraId="26F22162" w14:textId="3935DC14" w:rsidR="00415801" w:rsidRPr="00EB2E7B" w:rsidRDefault="00415801" w:rsidP="00C650B4">
      <w:pPr>
        <w:pStyle w:val="Akapitzlist"/>
        <w:numPr>
          <w:ilvl w:val="0"/>
          <w:numId w:val="492"/>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zasady i warunki sprzedaży rezerwowej.</w:t>
      </w:r>
    </w:p>
    <w:p w14:paraId="31F77043" w14:textId="77777777" w:rsidR="00415801" w:rsidRPr="00EB2E7B" w:rsidRDefault="00415801" w:rsidP="00C650B4">
      <w:pPr>
        <w:pStyle w:val="GUDI"/>
        <w:spacing w:line="264" w:lineRule="auto"/>
        <w:ind w:left="567" w:hanging="567"/>
        <w:rPr>
          <w:rFonts w:asciiTheme="minorHAnsi" w:hAnsiTheme="minorHAnsi" w:cstheme="minorHAnsi"/>
          <w:sz w:val="20"/>
          <w:szCs w:val="20"/>
        </w:rPr>
      </w:pPr>
      <w:r w:rsidRPr="00EB2E7B">
        <w:rPr>
          <w:rFonts w:asciiTheme="minorHAnsi" w:hAnsiTheme="minorHAnsi" w:cstheme="minorHAnsi"/>
          <w:sz w:val="20"/>
          <w:szCs w:val="20"/>
        </w:rPr>
        <w:t>ACPRO zobowiązuje się w szczególności do:</w:t>
      </w:r>
    </w:p>
    <w:p w14:paraId="7C9A9500" w14:textId="60A35505"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przyjmowania od </w:t>
      </w:r>
      <w:r w:rsidR="00F54777" w:rsidRPr="00EB2E7B">
        <w:rPr>
          <w:rFonts w:asciiTheme="minorHAnsi" w:hAnsiTheme="minorHAnsi" w:cstheme="minorHAnsi"/>
          <w:sz w:val="20"/>
          <w:szCs w:val="20"/>
        </w:rPr>
        <w:t>S</w:t>
      </w:r>
      <w:r w:rsidRPr="00EB2E7B">
        <w:rPr>
          <w:rFonts w:asciiTheme="minorHAnsi" w:hAnsiTheme="minorHAnsi" w:cstheme="minorHAnsi"/>
          <w:sz w:val="20"/>
          <w:szCs w:val="20"/>
        </w:rPr>
        <w:t xml:space="preserve">przedawcy powiadomień o zawartych umowach sprzedaży oraz weryfikacji tych powiadomień zgodnie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74ECA8AB" w14:textId="3F6D3396" w:rsidR="00AD64D8" w:rsidRPr="00EB2E7B" w:rsidRDefault="00AD64D8"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od dnia produkcyjnego uruchomienia CSIRE przez OIRE, przyjmowania od OIRE powiadomień o zawartych umowach sprzedaży</w:t>
      </w:r>
      <w:r w:rsidR="007C06C4" w:rsidRPr="00EB2E7B">
        <w:rPr>
          <w:rFonts w:asciiTheme="minorHAnsi" w:hAnsiTheme="minorHAnsi" w:cstheme="minorHAnsi"/>
          <w:sz w:val="20"/>
          <w:szCs w:val="20"/>
        </w:rPr>
        <w:t>,</w:t>
      </w:r>
    </w:p>
    <w:p w14:paraId="515318F6" w14:textId="75017FE6"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realizacji czynności niezbędnych do dostarczania energii elektrycznej do URD w związku ze zgłoszonymi przez </w:t>
      </w:r>
      <w:r w:rsidR="000B47AE" w:rsidRPr="00EB2E7B">
        <w:rPr>
          <w:rFonts w:asciiTheme="minorHAnsi" w:hAnsiTheme="minorHAnsi" w:cstheme="minorHAnsi"/>
          <w:sz w:val="20"/>
          <w:szCs w:val="20"/>
        </w:rPr>
        <w:t>S</w:t>
      </w:r>
      <w:r w:rsidRPr="00EB2E7B">
        <w:rPr>
          <w:rFonts w:asciiTheme="minorHAnsi" w:hAnsiTheme="minorHAnsi" w:cstheme="minorHAnsi"/>
          <w:sz w:val="20"/>
          <w:szCs w:val="20"/>
        </w:rPr>
        <w:t>przedawcę do ACPRO i przyjętymi przez ACPRO do realizacji umowami sprzedaży;</w:t>
      </w:r>
    </w:p>
    <w:p w14:paraId="18BEFE1C" w14:textId="49975DC7" w:rsidR="00597D99" w:rsidRPr="00EB2E7B" w:rsidRDefault="00597D99" w:rsidP="00597D99">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od dnia produkcyjnego uruchomienia CSIRE przez OIRE, realizacji czynności niezbędnych do dostarczania energii elektrycznej do URD w związku ze zgłoszonymi przez Sprzedawcę do OIRE i przyjętymi przez ACPRO do realizacji umowami sprzedaży;</w:t>
      </w:r>
    </w:p>
    <w:p w14:paraId="7BF167DC"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lastRenderedPageBreak/>
        <w:t>dystrybucji energii elektrycznej wprowadzonej do sieci ACPRO przez URD posiadającego moduł wytwarzania energii lub magazyn energii elektrycznej;</w:t>
      </w:r>
    </w:p>
    <w:p w14:paraId="772A6299"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udostępniania sprzedawcy danych pomiarowych URD zgodnie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7EFDE207" w14:textId="0FA0BE0F" w:rsidR="005873C1" w:rsidRPr="00EB2E7B" w:rsidRDefault="005873C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od dnia produkcyjnego uruchomienia CSIRE przez OIRE, pozyskiwania lub wyznaczania danych pomiarowych zgodnie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a także ich udostępniania OIRE poprzez CSIRE zgodnie z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-OIRE oraz TSKB;</w:t>
      </w:r>
    </w:p>
    <w:p w14:paraId="30157534"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wstrzymywania i wznawiania dostarczania energii elektrycznej URD na zasadach określonych w Ustawie oraz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423E1BD7" w14:textId="559487A6"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niezwłocznego przekazywania </w:t>
      </w:r>
      <w:r w:rsidR="00D8598F" w:rsidRPr="00EB2E7B">
        <w:rPr>
          <w:rFonts w:asciiTheme="minorHAnsi" w:hAnsiTheme="minorHAnsi" w:cstheme="minorHAnsi"/>
          <w:sz w:val="20"/>
          <w:szCs w:val="20"/>
        </w:rPr>
        <w:t>S</w:t>
      </w:r>
      <w:r w:rsidRPr="00EB2E7B">
        <w:rPr>
          <w:rFonts w:asciiTheme="minorHAnsi" w:hAnsiTheme="minorHAnsi" w:cstheme="minorHAnsi"/>
          <w:sz w:val="20"/>
          <w:szCs w:val="20"/>
        </w:rPr>
        <w:t>przedawcy informacji wynikających z IRIESD mających wpływ na realizację GUD;</w:t>
      </w:r>
    </w:p>
    <w:p w14:paraId="63BED9AD" w14:textId="45594CD9"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wykonywania innych obowiązków określonych w GUD, a także wynikających z przepisów obowiązującego </w:t>
      </w:r>
      <w:r w:rsidR="00893176" w:rsidRPr="00EB2E7B">
        <w:rPr>
          <w:rFonts w:asciiTheme="minorHAnsi" w:hAnsiTheme="minorHAnsi" w:cstheme="minorHAnsi"/>
          <w:sz w:val="20"/>
          <w:szCs w:val="20"/>
        </w:rPr>
        <w:t xml:space="preserve">prawa, </w:t>
      </w:r>
      <w:proofErr w:type="spellStart"/>
      <w:r w:rsidR="00893176" w:rsidRPr="00EB2E7B">
        <w:rPr>
          <w:rFonts w:asciiTheme="minorHAnsi" w:hAnsiTheme="minorHAnsi" w:cstheme="minorHAnsi"/>
          <w:sz w:val="20"/>
          <w:szCs w:val="20"/>
        </w:rPr>
        <w:t>IRiESD</w:t>
      </w:r>
      <w:proofErr w:type="spellEnd"/>
      <w:r w:rsidR="00893176" w:rsidRPr="00EB2E7B">
        <w:rPr>
          <w:rFonts w:asciiTheme="minorHAnsi" w:hAnsiTheme="minorHAnsi" w:cstheme="minorHAnsi"/>
          <w:sz w:val="20"/>
          <w:szCs w:val="20"/>
        </w:rPr>
        <w:t xml:space="preserve"> i od dnia produkcyjnego uruchomienia CSIRE przez OIRE, </w:t>
      </w:r>
      <w:proofErr w:type="spellStart"/>
      <w:r w:rsidR="00893176" w:rsidRPr="00EB2E7B">
        <w:rPr>
          <w:rFonts w:asciiTheme="minorHAnsi" w:hAnsiTheme="minorHAnsi" w:cstheme="minorHAnsi"/>
          <w:sz w:val="20"/>
          <w:szCs w:val="20"/>
        </w:rPr>
        <w:t>IRiESP</w:t>
      </w:r>
      <w:proofErr w:type="spellEnd"/>
      <w:r w:rsidR="00893176" w:rsidRPr="00EB2E7B">
        <w:rPr>
          <w:rFonts w:asciiTheme="minorHAnsi" w:hAnsiTheme="minorHAnsi" w:cstheme="minorHAnsi"/>
          <w:sz w:val="20"/>
          <w:szCs w:val="20"/>
        </w:rPr>
        <w:t>-OIRE</w:t>
      </w:r>
      <w:r w:rsidRPr="00EB2E7B">
        <w:rPr>
          <w:rFonts w:asciiTheme="minorHAnsi" w:hAnsiTheme="minorHAnsi" w:cstheme="minorHAnsi"/>
          <w:sz w:val="20"/>
          <w:szCs w:val="20"/>
        </w:rPr>
        <w:t>;</w:t>
      </w:r>
    </w:p>
    <w:p w14:paraId="2BB1A222" w14:textId="534C692B"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powiadamiania o zmianie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poprzez udostępnianie ich w swojej siedzibie oraz publikowania na stronie internetowej ACPRO;</w:t>
      </w:r>
      <w:r w:rsidR="00121C2E" w:rsidRPr="00EB2E7B">
        <w:rPr>
          <w:rFonts w:asciiTheme="minorHAnsi" w:hAnsiTheme="minorHAnsi" w:cstheme="minorHAnsi"/>
          <w:sz w:val="20"/>
          <w:szCs w:val="20"/>
        </w:rPr>
        <w:t xml:space="preserve"> </w:t>
      </w:r>
    </w:p>
    <w:p w14:paraId="58A5B57C"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zachowania tajemnicy przedsiębiorstwa związanej z realizacją GUD.</w:t>
      </w:r>
    </w:p>
    <w:p w14:paraId="68304CA8" w14:textId="77777777" w:rsidR="00415801" w:rsidRPr="00EB2E7B" w:rsidRDefault="00415801" w:rsidP="00C650B4">
      <w:pPr>
        <w:pStyle w:val="GUDI"/>
        <w:spacing w:line="264" w:lineRule="auto"/>
        <w:ind w:left="567" w:hanging="567"/>
        <w:rPr>
          <w:rFonts w:asciiTheme="minorHAnsi" w:hAnsiTheme="minorHAnsi" w:cstheme="minorHAnsi"/>
          <w:sz w:val="20"/>
          <w:szCs w:val="20"/>
        </w:rPr>
      </w:pPr>
      <w:r w:rsidRPr="00EB2E7B">
        <w:rPr>
          <w:rFonts w:asciiTheme="minorHAnsi" w:hAnsiTheme="minorHAnsi" w:cstheme="minorHAnsi"/>
          <w:sz w:val="20"/>
          <w:szCs w:val="20"/>
        </w:rPr>
        <w:t>Sprzedawca zobowiązuje się w szczególności do:</w:t>
      </w:r>
    </w:p>
    <w:p w14:paraId="1FF9B77A" w14:textId="34D48AC0"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zgłaszania do ACPRO </w:t>
      </w:r>
      <w:r w:rsidR="000A6640" w:rsidRPr="00EB2E7B">
        <w:rPr>
          <w:rFonts w:asciiTheme="minorHAnsi" w:hAnsiTheme="minorHAnsi" w:cstheme="minorHAnsi"/>
          <w:sz w:val="20"/>
          <w:szCs w:val="20"/>
        </w:rPr>
        <w:t xml:space="preserve">powiadomień </w:t>
      </w:r>
      <w:r w:rsidRPr="00EB2E7B">
        <w:rPr>
          <w:rFonts w:asciiTheme="minorHAnsi" w:hAnsiTheme="minorHAnsi" w:cstheme="minorHAnsi"/>
          <w:sz w:val="20"/>
          <w:szCs w:val="20"/>
        </w:rPr>
        <w:t>o zawartych umowach sprzedaży</w:t>
      </w:r>
      <w:r w:rsidR="00833046" w:rsidRPr="00EB2E7B">
        <w:rPr>
          <w:rFonts w:asciiTheme="minorHAnsi" w:hAnsiTheme="minorHAnsi" w:cstheme="minorHAnsi"/>
          <w:sz w:val="20"/>
          <w:szCs w:val="20"/>
        </w:rPr>
        <w:t>, zmianie danych wskazanych w zgłoszeniu lub o wygaśnięciu lub rozwiązaniu umów sprzedaży</w:t>
      </w:r>
      <w:r w:rsidRPr="00EB2E7B">
        <w:rPr>
          <w:rFonts w:asciiTheme="minorHAnsi" w:hAnsiTheme="minorHAnsi" w:cstheme="minorHAnsi"/>
          <w:sz w:val="20"/>
          <w:szCs w:val="20"/>
        </w:rPr>
        <w:t>,</w:t>
      </w:r>
      <w:r w:rsidR="00E244CA" w:rsidRPr="00EB2E7B">
        <w:rPr>
          <w:rFonts w:asciiTheme="minorHAnsi" w:hAnsiTheme="minorHAnsi" w:cstheme="minorHAnsi"/>
          <w:sz w:val="20"/>
          <w:szCs w:val="20"/>
        </w:rPr>
        <w:t xml:space="preserve"> </w:t>
      </w:r>
      <w:r w:rsidR="007E6038" w:rsidRPr="00EB2E7B">
        <w:rPr>
          <w:rFonts w:asciiTheme="minorHAnsi" w:hAnsiTheme="minorHAnsi" w:cstheme="minorHAnsi"/>
          <w:sz w:val="20"/>
          <w:szCs w:val="20"/>
        </w:rPr>
        <w:t xml:space="preserve"> na </w:t>
      </w:r>
      <w:r w:rsidR="00D75AAD" w:rsidRPr="00EB2E7B">
        <w:rPr>
          <w:rFonts w:asciiTheme="minorHAnsi" w:hAnsiTheme="minorHAnsi" w:cstheme="minorHAnsi"/>
          <w:sz w:val="20"/>
          <w:szCs w:val="20"/>
        </w:rPr>
        <w:t xml:space="preserve">zasadach określonych w </w:t>
      </w:r>
      <w:proofErr w:type="spellStart"/>
      <w:r w:rsidR="00E244CA" w:rsidRPr="00EB2E7B">
        <w:rPr>
          <w:rFonts w:asciiTheme="minorHAnsi" w:hAnsiTheme="minorHAnsi" w:cstheme="minorHAnsi"/>
          <w:sz w:val="20"/>
          <w:szCs w:val="20"/>
        </w:rPr>
        <w:t>IRiESD</w:t>
      </w:r>
      <w:proofErr w:type="spellEnd"/>
      <w:r w:rsidR="007E6038" w:rsidRPr="00EB2E7B">
        <w:rPr>
          <w:rFonts w:asciiTheme="minorHAnsi" w:hAnsiTheme="minorHAnsi" w:cstheme="minorHAnsi"/>
          <w:sz w:val="20"/>
          <w:szCs w:val="20"/>
        </w:rPr>
        <w:t xml:space="preserve"> na odpowiednim formularzu, udostępnionym w formie elektronicznej, umożliwiającej uzupełnianie i zapis poniższych </w:t>
      </w:r>
      <w:r w:rsidR="006F6838" w:rsidRPr="00EB2E7B">
        <w:rPr>
          <w:rFonts w:asciiTheme="minorHAnsi" w:hAnsiTheme="minorHAnsi" w:cstheme="minorHAnsi"/>
          <w:sz w:val="20"/>
          <w:szCs w:val="20"/>
        </w:rPr>
        <w:t xml:space="preserve">danych, dostępnym na stronie internetowej ACPRO pod adresem: </w:t>
      </w:r>
      <w:r w:rsidR="00447199" w:rsidRPr="00EB2E7B">
        <w:rPr>
          <w:rFonts w:asciiTheme="minorHAnsi" w:hAnsiTheme="minorHAnsi" w:cstheme="minorHAnsi"/>
          <w:sz w:val="20"/>
          <w:szCs w:val="20"/>
        </w:rPr>
        <w:t>https://www.</w:t>
      </w:r>
      <w:r w:rsidR="00574D97">
        <w:rPr>
          <w:rFonts w:asciiTheme="minorHAnsi" w:hAnsiTheme="minorHAnsi" w:cstheme="minorHAnsi"/>
          <w:sz w:val="20"/>
          <w:szCs w:val="20"/>
        </w:rPr>
        <w:t>acpro</w:t>
      </w:r>
      <w:r w:rsidR="00447199" w:rsidRPr="00EB2E7B">
        <w:rPr>
          <w:rFonts w:asciiTheme="minorHAnsi" w:hAnsiTheme="minorHAnsi" w:cstheme="minorHAnsi"/>
          <w:sz w:val="20"/>
          <w:szCs w:val="20"/>
        </w:rPr>
        <w:t>.pl</w:t>
      </w:r>
      <w:r w:rsidR="00DE3C22" w:rsidRPr="00EB2E7B">
        <w:rPr>
          <w:rFonts w:asciiTheme="minorHAnsi" w:hAnsiTheme="minorHAnsi" w:cstheme="minorHAnsi"/>
          <w:sz w:val="20"/>
          <w:szCs w:val="20"/>
        </w:rPr>
        <w:t xml:space="preserve"> jako ,,Formularz zgłoszenia umowy sprzedaży”;</w:t>
      </w:r>
      <w:r w:rsidRPr="00EB2E7B">
        <w:rPr>
          <w:rFonts w:asciiTheme="minorHAnsi" w:hAnsiTheme="minorHAnsi" w:cstheme="minorHAnsi"/>
          <w:sz w:val="20"/>
          <w:szCs w:val="20"/>
        </w:rPr>
        <w:t xml:space="preserve"> </w:t>
      </w:r>
    </w:p>
    <w:p w14:paraId="478B6034" w14:textId="72FDDA60" w:rsidR="0023099F" w:rsidRPr="00EB2E7B" w:rsidRDefault="0023099F"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zgłaszania od dnia produkcyjnego uruchomienia CSIRE przez OIRE, do OIRE informacji o zawartych umowach sprzedaży, zmianie danych wskazanych w zgłoszeniu lub o wygaśnięciu lub rozwiązaniu umów sprzedaży, na zasadach określonych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-OIRE oraz TSKB;</w:t>
      </w:r>
    </w:p>
    <w:p w14:paraId="4A00931E"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terminowego regulowania należności wynikających z GUD;</w:t>
      </w:r>
    </w:p>
    <w:p w14:paraId="1318D0E6" w14:textId="064B9C4A"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informowania ACPRO o zmianie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lub zakończeniu świadczenia usługi bilansowania handlowego </w:t>
      </w:r>
      <w:r w:rsidR="00EB6995" w:rsidRPr="00EB2E7B">
        <w:rPr>
          <w:rFonts w:asciiTheme="minorHAnsi" w:hAnsiTheme="minorHAnsi" w:cstheme="minorHAnsi"/>
          <w:sz w:val="20"/>
          <w:szCs w:val="20"/>
        </w:rPr>
        <w:t>S</w:t>
      </w:r>
      <w:r w:rsidRPr="00EB2E7B">
        <w:rPr>
          <w:rFonts w:asciiTheme="minorHAnsi" w:hAnsiTheme="minorHAnsi" w:cstheme="minorHAnsi"/>
          <w:sz w:val="20"/>
          <w:szCs w:val="20"/>
        </w:rPr>
        <w:t xml:space="preserve">przedawcy, zgodnie z </w:t>
      </w:r>
      <w:proofErr w:type="spellStart"/>
      <w:r w:rsidRPr="00EB2E7B">
        <w:rPr>
          <w:rFonts w:asciiTheme="minorHAnsi" w:hAnsiTheme="minorHAnsi" w:cstheme="minorHAnsi"/>
          <w:sz w:val="20"/>
          <w:szCs w:val="20"/>
        </w:rPr>
        <w:t>IRiESD</w:t>
      </w:r>
      <w:proofErr w:type="spellEnd"/>
      <w:r w:rsidR="00D73396" w:rsidRPr="00EB2E7B">
        <w:rPr>
          <w:rFonts w:asciiTheme="minorHAnsi" w:hAnsiTheme="minorHAnsi" w:cstheme="minorHAnsi"/>
          <w:sz w:val="20"/>
          <w:szCs w:val="20"/>
        </w:rPr>
        <w:t xml:space="preserve"> </w:t>
      </w:r>
      <w:r w:rsidR="00AB37D1" w:rsidRPr="00EB2E7B">
        <w:rPr>
          <w:rFonts w:asciiTheme="minorHAnsi" w:hAnsiTheme="minorHAnsi" w:cstheme="minorHAnsi"/>
          <w:sz w:val="20"/>
          <w:szCs w:val="20"/>
        </w:rPr>
        <w:t>i według załącznika nr 2</w:t>
      </w:r>
      <w:r w:rsidR="00343982" w:rsidRPr="00EB2E7B">
        <w:rPr>
          <w:rFonts w:asciiTheme="minorHAnsi" w:hAnsiTheme="minorHAnsi" w:cstheme="minorHAnsi"/>
          <w:sz w:val="20"/>
          <w:szCs w:val="20"/>
        </w:rPr>
        <w:t xml:space="preserve"> GUD</w:t>
      </w:r>
      <w:r w:rsidR="0048640E" w:rsidRPr="00EB2E7B">
        <w:rPr>
          <w:rFonts w:asciiTheme="minorHAnsi" w:hAnsiTheme="minorHAnsi" w:cstheme="minorHAnsi"/>
          <w:sz w:val="20"/>
          <w:szCs w:val="20"/>
        </w:rPr>
        <w:t>;</w:t>
      </w:r>
    </w:p>
    <w:p w14:paraId="3A12C9B8"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zachowania tajemnicy przedsiębiorstwa związanej z realizacją GUD;</w:t>
      </w:r>
    </w:p>
    <w:p w14:paraId="7DD15A3A" w14:textId="47981BFF"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wykonywania innych obowiązków określonych w GUD, a także wynikających z </w:t>
      </w:r>
      <w:r w:rsidR="00B73E49" w:rsidRPr="00EB2E7B">
        <w:rPr>
          <w:rFonts w:asciiTheme="minorHAnsi" w:hAnsiTheme="minorHAnsi" w:cstheme="minorHAnsi"/>
          <w:sz w:val="20"/>
          <w:szCs w:val="20"/>
        </w:rPr>
        <w:t xml:space="preserve">przepisów obowiązującego prawa i </w:t>
      </w:r>
      <w:proofErr w:type="spellStart"/>
      <w:r w:rsidRPr="00EB2E7B">
        <w:rPr>
          <w:rFonts w:asciiTheme="minorHAnsi" w:hAnsiTheme="minorHAnsi" w:cstheme="minorHAnsi"/>
          <w:sz w:val="20"/>
          <w:szCs w:val="20"/>
        </w:rPr>
        <w:t>IRiESD</w:t>
      </w:r>
      <w:proofErr w:type="spellEnd"/>
      <w:r w:rsidR="00A7637F" w:rsidRPr="00EB2E7B">
        <w:rPr>
          <w:rFonts w:asciiTheme="minorHAnsi" w:hAnsiTheme="minorHAnsi" w:cstheme="minorHAnsi"/>
          <w:sz w:val="20"/>
          <w:szCs w:val="20"/>
        </w:rPr>
        <w:t xml:space="preserve"> oraz </w:t>
      </w:r>
      <w:r w:rsidR="005F7939" w:rsidRPr="00EB2E7B">
        <w:rPr>
          <w:rFonts w:asciiTheme="minorHAnsi" w:hAnsiTheme="minorHAnsi" w:cstheme="minorHAnsi"/>
          <w:sz w:val="20"/>
          <w:szCs w:val="20"/>
        </w:rPr>
        <w:t xml:space="preserve">od dnia produkcyjnego uruchomienia CSIRE przez OIRE – </w:t>
      </w:r>
      <w:proofErr w:type="spellStart"/>
      <w:r w:rsidR="005F7939" w:rsidRPr="00EB2E7B">
        <w:rPr>
          <w:rFonts w:asciiTheme="minorHAnsi" w:hAnsiTheme="minorHAnsi" w:cstheme="minorHAnsi"/>
          <w:sz w:val="20"/>
          <w:szCs w:val="20"/>
        </w:rPr>
        <w:t>IRiESP</w:t>
      </w:r>
      <w:proofErr w:type="spellEnd"/>
      <w:r w:rsidR="005F7939" w:rsidRPr="00EB2E7B">
        <w:rPr>
          <w:rFonts w:asciiTheme="minorHAnsi" w:hAnsiTheme="minorHAnsi" w:cstheme="minorHAnsi"/>
          <w:sz w:val="20"/>
          <w:szCs w:val="20"/>
        </w:rPr>
        <w:t>-OIRE</w:t>
      </w:r>
      <w:r w:rsidRPr="00EB2E7B">
        <w:rPr>
          <w:rFonts w:asciiTheme="minorHAnsi" w:hAnsiTheme="minorHAnsi" w:cstheme="minorHAnsi"/>
          <w:sz w:val="20"/>
          <w:szCs w:val="20"/>
        </w:rPr>
        <w:t>;</w:t>
      </w:r>
    </w:p>
    <w:p w14:paraId="637F60B9"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niezwłocznego przekazywania ACPRO informacji wynikających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mających wpływ na realizację GUD;</w:t>
      </w:r>
    </w:p>
    <w:p w14:paraId="28AE8A93"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zapewnienia bilansowania energii elektrycznej pobranej i wprowadzonej do sieci dystrybucyjnej ACPRO przez URD.</w:t>
      </w:r>
    </w:p>
    <w:p w14:paraId="4B06FC6C" w14:textId="1A131367" w:rsidR="00415801" w:rsidRPr="00EB2E7B" w:rsidRDefault="00550B58" w:rsidP="00550B58">
      <w:pPr>
        <w:pStyle w:val="GUDI"/>
        <w:spacing w:line="264" w:lineRule="auto"/>
        <w:ind w:left="567" w:hanging="567"/>
        <w:jc w:val="both"/>
        <w:rPr>
          <w:rFonts w:asciiTheme="minorHAnsi" w:hAnsiTheme="minorHAnsi" w:cstheme="minorHAnsi"/>
          <w:sz w:val="20"/>
          <w:szCs w:val="20"/>
        </w:rPr>
      </w:pPr>
      <w:r w:rsidRPr="00EB2E7B">
        <w:rPr>
          <w:rFonts w:asciiTheme="minorHAnsi" w:hAnsiTheme="minorHAnsi" w:cstheme="minorHAnsi"/>
          <w:sz w:val="20"/>
          <w:szCs w:val="20"/>
        </w:rPr>
        <w:t xml:space="preserve">Odniesienie do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oraz od dnia produkcyjnego uruchomienia CSIRE przez OIRE – </w:t>
      </w:r>
      <w:proofErr w:type="spellStart"/>
      <w:r w:rsidRPr="00EB2E7B">
        <w:rPr>
          <w:rFonts w:asciiTheme="minorHAnsi" w:hAnsiTheme="minorHAnsi" w:cstheme="minorHAnsi"/>
          <w:sz w:val="20"/>
          <w:szCs w:val="20"/>
        </w:rPr>
        <w:t>IRiESP</w:t>
      </w:r>
      <w:proofErr w:type="spellEnd"/>
      <w:r w:rsidRPr="00EB2E7B">
        <w:rPr>
          <w:rFonts w:asciiTheme="minorHAnsi" w:hAnsiTheme="minorHAnsi" w:cstheme="minorHAnsi"/>
          <w:sz w:val="20"/>
          <w:szCs w:val="20"/>
        </w:rPr>
        <w:t>-OIRE, TSKB oraz Taryfy ACPRO w zakresie zasad udostępniania danych pomiarowych, informacji rozliczeniowych GUD lub informacji o rozliczeniu dodatkowym:</w:t>
      </w:r>
    </w:p>
    <w:p w14:paraId="660E9EF6" w14:textId="29FCE1FD"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lastRenderedPageBreak/>
        <w:t xml:space="preserve">Udostępnianie </w:t>
      </w:r>
      <w:r w:rsidR="00BD523C" w:rsidRPr="00EB2E7B">
        <w:rPr>
          <w:rFonts w:asciiTheme="minorHAnsi" w:hAnsiTheme="minorHAnsi" w:cstheme="minorHAnsi"/>
          <w:sz w:val="20"/>
          <w:szCs w:val="20"/>
        </w:rPr>
        <w:t>S</w:t>
      </w:r>
      <w:r w:rsidRPr="00EB2E7B">
        <w:rPr>
          <w:rFonts w:asciiTheme="minorHAnsi" w:hAnsiTheme="minorHAnsi" w:cstheme="minorHAnsi"/>
          <w:sz w:val="20"/>
          <w:szCs w:val="20"/>
        </w:rPr>
        <w:t xml:space="preserve">przedawcy przez ACPRO danych pomiarowych dla każdego PPE odbywa się na zasadach określonych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59F53A80" w14:textId="58B45D12"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Dane, o których mowa w </w:t>
      </w:r>
      <w:r w:rsidR="002D3EED" w:rsidRPr="00EB2E7B">
        <w:rPr>
          <w:rFonts w:asciiTheme="minorHAnsi" w:hAnsiTheme="minorHAnsi" w:cstheme="minorHAnsi"/>
          <w:sz w:val="20"/>
          <w:szCs w:val="20"/>
        </w:rPr>
        <w:t>pkt</w:t>
      </w:r>
      <w:r w:rsidR="00E64237" w:rsidRPr="00EB2E7B">
        <w:rPr>
          <w:rFonts w:asciiTheme="minorHAnsi" w:hAnsiTheme="minorHAnsi" w:cstheme="minorHAnsi"/>
          <w:sz w:val="20"/>
          <w:szCs w:val="20"/>
        </w:rPr>
        <w:t xml:space="preserve">. </w:t>
      </w:r>
      <w:r w:rsidRPr="00EB2E7B">
        <w:rPr>
          <w:rFonts w:asciiTheme="minorHAnsi" w:hAnsiTheme="minorHAnsi" w:cstheme="minorHAnsi"/>
          <w:sz w:val="20"/>
          <w:szCs w:val="20"/>
        </w:rPr>
        <w:t>1,</w:t>
      </w:r>
      <w:r w:rsidR="00A72F4D" w:rsidRPr="00EB2E7B">
        <w:rPr>
          <w:rFonts w:asciiTheme="minorHAnsi" w:hAnsiTheme="minorHAnsi" w:cstheme="minorHAnsi"/>
          <w:sz w:val="20"/>
          <w:szCs w:val="20"/>
        </w:rPr>
        <w:t xml:space="preserve"> do dnia produkcyjnego uruchomienia CSIRE przez OIRE</w:t>
      </w:r>
      <w:r w:rsidRPr="00EB2E7B">
        <w:rPr>
          <w:rFonts w:asciiTheme="minorHAnsi" w:hAnsiTheme="minorHAnsi" w:cstheme="minorHAnsi"/>
          <w:sz w:val="20"/>
          <w:szCs w:val="20"/>
        </w:rPr>
        <w:t xml:space="preserve"> udostępnione są </w:t>
      </w:r>
      <w:r w:rsidR="00BD523C" w:rsidRPr="00EB2E7B">
        <w:rPr>
          <w:rFonts w:asciiTheme="minorHAnsi" w:hAnsiTheme="minorHAnsi" w:cstheme="minorHAnsi"/>
          <w:sz w:val="20"/>
          <w:szCs w:val="20"/>
        </w:rPr>
        <w:t>S</w:t>
      </w:r>
      <w:r w:rsidRPr="00EB2E7B">
        <w:rPr>
          <w:rFonts w:asciiTheme="minorHAnsi" w:hAnsiTheme="minorHAnsi" w:cstheme="minorHAnsi"/>
          <w:sz w:val="20"/>
          <w:szCs w:val="20"/>
        </w:rPr>
        <w:t>przedawcy poprzez system informatyczny</w:t>
      </w:r>
      <w:r w:rsidR="00194851" w:rsidRPr="00EB2E7B">
        <w:rPr>
          <w:rFonts w:asciiTheme="minorHAnsi" w:hAnsiTheme="minorHAnsi" w:cstheme="minorHAnsi"/>
          <w:sz w:val="20"/>
          <w:szCs w:val="20"/>
        </w:rPr>
        <w:t>,</w:t>
      </w:r>
      <w:r w:rsidR="00FA4CDF" w:rsidRPr="00EB2E7B">
        <w:rPr>
          <w:rFonts w:asciiTheme="minorHAnsi" w:hAnsiTheme="minorHAnsi" w:cstheme="minorHAnsi"/>
          <w:sz w:val="20"/>
          <w:szCs w:val="20"/>
        </w:rPr>
        <w:t xml:space="preserve"> o którym mowa w GUD</w:t>
      </w:r>
      <w:r w:rsidRPr="00EB2E7B">
        <w:rPr>
          <w:rFonts w:asciiTheme="minorHAnsi" w:hAnsiTheme="minorHAnsi" w:cstheme="minorHAnsi"/>
          <w:sz w:val="20"/>
          <w:szCs w:val="20"/>
        </w:rPr>
        <w:t xml:space="preserve"> lub na wskazany</w:t>
      </w:r>
      <w:r w:rsidR="00CB6CAD" w:rsidRPr="00EB2E7B">
        <w:rPr>
          <w:rFonts w:asciiTheme="minorHAnsi" w:hAnsiTheme="minorHAnsi" w:cstheme="minorHAnsi"/>
          <w:sz w:val="20"/>
          <w:szCs w:val="20"/>
        </w:rPr>
        <w:t xml:space="preserve"> przez ACPRO</w:t>
      </w:r>
      <w:r w:rsidRPr="00EB2E7B">
        <w:rPr>
          <w:rFonts w:asciiTheme="minorHAnsi" w:hAnsiTheme="minorHAnsi" w:cstheme="minorHAnsi"/>
          <w:sz w:val="20"/>
          <w:szCs w:val="20"/>
        </w:rPr>
        <w:t xml:space="preserve"> serwer ftp lub w formie elektronicznej na adresy poczty elektronicznej wskazane w Załączniku do GUD, w formacie określonym zgodnie 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r w:rsidR="001A4B55" w:rsidRPr="00EB2E7B">
        <w:rPr>
          <w:rFonts w:asciiTheme="minorHAnsi" w:hAnsiTheme="minorHAnsi" w:cstheme="minorHAnsi"/>
          <w:sz w:val="20"/>
          <w:szCs w:val="20"/>
        </w:rPr>
        <w:t xml:space="preserve"> Od dnia produkcyjnego uruchomienia CSIRE przez OIRE, udostępnione są sprzedawcy przez OIRE poprzez CSIRE.</w:t>
      </w:r>
    </w:p>
    <w:p w14:paraId="2FD2395C" w14:textId="3E3A6B0F" w:rsidR="00415801" w:rsidRPr="00EB2E7B" w:rsidRDefault="00415801" w:rsidP="00C650B4">
      <w:pPr>
        <w:pStyle w:val="GUDI"/>
        <w:spacing w:line="264" w:lineRule="auto"/>
        <w:ind w:left="567" w:hanging="567"/>
        <w:jc w:val="both"/>
        <w:rPr>
          <w:rFonts w:asciiTheme="minorHAnsi" w:hAnsiTheme="minorHAnsi" w:cstheme="minorHAnsi"/>
          <w:sz w:val="20"/>
          <w:szCs w:val="20"/>
        </w:rPr>
      </w:pPr>
      <w:r w:rsidRPr="00EB2E7B">
        <w:rPr>
          <w:rFonts w:asciiTheme="minorHAnsi" w:hAnsiTheme="minorHAnsi" w:cstheme="minorHAnsi"/>
          <w:sz w:val="20"/>
          <w:szCs w:val="20"/>
        </w:rPr>
        <w:t>Zasady wstrzymania i wznowienia dostarczania energii elektrycznej do odbiorców, w</w:t>
      </w:r>
      <w:r w:rsidR="00FC3105"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tym odniesienie się do zapisów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2EEF57BD" w14:textId="0E07BD53"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Wstrzymanie oraz wznowienie dostarczania energii elektrycznej odbywa się na zasadach określonych w </w:t>
      </w:r>
      <w:r w:rsidR="007126B3" w:rsidRPr="00EB2E7B">
        <w:rPr>
          <w:rFonts w:asciiTheme="minorHAnsi" w:hAnsiTheme="minorHAnsi" w:cstheme="minorHAnsi"/>
          <w:sz w:val="20"/>
          <w:szCs w:val="20"/>
        </w:rPr>
        <w:t>U</w:t>
      </w:r>
      <w:r w:rsidRPr="00EB2E7B">
        <w:rPr>
          <w:rFonts w:asciiTheme="minorHAnsi" w:hAnsiTheme="minorHAnsi" w:cstheme="minorHAnsi"/>
          <w:sz w:val="20"/>
          <w:szCs w:val="20"/>
        </w:rPr>
        <w:t xml:space="preserve">stawie oraz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2F05B4EB" w14:textId="2F8882E4"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Wymiana informacji w zakresie wstrzymania i wznowienia dostarczania energii elektrycznej pomiędzy </w:t>
      </w:r>
      <w:r w:rsidR="0012604D" w:rsidRPr="00EB2E7B">
        <w:rPr>
          <w:rFonts w:asciiTheme="minorHAnsi" w:hAnsiTheme="minorHAnsi" w:cstheme="minorHAnsi"/>
          <w:sz w:val="20"/>
          <w:szCs w:val="20"/>
        </w:rPr>
        <w:t>S</w:t>
      </w:r>
      <w:r w:rsidRPr="00EB2E7B">
        <w:rPr>
          <w:rFonts w:asciiTheme="minorHAnsi" w:hAnsiTheme="minorHAnsi" w:cstheme="minorHAnsi"/>
          <w:sz w:val="20"/>
          <w:szCs w:val="20"/>
        </w:rPr>
        <w:t xml:space="preserve">przedawcą i ACPRO </w:t>
      </w:r>
      <w:r w:rsidR="00FB20FC" w:rsidRPr="00EB2E7B">
        <w:rPr>
          <w:rFonts w:asciiTheme="minorHAnsi" w:hAnsiTheme="minorHAnsi" w:cstheme="minorHAnsi"/>
          <w:sz w:val="20"/>
          <w:szCs w:val="20"/>
        </w:rPr>
        <w:t xml:space="preserve">do dnia uruchomienia CSIRE przez OIRE </w:t>
      </w:r>
      <w:r w:rsidRPr="00EB2E7B">
        <w:rPr>
          <w:rFonts w:asciiTheme="minorHAnsi" w:hAnsiTheme="minorHAnsi" w:cstheme="minorHAnsi"/>
          <w:sz w:val="20"/>
          <w:szCs w:val="20"/>
        </w:rPr>
        <w:t>odbywa się</w:t>
      </w:r>
      <w:r w:rsidR="0012604D" w:rsidRPr="00EB2E7B">
        <w:rPr>
          <w:rFonts w:asciiTheme="minorHAnsi" w:hAnsiTheme="minorHAnsi" w:cstheme="minorHAnsi"/>
          <w:sz w:val="20"/>
          <w:szCs w:val="20"/>
        </w:rPr>
        <w:t xml:space="preserve">, </w:t>
      </w:r>
      <w:r w:rsidR="006B00C2" w:rsidRPr="00EB2E7B">
        <w:rPr>
          <w:rFonts w:asciiTheme="minorHAnsi" w:hAnsiTheme="minorHAnsi" w:cstheme="minorHAnsi"/>
          <w:sz w:val="20"/>
          <w:szCs w:val="20"/>
        </w:rPr>
        <w:t xml:space="preserve">w sposób </w:t>
      </w:r>
      <w:r w:rsidR="0012604D" w:rsidRPr="00EB2E7B">
        <w:rPr>
          <w:rFonts w:asciiTheme="minorHAnsi" w:hAnsiTheme="minorHAnsi" w:cstheme="minorHAnsi"/>
          <w:sz w:val="20"/>
          <w:szCs w:val="20"/>
        </w:rPr>
        <w:t>o którym mowa w GUD</w:t>
      </w:r>
      <w:r w:rsidRPr="00EB2E7B">
        <w:rPr>
          <w:rFonts w:asciiTheme="minorHAnsi" w:hAnsiTheme="minorHAnsi" w:cstheme="minorHAnsi"/>
          <w:sz w:val="20"/>
          <w:szCs w:val="20"/>
        </w:rPr>
        <w:t>.</w:t>
      </w:r>
      <w:r w:rsidR="00115FA6" w:rsidRPr="00EB2E7B">
        <w:rPr>
          <w:rFonts w:asciiTheme="minorHAnsi" w:hAnsiTheme="minorHAnsi" w:cstheme="minorHAnsi"/>
          <w:sz w:val="20"/>
          <w:szCs w:val="20"/>
        </w:rPr>
        <w:t xml:space="preserve"> Od dnia</w:t>
      </w:r>
      <w:r w:rsidR="00005BED" w:rsidRPr="00EB2E7B">
        <w:rPr>
          <w:rFonts w:asciiTheme="minorHAnsi" w:hAnsiTheme="minorHAnsi" w:cstheme="minorHAnsi"/>
          <w:sz w:val="20"/>
          <w:szCs w:val="20"/>
        </w:rPr>
        <w:t xml:space="preserve"> produkcyjnego</w:t>
      </w:r>
      <w:r w:rsidR="00115FA6" w:rsidRPr="00EB2E7B">
        <w:rPr>
          <w:rFonts w:asciiTheme="minorHAnsi" w:hAnsiTheme="minorHAnsi" w:cstheme="minorHAnsi"/>
          <w:sz w:val="20"/>
          <w:szCs w:val="20"/>
        </w:rPr>
        <w:t xml:space="preserve"> uruchomienia CSIRE przez OIRE odbywa się poprzez CSIRE.</w:t>
      </w:r>
    </w:p>
    <w:p w14:paraId="08FA6B40" w14:textId="77777777" w:rsidR="00415801" w:rsidRPr="00EB2E7B" w:rsidRDefault="00415801" w:rsidP="00C650B4">
      <w:pPr>
        <w:pStyle w:val="GUDI"/>
        <w:spacing w:line="264" w:lineRule="auto"/>
        <w:ind w:left="567" w:hanging="567"/>
        <w:rPr>
          <w:rFonts w:asciiTheme="minorHAnsi" w:hAnsiTheme="minorHAnsi" w:cstheme="minorHAnsi"/>
          <w:sz w:val="20"/>
          <w:szCs w:val="20"/>
        </w:rPr>
      </w:pPr>
      <w:r w:rsidRPr="00EB2E7B">
        <w:rPr>
          <w:rFonts w:asciiTheme="minorHAnsi" w:hAnsiTheme="minorHAnsi" w:cstheme="minorHAnsi"/>
          <w:sz w:val="20"/>
          <w:szCs w:val="20"/>
        </w:rPr>
        <w:t>Ograniczenia w wykonaniu postanowień GUD:</w:t>
      </w:r>
    </w:p>
    <w:p w14:paraId="09F11B7E"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ACPRO i sprzedawca dopuszczają ograniczenie lub wstrzymanie, w części lub w całości, świadczenia usług dystrybucji będących przedmiotem GUD, w przypadkach:</w:t>
      </w:r>
    </w:p>
    <w:p w14:paraId="01B86ED1" w14:textId="119DE0A2" w:rsidR="00415801" w:rsidRPr="00EB2E7B" w:rsidRDefault="00E124D6" w:rsidP="00C650B4">
      <w:pPr>
        <w:pStyle w:val="Akapitzlist"/>
        <w:numPr>
          <w:ilvl w:val="0"/>
          <w:numId w:val="467"/>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w</w:t>
      </w:r>
      <w:r w:rsidR="00DE2124" w:rsidRPr="00EB2E7B">
        <w:rPr>
          <w:rFonts w:asciiTheme="minorHAnsi" w:hAnsiTheme="minorHAnsi" w:cstheme="minorHAnsi"/>
          <w:sz w:val="20"/>
          <w:szCs w:val="20"/>
        </w:rPr>
        <w:t xml:space="preserve">ystąpienia </w:t>
      </w:r>
      <w:r w:rsidR="00415801" w:rsidRPr="00EB2E7B">
        <w:rPr>
          <w:rFonts w:asciiTheme="minorHAnsi" w:hAnsiTheme="minorHAnsi" w:cstheme="minorHAnsi"/>
          <w:sz w:val="20"/>
          <w:szCs w:val="20"/>
        </w:rPr>
        <w:t>działania siły wyższej albo</w:t>
      </w:r>
      <w:r w:rsidR="00DE2124" w:rsidRPr="00EB2E7B">
        <w:rPr>
          <w:rFonts w:asciiTheme="minorHAnsi" w:hAnsiTheme="minorHAnsi" w:cstheme="minorHAnsi"/>
          <w:sz w:val="20"/>
          <w:szCs w:val="20"/>
        </w:rPr>
        <w:t xml:space="preserve"> powstałych</w:t>
      </w:r>
      <w:r w:rsidR="00415801" w:rsidRPr="00EB2E7B">
        <w:rPr>
          <w:rFonts w:asciiTheme="minorHAnsi" w:hAnsiTheme="minorHAnsi" w:cstheme="minorHAnsi"/>
          <w:sz w:val="20"/>
          <w:szCs w:val="20"/>
        </w:rPr>
        <w:t xml:space="preserve"> z winy URD lub osoby trzeciej, za które ACPRO i </w:t>
      </w:r>
      <w:r w:rsidR="003066A5" w:rsidRPr="00EB2E7B">
        <w:rPr>
          <w:rFonts w:asciiTheme="minorHAnsi" w:hAnsiTheme="minorHAnsi" w:cstheme="minorHAnsi"/>
          <w:sz w:val="20"/>
          <w:szCs w:val="20"/>
        </w:rPr>
        <w:t>S</w:t>
      </w:r>
      <w:r w:rsidR="00415801" w:rsidRPr="00EB2E7B">
        <w:rPr>
          <w:rFonts w:asciiTheme="minorHAnsi" w:hAnsiTheme="minorHAnsi" w:cstheme="minorHAnsi"/>
          <w:sz w:val="20"/>
          <w:szCs w:val="20"/>
        </w:rPr>
        <w:t>przedawca nie ponosi odpowiedzialności;</w:t>
      </w:r>
    </w:p>
    <w:p w14:paraId="1B800AB0" w14:textId="048D3693" w:rsidR="00415801" w:rsidRPr="00EB2E7B" w:rsidRDefault="00415801" w:rsidP="00C650B4">
      <w:pPr>
        <w:pStyle w:val="Akapitzlist"/>
        <w:numPr>
          <w:ilvl w:val="0"/>
          <w:numId w:val="467"/>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ograniczenia w dostarczaniu energii elektrycznej w związku z zagrożeniem życia, zdrowia, mienia lub środowiska;</w:t>
      </w:r>
    </w:p>
    <w:p w14:paraId="1A26D5B6" w14:textId="179EC24E" w:rsidR="00415801" w:rsidRPr="00EB2E7B" w:rsidRDefault="00415801" w:rsidP="00C650B4">
      <w:pPr>
        <w:pStyle w:val="Akapitzlist"/>
        <w:numPr>
          <w:ilvl w:val="0"/>
          <w:numId w:val="467"/>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przerwy w dostarczaniu energii elektrycznej, przez czas i na warunkach określonych zgodnie z przepisami prawa;</w:t>
      </w:r>
    </w:p>
    <w:p w14:paraId="5EE17471" w14:textId="5D88E74C" w:rsidR="00415801" w:rsidRPr="00EB2E7B" w:rsidRDefault="00415801" w:rsidP="00C650B4">
      <w:pPr>
        <w:pStyle w:val="Akapitzlist"/>
        <w:numPr>
          <w:ilvl w:val="0"/>
          <w:numId w:val="467"/>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ograniczenia w dostarczaniu mocy i energii elektrycznej wprowadzonymi zgodnie z Ustawą wraz z aktami wykonawczymi wydanymi do tej Ustawy;</w:t>
      </w:r>
    </w:p>
    <w:p w14:paraId="0A3CFE47" w14:textId="7B7065D1" w:rsidR="00415801" w:rsidRPr="00EB2E7B" w:rsidRDefault="00415801" w:rsidP="00C650B4">
      <w:pPr>
        <w:pStyle w:val="Akapitzlist"/>
        <w:numPr>
          <w:ilvl w:val="0"/>
          <w:numId w:val="467"/>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wystąpienia zdarzeń upoważniających do ograniczenia lub wstrzymania, w części lub w całości, świadczenia usług dystrybucji przewidzianych w Ustawie i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60F39A7F" w14:textId="13760C97" w:rsidR="00415801" w:rsidRPr="00EB2E7B" w:rsidRDefault="00415801" w:rsidP="00C650B4">
      <w:pPr>
        <w:pStyle w:val="Akapitzlist"/>
        <w:numPr>
          <w:ilvl w:val="0"/>
          <w:numId w:val="467"/>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zaprzestania, niezależnie od przyczyny, bilansowania handlowego </w:t>
      </w:r>
      <w:r w:rsidR="002A466D" w:rsidRPr="00EB2E7B">
        <w:rPr>
          <w:rFonts w:asciiTheme="minorHAnsi" w:hAnsiTheme="minorHAnsi" w:cstheme="minorHAnsi"/>
          <w:sz w:val="20"/>
          <w:szCs w:val="20"/>
        </w:rPr>
        <w:t>S</w:t>
      </w:r>
      <w:r w:rsidRPr="00EB2E7B">
        <w:rPr>
          <w:rFonts w:asciiTheme="minorHAnsi" w:hAnsiTheme="minorHAnsi" w:cstheme="minorHAnsi"/>
          <w:sz w:val="20"/>
          <w:szCs w:val="20"/>
        </w:rPr>
        <w:t>przedawcy przez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w szczególności w przypadku zawieszenia lub zaprzestania działalności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na RB</w:t>
      </w:r>
      <w:r w:rsidR="002F2E39" w:rsidRPr="00EB2E7B">
        <w:rPr>
          <w:rFonts w:asciiTheme="minorHAnsi" w:hAnsiTheme="minorHAnsi" w:cstheme="minorHAnsi"/>
          <w:sz w:val="20"/>
          <w:szCs w:val="20"/>
        </w:rPr>
        <w:t>;</w:t>
      </w:r>
    </w:p>
    <w:p w14:paraId="1B177158" w14:textId="7C0DC177" w:rsidR="002F2E39" w:rsidRPr="00EB2E7B" w:rsidRDefault="002F2E39" w:rsidP="00C650B4">
      <w:pPr>
        <w:pStyle w:val="Akapitzlist"/>
        <w:numPr>
          <w:ilvl w:val="0"/>
          <w:numId w:val="467"/>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od dnia produkcyjnego uruchomienia CSIRE przez OIRE – niedostępności CSIRE, w tym skutkującym brakiem możliwości przekazywania lub odbierania komunikatu zgodnie z TSKB.</w:t>
      </w:r>
    </w:p>
    <w:p w14:paraId="7C7AD685" w14:textId="6EF17CEC"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Ograniczenie lub wstrzymanie, o których mowa w </w:t>
      </w:r>
      <w:r w:rsidR="002A466D" w:rsidRPr="00EB2E7B">
        <w:rPr>
          <w:rFonts w:asciiTheme="minorHAnsi" w:hAnsiTheme="minorHAnsi" w:cstheme="minorHAnsi"/>
          <w:sz w:val="20"/>
          <w:szCs w:val="20"/>
        </w:rPr>
        <w:t>pk</w:t>
      </w:r>
      <w:r w:rsidR="00A61836" w:rsidRPr="00EB2E7B">
        <w:rPr>
          <w:rFonts w:asciiTheme="minorHAnsi" w:hAnsiTheme="minorHAnsi" w:cstheme="minorHAnsi"/>
          <w:sz w:val="20"/>
          <w:szCs w:val="20"/>
        </w:rPr>
        <w:t>t</w:t>
      </w:r>
      <w:r w:rsidR="007A2518"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 1, możliwe jest tylko w takim zakresie, w jakim zaistnienie danej przyczyny uniemożliwia realizację GUD.</w:t>
      </w:r>
    </w:p>
    <w:p w14:paraId="0F84AB19" w14:textId="2AB3AE5B"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Świadczenie usług dystrybucji będących przedmiotem GUD następuje niezwłocznie po ustaniu przyczyn ograniczenia lub wstrzymania, o których mowa w </w:t>
      </w:r>
      <w:r w:rsidR="002A466D" w:rsidRPr="00EB2E7B">
        <w:rPr>
          <w:rFonts w:asciiTheme="minorHAnsi" w:hAnsiTheme="minorHAnsi" w:cstheme="minorHAnsi"/>
          <w:sz w:val="20"/>
          <w:szCs w:val="20"/>
        </w:rPr>
        <w:t>pk</w:t>
      </w:r>
      <w:r w:rsidR="00A61836" w:rsidRPr="00EB2E7B">
        <w:rPr>
          <w:rFonts w:asciiTheme="minorHAnsi" w:hAnsiTheme="minorHAnsi" w:cstheme="minorHAnsi"/>
          <w:sz w:val="20"/>
          <w:szCs w:val="20"/>
        </w:rPr>
        <w:t>t</w:t>
      </w:r>
      <w:r w:rsidR="00E3543F" w:rsidRPr="00EB2E7B">
        <w:rPr>
          <w:rFonts w:asciiTheme="minorHAnsi" w:hAnsiTheme="minorHAnsi" w:cstheme="minorHAnsi"/>
          <w:sz w:val="20"/>
          <w:szCs w:val="20"/>
        </w:rPr>
        <w:t xml:space="preserve">. </w:t>
      </w:r>
      <w:r w:rsidRPr="00EB2E7B">
        <w:rPr>
          <w:rFonts w:asciiTheme="minorHAnsi" w:hAnsiTheme="minorHAnsi" w:cstheme="minorHAnsi"/>
          <w:sz w:val="20"/>
          <w:szCs w:val="20"/>
        </w:rPr>
        <w:t>1.</w:t>
      </w:r>
    </w:p>
    <w:p w14:paraId="6FA49E71" w14:textId="60932A2F"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W</w:t>
      </w:r>
      <w:r w:rsidR="0035291D" w:rsidRPr="00EB2E7B">
        <w:rPr>
          <w:rFonts w:asciiTheme="minorHAnsi" w:hAnsiTheme="minorHAnsi" w:cstheme="minorHAnsi"/>
          <w:sz w:val="20"/>
          <w:szCs w:val="20"/>
        </w:rPr>
        <w:t>s</w:t>
      </w:r>
      <w:r w:rsidRPr="00EB2E7B">
        <w:rPr>
          <w:rFonts w:asciiTheme="minorHAnsi" w:hAnsiTheme="minorHAnsi" w:cstheme="minorHAnsi"/>
          <w:sz w:val="20"/>
          <w:szCs w:val="20"/>
        </w:rPr>
        <w:t>trzymanie dostarczania energii elektrycznej URD posiadającego moduł wytwarzania energii lub magazyn energii elektrycznej powoduje równocześnie wstrzymanie możliwości wprowadzania energii elektrycznej do sieci dystrybucyjnej ACPRO.</w:t>
      </w:r>
    </w:p>
    <w:p w14:paraId="195F5661" w14:textId="77777777" w:rsidR="00415801" w:rsidRPr="00EB2E7B" w:rsidRDefault="00415801" w:rsidP="00C650B4">
      <w:pPr>
        <w:pStyle w:val="GUDI"/>
        <w:spacing w:line="264" w:lineRule="auto"/>
        <w:ind w:left="567" w:hanging="567"/>
        <w:jc w:val="both"/>
        <w:rPr>
          <w:rFonts w:asciiTheme="minorHAnsi" w:hAnsiTheme="minorHAnsi" w:cstheme="minorHAnsi"/>
          <w:sz w:val="20"/>
          <w:szCs w:val="20"/>
        </w:rPr>
      </w:pPr>
      <w:r w:rsidRPr="00EB2E7B">
        <w:rPr>
          <w:rFonts w:asciiTheme="minorHAnsi" w:hAnsiTheme="minorHAnsi" w:cstheme="minorHAnsi"/>
          <w:sz w:val="20"/>
          <w:szCs w:val="20"/>
        </w:rPr>
        <w:lastRenderedPageBreak/>
        <w:t>Postępowanie reklamacyjne i tryb rozstrzygania sporów oraz realizacji obowiązków informacyjnych:</w:t>
      </w:r>
    </w:p>
    <w:p w14:paraId="79818E7E" w14:textId="6B6AF58D"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Postępowanie reklamacyjne związane z trybem realizacji GUD</w:t>
      </w:r>
      <w:r w:rsidR="001B1F60" w:rsidRPr="00EB2E7B">
        <w:rPr>
          <w:rFonts w:asciiTheme="minorHAnsi" w:hAnsiTheme="minorHAnsi" w:cstheme="minorHAnsi"/>
          <w:sz w:val="20"/>
          <w:szCs w:val="20"/>
        </w:rPr>
        <w:t xml:space="preserve"> prowadzone jest następująco</w:t>
      </w:r>
      <w:r w:rsidR="00A70D2B" w:rsidRPr="00EB2E7B">
        <w:rPr>
          <w:rFonts w:asciiTheme="minorHAnsi" w:hAnsiTheme="minorHAnsi" w:cstheme="minorHAnsi"/>
          <w:sz w:val="20"/>
          <w:szCs w:val="20"/>
        </w:rPr>
        <w:t>:</w:t>
      </w:r>
    </w:p>
    <w:p w14:paraId="7A446E02" w14:textId="08A587FE" w:rsidR="00415801" w:rsidRPr="00EB2E7B" w:rsidRDefault="00415801" w:rsidP="00C650B4">
      <w:pPr>
        <w:pStyle w:val="Akapitzlist"/>
        <w:numPr>
          <w:ilvl w:val="1"/>
          <w:numId w:val="493"/>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w przypadku powstania sporu przy realizacji postanowień GUD, nieobjętych postępowaniem reklamacyjnym zawartym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Strony w pierwszej kolejności podejmą działania zmierzające do polubownego rozwiązania sporu w drodze wzajemnych negocjacji; Strony uznają, że negocjacje zakończyły się bezskutecznie, jeżeli nie uzgodnią sposobu rozwiązania sporu w terminie 30 dni kalendarzowych od dnia jego pisemnego zgłoszenia drugiej Stronie;</w:t>
      </w:r>
    </w:p>
    <w:p w14:paraId="2E3D34D8" w14:textId="6B938258" w:rsidR="00415801" w:rsidRPr="00EB2E7B" w:rsidRDefault="00415801" w:rsidP="00C650B4">
      <w:pPr>
        <w:pStyle w:val="Akapitzlist"/>
        <w:numPr>
          <w:ilvl w:val="1"/>
          <w:numId w:val="493"/>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 xml:space="preserve">do czasu zakończenia negocjacji określonych w </w:t>
      </w:r>
      <w:proofErr w:type="spellStart"/>
      <w:r w:rsidR="005F3CCC" w:rsidRPr="00EB2E7B">
        <w:rPr>
          <w:rFonts w:asciiTheme="minorHAnsi" w:hAnsiTheme="minorHAnsi" w:cstheme="minorHAnsi"/>
          <w:sz w:val="20"/>
          <w:szCs w:val="20"/>
        </w:rPr>
        <w:t>p</w:t>
      </w:r>
      <w:r w:rsidRPr="00EB2E7B">
        <w:rPr>
          <w:rFonts w:asciiTheme="minorHAnsi" w:hAnsiTheme="minorHAnsi" w:cstheme="minorHAnsi"/>
          <w:sz w:val="20"/>
          <w:szCs w:val="20"/>
        </w:rPr>
        <w:t>p</w:t>
      </w:r>
      <w:r w:rsidR="00114EC4" w:rsidRPr="00EB2E7B">
        <w:rPr>
          <w:rFonts w:asciiTheme="minorHAnsi" w:hAnsiTheme="minorHAnsi" w:cstheme="minorHAnsi"/>
          <w:sz w:val="20"/>
          <w:szCs w:val="20"/>
        </w:rPr>
        <w:t>kt</w:t>
      </w:r>
      <w:proofErr w:type="spellEnd"/>
      <w:r w:rsidR="005F3CCC" w:rsidRPr="00EB2E7B">
        <w:rPr>
          <w:rFonts w:asciiTheme="minorHAnsi" w:hAnsiTheme="minorHAnsi" w:cstheme="minorHAnsi"/>
          <w:sz w:val="20"/>
          <w:szCs w:val="20"/>
        </w:rPr>
        <w:t xml:space="preserve"> </w:t>
      </w:r>
      <w:r w:rsidRPr="00EB2E7B">
        <w:rPr>
          <w:rFonts w:asciiTheme="minorHAnsi" w:hAnsiTheme="minorHAnsi" w:cstheme="minorHAnsi"/>
          <w:sz w:val="20"/>
          <w:szCs w:val="20"/>
        </w:rPr>
        <w:t>1), żadna ze Stron nie skieruje sprawy na drogę postępowania sądowego, chyba że będzie to niezbędne dla zachowania terminu do dochodzenia roszczenia, wynikającego z przepisów prawa;</w:t>
      </w:r>
    </w:p>
    <w:p w14:paraId="7D210E84" w14:textId="509951B3" w:rsidR="00415801" w:rsidRPr="00EB2E7B" w:rsidRDefault="00415801" w:rsidP="00C650B4">
      <w:pPr>
        <w:pStyle w:val="Akapitzlist"/>
        <w:numPr>
          <w:ilvl w:val="1"/>
          <w:numId w:val="493"/>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zgłoszenie reklamacji, wystąpienie lub istnienie sporu dotyczącego GUD albo zgłoszenie wniosku o renegocjacje GUD, nie zwalnia Stron z dotrzymania swoich zobowiązań wynikających z GUD.</w:t>
      </w:r>
    </w:p>
    <w:p w14:paraId="7836EC2A" w14:textId="77777777" w:rsidR="00415801" w:rsidRPr="00EB2E7B" w:rsidRDefault="00415801" w:rsidP="00C650B4">
      <w:pPr>
        <w:pStyle w:val="GUDI"/>
        <w:spacing w:line="264" w:lineRule="auto"/>
        <w:ind w:left="567" w:hanging="567"/>
        <w:rPr>
          <w:rFonts w:asciiTheme="minorHAnsi" w:hAnsiTheme="minorHAnsi" w:cstheme="minorHAnsi"/>
          <w:sz w:val="20"/>
          <w:szCs w:val="20"/>
        </w:rPr>
      </w:pPr>
      <w:r w:rsidRPr="00EB2E7B">
        <w:rPr>
          <w:rFonts w:asciiTheme="minorHAnsi" w:hAnsiTheme="minorHAnsi" w:cstheme="minorHAnsi"/>
          <w:sz w:val="20"/>
          <w:szCs w:val="20"/>
        </w:rPr>
        <w:t>Zmiany, renegocjacje oraz wypowiedzenie GUD:</w:t>
      </w:r>
    </w:p>
    <w:p w14:paraId="6E0EFE2B" w14:textId="6856E873"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Zmiany GUD mogą być dokonywane, po</w:t>
      </w:r>
      <w:r w:rsidR="0035291D" w:rsidRPr="00EB2E7B">
        <w:rPr>
          <w:rFonts w:asciiTheme="minorHAnsi" w:hAnsiTheme="minorHAnsi" w:cstheme="minorHAnsi"/>
          <w:sz w:val="20"/>
          <w:szCs w:val="20"/>
        </w:rPr>
        <w:t>d</w:t>
      </w:r>
      <w:r w:rsidRPr="00EB2E7B">
        <w:rPr>
          <w:rFonts w:asciiTheme="minorHAnsi" w:hAnsiTheme="minorHAnsi" w:cstheme="minorHAnsi"/>
          <w:sz w:val="20"/>
          <w:szCs w:val="20"/>
        </w:rPr>
        <w:t xml:space="preserve"> rygorem nieważności wyłącznie na piśmie w formie aneksu do GUD, za wyjątkiem zmian jednoznacznie przywołanych w GUD, dla których ustalano, że nie wymagają formy aneksu.</w:t>
      </w:r>
    </w:p>
    <w:p w14:paraId="50399BA6"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Jeżeli którekolwiek z postanowień GUD uznane zostanie za nieważne na mocy prawomocnego wyroku sądu lub ostatecznej decyzji innego uprawnionego do tego organu władzy publicznej, pozostaje to bez wpływu na ważność pozostałych postanowień GUD. W takim przypadku Strony niezwłocznie podejmą negocjacje w celu zastąpienia postanowień nieważnych innymi postanowieniami, które będą realizować możliwie zbliżony cel.</w:t>
      </w:r>
    </w:p>
    <w:p w14:paraId="4D151C06" w14:textId="60B4CAC3"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Postanowienia </w:t>
      </w:r>
      <w:r w:rsidR="007C5937" w:rsidRPr="00EB2E7B">
        <w:rPr>
          <w:rFonts w:asciiTheme="minorHAnsi" w:hAnsiTheme="minorHAnsi" w:cstheme="minorHAnsi"/>
          <w:sz w:val="20"/>
          <w:szCs w:val="20"/>
        </w:rPr>
        <w:t>pk</w:t>
      </w:r>
      <w:r w:rsidR="00A61836" w:rsidRPr="00EB2E7B">
        <w:rPr>
          <w:rFonts w:asciiTheme="minorHAnsi" w:hAnsiTheme="minorHAnsi" w:cstheme="minorHAnsi"/>
          <w:sz w:val="20"/>
          <w:szCs w:val="20"/>
        </w:rPr>
        <w:t>t</w:t>
      </w:r>
      <w:r w:rsidR="00C80F8B" w:rsidRPr="00EB2E7B">
        <w:rPr>
          <w:rFonts w:asciiTheme="minorHAnsi" w:hAnsiTheme="minorHAnsi" w:cstheme="minorHAnsi"/>
          <w:sz w:val="20"/>
          <w:szCs w:val="20"/>
        </w:rPr>
        <w:t xml:space="preserve">. </w:t>
      </w:r>
      <w:r w:rsidRPr="00EB2E7B">
        <w:rPr>
          <w:rFonts w:asciiTheme="minorHAnsi" w:hAnsiTheme="minorHAnsi" w:cstheme="minorHAnsi"/>
          <w:sz w:val="20"/>
          <w:szCs w:val="20"/>
        </w:rPr>
        <w:t xml:space="preserve"> 2 stosuje się również, jeżeli po zawarciu GUD wejdą w życie przepisy, na skutek których jakiekolwiek z postanowień GUD stanie się nieważne.</w:t>
      </w:r>
    </w:p>
    <w:p w14:paraId="3DE10186"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W przypadku zmian w zakresie stanu prawnego lub faktycznego mających związek z postanowieniami GUD, Strony zobowiązują się do podjęcia w dobrej wierze jej renegocjacji po kątem dostosowania GUD do nowych okoliczności.</w:t>
      </w:r>
    </w:p>
    <w:p w14:paraId="7C04485E" w14:textId="477D1206"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Jeśli </w:t>
      </w:r>
      <w:r w:rsidR="00344DA3" w:rsidRPr="00EB2E7B">
        <w:rPr>
          <w:rFonts w:asciiTheme="minorHAnsi" w:hAnsiTheme="minorHAnsi" w:cstheme="minorHAnsi"/>
          <w:sz w:val="20"/>
          <w:szCs w:val="20"/>
        </w:rPr>
        <w:t>S</w:t>
      </w:r>
      <w:r w:rsidRPr="00EB2E7B">
        <w:rPr>
          <w:rFonts w:asciiTheme="minorHAnsi" w:hAnsiTheme="minorHAnsi" w:cstheme="minorHAnsi"/>
          <w:sz w:val="20"/>
          <w:szCs w:val="20"/>
        </w:rPr>
        <w:t xml:space="preserve">przedawca nie zgadza się ze zmianami wprowadzonymi w </w:t>
      </w:r>
      <w:proofErr w:type="spellStart"/>
      <w:r w:rsidRPr="00EB2E7B">
        <w:rPr>
          <w:rFonts w:asciiTheme="minorHAnsi" w:hAnsiTheme="minorHAnsi" w:cstheme="minorHAnsi"/>
          <w:sz w:val="20"/>
          <w:szCs w:val="20"/>
        </w:rPr>
        <w:t>IRiESD</w:t>
      </w:r>
      <w:proofErr w:type="spellEnd"/>
      <w:r w:rsidR="00C16578" w:rsidRPr="00EB2E7B">
        <w:rPr>
          <w:rFonts w:asciiTheme="minorHAnsi" w:hAnsiTheme="minorHAnsi" w:cstheme="minorHAnsi"/>
          <w:sz w:val="20"/>
          <w:szCs w:val="20"/>
        </w:rPr>
        <w:t xml:space="preserve">, od dnia produkcyjnego uruchomienia CSIRE przez OIRE – </w:t>
      </w:r>
      <w:proofErr w:type="spellStart"/>
      <w:r w:rsidR="00C16578" w:rsidRPr="00EB2E7B">
        <w:rPr>
          <w:rFonts w:asciiTheme="minorHAnsi" w:hAnsiTheme="minorHAnsi" w:cstheme="minorHAnsi"/>
          <w:sz w:val="20"/>
          <w:szCs w:val="20"/>
        </w:rPr>
        <w:t>IRiESP</w:t>
      </w:r>
      <w:proofErr w:type="spellEnd"/>
      <w:r w:rsidR="00C16578" w:rsidRPr="00EB2E7B">
        <w:rPr>
          <w:rFonts w:asciiTheme="minorHAnsi" w:hAnsiTheme="minorHAnsi" w:cstheme="minorHAnsi"/>
          <w:sz w:val="20"/>
          <w:szCs w:val="20"/>
        </w:rPr>
        <w:t>-OIRE,</w:t>
      </w:r>
      <w:r w:rsidRPr="00EB2E7B">
        <w:rPr>
          <w:rFonts w:asciiTheme="minorHAnsi" w:hAnsiTheme="minorHAnsi" w:cstheme="minorHAnsi"/>
          <w:sz w:val="20"/>
          <w:szCs w:val="20"/>
        </w:rPr>
        <w:t xml:space="preserve"> lub WDB, wówczas ma prawo wypowiedzenia GUD, przy czym oświadczenie o wypowiedzeniu GUD powinno zostać złożone w terminie 10 dni kalendarzowych od dnia opublikowania zmian </w:t>
      </w:r>
      <w:proofErr w:type="spellStart"/>
      <w:r w:rsidRPr="00EB2E7B">
        <w:rPr>
          <w:rFonts w:asciiTheme="minorHAnsi" w:hAnsiTheme="minorHAnsi" w:cstheme="minorHAnsi"/>
          <w:sz w:val="20"/>
          <w:szCs w:val="20"/>
        </w:rPr>
        <w:t>IRiESD</w:t>
      </w:r>
      <w:proofErr w:type="spellEnd"/>
      <w:r w:rsidR="00BE5100" w:rsidRPr="00EB2E7B">
        <w:rPr>
          <w:rFonts w:asciiTheme="minorHAnsi" w:hAnsiTheme="minorHAnsi" w:cstheme="minorHAnsi"/>
          <w:sz w:val="20"/>
          <w:szCs w:val="20"/>
        </w:rPr>
        <w:t xml:space="preserve">, </w:t>
      </w:r>
      <w:proofErr w:type="spellStart"/>
      <w:r w:rsidR="00BE5100" w:rsidRPr="00EB2E7B">
        <w:rPr>
          <w:rFonts w:asciiTheme="minorHAnsi" w:hAnsiTheme="minorHAnsi" w:cstheme="minorHAnsi"/>
          <w:sz w:val="20"/>
          <w:szCs w:val="20"/>
        </w:rPr>
        <w:t>IRiESP</w:t>
      </w:r>
      <w:proofErr w:type="spellEnd"/>
      <w:r w:rsidR="00BE5100" w:rsidRPr="00EB2E7B">
        <w:rPr>
          <w:rFonts w:asciiTheme="minorHAnsi" w:hAnsiTheme="minorHAnsi" w:cstheme="minorHAnsi"/>
          <w:sz w:val="20"/>
          <w:szCs w:val="20"/>
        </w:rPr>
        <w:t>-OIRE</w:t>
      </w:r>
      <w:r w:rsidRPr="00EB2E7B">
        <w:rPr>
          <w:rFonts w:asciiTheme="minorHAnsi" w:hAnsiTheme="minorHAnsi" w:cstheme="minorHAnsi"/>
          <w:sz w:val="20"/>
          <w:szCs w:val="20"/>
        </w:rPr>
        <w:t xml:space="preserve"> lub WDB. </w:t>
      </w:r>
      <w:r w:rsidR="00F50719" w:rsidRPr="00EB2E7B">
        <w:rPr>
          <w:rFonts w:asciiTheme="minorHAnsi" w:hAnsiTheme="minorHAnsi" w:cstheme="minorHAnsi"/>
          <w:sz w:val="20"/>
          <w:szCs w:val="20"/>
        </w:rPr>
        <w:t xml:space="preserve">Jeżeli oświadczenie o wypowiedzeniu GUD zostanie złożone </w:t>
      </w:r>
      <w:r w:rsidR="00396DF5" w:rsidRPr="00EB2E7B">
        <w:rPr>
          <w:rFonts w:asciiTheme="minorHAnsi" w:hAnsiTheme="minorHAnsi" w:cstheme="minorHAnsi"/>
          <w:sz w:val="20"/>
          <w:szCs w:val="20"/>
        </w:rPr>
        <w:t>ACPRO</w:t>
      </w:r>
      <w:r w:rsidR="00F50719" w:rsidRPr="00EB2E7B">
        <w:rPr>
          <w:rFonts w:asciiTheme="minorHAnsi" w:hAnsiTheme="minorHAnsi" w:cstheme="minorHAnsi"/>
          <w:sz w:val="20"/>
          <w:szCs w:val="20"/>
        </w:rPr>
        <w:t xml:space="preserve"> najpóźniej na 2 dni robocze przed dniem wejścia w życie zmienionej </w:t>
      </w:r>
      <w:proofErr w:type="spellStart"/>
      <w:r w:rsidR="00F50719" w:rsidRPr="00EB2E7B">
        <w:rPr>
          <w:rFonts w:asciiTheme="minorHAnsi" w:hAnsiTheme="minorHAnsi" w:cstheme="minorHAnsi"/>
          <w:sz w:val="20"/>
          <w:szCs w:val="20"/>
        </w:rPr>
        <w:t>IRiESD</w:t>
      </w:r>
      <w:proofErr w:type="spellEnd"/>
      <w:r w:rsidR="00186B3C" w:rsidRPr="00EB2E7B">
        <w:rPr>
          <w:rFonts w:asciiTheme="minorHAnsi" w:hAnsiTheme="minorHAnsi" w:cstheme="minorHAnsi"/>
          <w:sz w:val="20"/>
          <w:szCs w:val="20"/>
        </w:rPr>
        <w:t xml:space="preserve">, </w:t>
      </w:r>
      <w:proofErr w:type="spellStart"/>
      <w:r w:rsidR="00186B3C" w:rsidRPr="00EB2E7B">
        <w:rPr>
          <w:rFonts w:asciiTheme="minorHAnsi" w:hAnsiTheme="minorHAnsi" w:cstheme="minorHAnsi"/>
          <w:sz w:val="20"/>
          <w:szCs w:val="20"/>
        </w:rPr>
        <w:t>IRiESP</w:t>
      </w:r>
      <w:proofErr w:type="spellEnd"/>
      <w:r w:rsidR="00186B3C" w:rsidRPr="00EB2E7B">
        <w:rPr>
          <w:rFonts w:asciiTheme="minorHAnsi" w:hAnsiTheme="minorHAnsi" w:cstheme="minorHAnsi"/>
          <w:sz w:val="20"/>
          <w:szCs w:val="20"/>
        </w:rPr>
        <w:t>-OIRE</w:t>
      </w:r>
      <w:r w:rsidR="00F50719" w:rsidRPr="00EB2E7B">
        <w:rPr>
          <w:rFonts w:asciiTheme="minorHAnsi" w:hAnsiTheme="minorHAnsi" w:cstheme="minorHAnsi"/>
          <w:sz w:val="20"/>
          <w:szCs w:val="20"/>
        </w:rPr>
        <w:t xml:space="preserve"> lub WDB, to w takim przypadku wypowiedzenie GUD następuje ze skutkiem na dzień poprzedzający wejście w życie zmienionej </w:t>
      </w:r>
      <w:proofErr w:type="spellStart"/>
      <w:r w:rsidR="00F50719" w:rsidRPr="00EB2E7B">
        <w:rPr>
          <w:rFonts w:asciiTheme="minorHAnsi" w:hAnsiTheme="minorHAnsi" w:cstheme="minorHAnsi"/>
          <w:sz w:val="20"/>
          <w:szCs w:val="20"/>
        </w:rPr>
        <w:t>IRiESD</w:t>
      </w:r>
      <w:proofErr w:type="spellEnd"/>
      <w:r w:rsidR="00941EF2" w:rsidRPr="00EB2E7B">
        <w:rPr>
          <w:rFonts w:asciiTheme="minorHAnsi" w:hAnsiTheme="minorHAnsi" w:cstheme="minorHAnsi"/>
          <w:sz w:val="20"/>
          <w:szCs w:val="20"/>
        </w:rPr>
        <w:t xml:space="preserve">, </w:t>
      </w:r>
      <w:proofErr w:type="spellStart"/>
      <w:r w:rsidR="00941EF2" w:rsidRPr="00EB2E7B">
        <w:rPr>
          <w:rFonts w:asciiTheme="minorHAnsi" w:hAnsiTheme="minorHAnsi" w:cstheme="minorHAnsi"/>
          <w:sz w:val="20"/>
          <w:szCs w:val="20"/>
        </w:rPr>
        <w:t>IRiESP</w:t>
      </w:r>
      <w:proofErr w:type="spellEnd"/>
      <w:r w:rsidR="00941EF2" w:rsidRPr="00EB2E7B">
        <w:rPr>
          <w:rFonts w:asciiTheme="minorHAnsi" w:hAnsiTheme="minorHAnsi" w:cstheme="minorHAnsi"/>
          <w:sz w:val="20"/>
          <w:szCs w:val="20"/>
        </w:rPr>
        <w:t>-OIRE</w:t>
      </w:r>
      <w:r w:rsidR="00F50719" w:rsidRPr="00EB2E7B">
        <w:rPr>
          <w:rFonts w:asciiTheme="minorHAnsi" w:hAnsiTheme="minorHAnsi" w:cstheme="minorHAnsi"/>
          <w:sz w:val="20"/>
          <w:szCs w:val="20"/>
        </w:rPr>
        <w:t xml:space="preserve"> lub </w:t>
      </w:r>
      <w:r w:rsidR="00BF041E" w:rsidRPr="00EB2E7B">
        <w:rPr>
          <w:rFonts w:asciiTheme="minorHAnsi" w:hAnsiTheme="minorHAnsi" w:cstheme="minorHAnsi"/>
          <w:sz w:val="20"/>
          <w:szCs w:val="20"/>
        </w:rPr>
        <w:t xml:space="preserve">zmienionych </w:t>
      </w:r>
      <w:r w:rsidR="00F50719" w:rsidRPr="00EB2E7B">
        <w:rPr>
          <w:rFonts w:asciiTheme="minorHAnsi" w:hAnsiTheme="minorHAnsi" w:cstheme="minorHAnsi"/>
          <w:sz w:val="20"/>
          <w:szCs w:val="20"/>
        </w:rPr>
        <w:t xml:space="preserve">WDB. Jeżeli natomiast oświadczenie o wypowiedzeniu GUD zostanie złożone </w:t>
      </w:r>
      <w:r w:rsidR="006A6A70" w:rsidRPr="00EB2E7B">
        <w:rPr>
          <w:rFonts w:asciiTheme="minorHAnsi" w:hAnsiTheme="minorHAnsi" w:cstheme="minorHAnsi"/>
          <w:sz w:val="20"/>
          <w:szCs w:val="20"/>
        </w:rPr>
        <w:t>ACPRO</w:t>
      </w:r>
      <w:r w:rsidR="00F50719" w:rsidRPr="00EB2E7B">
        <w:rPr>
          <w:rFonts w:asciiTheme="minorHAnsi" w:hAnsiTheme="minorHAnsi" w:cstheme="minorHAnsi"/>
          <w:sz w:val="20"/>
          <w:szCs w:val="20"/>
        </w:rPr>
        <w:t xml:space="preserve"> w terminie późniejszym, ale z zachowaniem powyższego 10-dniowego terminu, to wypowiedzenie GUD następuje ze skutkiem w drugim dniu roboczym po dniu złożenia oświadczenia o wypowiedzeniu. </w:t>
      </w:r>
      <w:r w:rsidRPr="00EB2E7B">
        <w:rPr>
          <w:rFonts w:asciiTheme="minorHAnsi" w:hAnsiTheme="minorHAnsi" w:cstheme="minorHAnsi"/>
          <w:sz w:val="20"/>
          <w:szCs w:val="20"/>
        </w:rPr>
        <w:t xml:space="preserve">W takim przypadku od dnia wejścia w życie zmienionej </w:t>
      </w:r>
      <w:proofErr w:type="spellStart"/>
      <w:r w:rsidRPr="00EB2E7B">
        <w:rPr>
          <w:rFonts w:asciiTheme="minorHAnsi" w:hAnsiTheme="minorHAnsi" w:cstheme="minorHAnsi"/>
          <w:sz w:val="20"/>
          <w:szCs w:val="20"/>
        </w:rPr>
        <w:t>IRiESD</w:t>
      </w:r>
      <w:proofErr w:type="spellEnd"/>
      <w:r w:rsidR="00ED2B16" w:rsidRPr="00EB2E7B">
        <w:rPr>
          <w:rFonts w:asciiTheme="minorHAnsi" w:hAnsiTheme="minorHAnsi" w:cstheme="minorHAnsi"/>
          <w:sz w:val="20"/>
          <w:szCs w:val="20"/>
        </w:rPr>
        <w:t xml:space="preserve">, </w:t>
      </w:r>
      <w:proofErr w:type="spellStart"/>
      <w:r w:rsidR="00ED2B16" w:rsidRPr="00EB2E7B">
        <w:rPr>
          <w:rFonts w:asciiTheme="minorHAnsi" w:hAnsiTheme="minorHAnsi" w:cstheme="minorHAnsi"/>
          <w:sz w:val="20"/>
          <w:szCs w:val="20"/>
        </w:rPr>
        <w:t>IRiESP</w:t>
      </w:r>
      <w:proofErr w:type="spellEnd"/>
      <w:r w:rsidR="00ED2B16" w:rsidRPr="00EB2E7B">
        <w:rPr>
          <w:rFonts w:asciiTheme="minorHAnsi" w:hAnsiTheme="minorHAnsi" w:cstheme="minorHAnsi"/>
          <w:sz w:val="20"/>
          <w:szCs w:val="20"/>
        </w:rPr>
        <w:t>-OIRE</w:t>
      </w:r>
      <w:r w:rsidRPr="00EB2E7B">
        <w:rPr>
          <w:rFonts w:asciiTheme="minorHAnsi" w:hAnsiTheme="minorHAnsi" w:cstheme="minorHAnsi"/>
          <w:sz w:val="20"/>
          <w:szCs w:val="20"/>
        </w:rPr>
        <w:t xml:space="preserve"> lub WDB do dnia wypowiedzenia GUD obowiązują postanowienia nowej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 xml:space="preserve"> lub</w:t>
      </w:r>
      <w:r w:rsidR="00ED2B16" w:rsidRPr="00EB2E7B">
        <w:rPr>
          <w:rFonts w:asciiTheme="minorHAnsi" w:hAnsiTheme="minorHAnsi" w:cstheme="minorHAnsi"/>
          <w:sz w:val="20"/>
          <w:szCs w:val="20"/>
        </w:rPr>
        <w:t xml:space="preserve"> nowych</w:t>
      </w:r>
      <w:r w:rsidRPr="00EB2E7B">
        <w:rPr>
          <w:rFonts w:asciiTheme="minorHAnsi" w:hAnsiTheme="minorHAnsi" w:cstheme="minorHAnsi"/>
          <w:sz w:val="20"/>
          <w:szCs w:val="20"/>
        </w:rPr>
        <w:t xml:space="preserve"> WDB.</w:t>
      </w:r>
    </w:p>
    <w:p w14:paraId="4B59446B" w14:textId="58496530"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Każda ze Stron ma prawo wypowiedzieć GUD z zachowaniem trzymiesięcznego okresu wypowiedzenia, ze skutkiem na koniec miesiąca kalendarzowego. Wypowiedzenie wymaga dla swej skuteczności zachowania formy pisemne</w:t>
      </w:r>
      <w:r w:rsidR="00724C12" w:rsidRPr="00EB2E7B">
        <w:rPr>
          <w:rFonts w:asciiTheme="minorHAnsi" w:hAnsiTheme="minorHAnsi" w:cstheme="minorHAnsi"/>
          <w:sz w:val="20"/>
          <w:szCs w:val="20"/>
        </w:rPr>
        <w:t>j, elektronicznej lub elektronicznego</w:t>
      </w:r>
      <w:r w:rsidRPr="00EB2E7B">
        <w:rPr>
          <w:rFonts w:asciiTheme="minorHAnsi" w:hAnsiTheme="minorHAnsi" w:cstheme="minorHAnsi"/>
          <w:sz w:val="20"/>
          <w:szCs w:val="20"/>
        </w:rPr>
        <w:t xml:space="preserve"> zawiadomienia drugiej </w:t>
      </w:r>
      <w:r w:rsidRPr="00EB2E7B">
        <w:rPr>
          <w:rFonts w:asciiTheme="minorHAnsi" w:hAnsiTheme="minorHAnsi" w:cstheme="minorHAnsi"/>
          <w:sz w:val="20"/>
          <w:szCs w:val="20"/>
        </w:rPr>
        <w:lastRenderedPageBreak/>
        <w:t>Strony</w:t>
      </w:r>
      <w:r w:rsidR="001613DE" w:rsidRPr="00EB2E7B">
        <w:rPr>
          <w:rFonts w:asciiTheme="minorHAnsi" w:hAnsiTheme="minorHAnsi" w:cstheme="minorHAnsi"/>
          <w:sz w:val="20"/>
          <w:szCs w:val="20"/>
        </w:rPr>
        <w:t xml:space="preserve"> na adres e-mail wskazany w GUD</w:t>
      </w:r>
      <w:r w:rsidRPr="00EB2E7B">
        <w:rPr>
          <w:rFonts w:asciiTheme="minorHAnsi" w:hAnsiTheme="minorHAnsi" w:cstheme="minorHAnsi"/>
          <w:sz w:val="20"/>
          <w:szCs w:val="20"/>
        </w:rPr>
        <w:t>. Strony dopuszczają możliwość rozwiązania GUD w innym, wzajemnie uzgodnionym terminie.</w:t>
      </w:r>
    </w:p>
    <w:p w14:paraId="7A875AF7" w14:textId="4E14ABAE" w:rsidR="00F41EE0"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Każda ze Stron ma również prawo rozwiązania GUD z zachowaniem jednomiesięcznego okresu wypowiedzenia, w przypadkach istotnego zawinionego naruszenia przez drugą Stronę warunków GUD, jeśli przyczyny i skutki naruszenia nie został</w:t>
      </w:r>
      <w:r w:rsidR="00570AD9" w:rsidRPr="00EB2E7B">
        <w:rPr>
          <w:rFonts w:asciiTheme="minorHAnsi" w:hAnsiTheme="minorHAnsi" w:cstheme="minorHAnsi"/>
          <w:sz w:val="20"/>
          <w:szCs w:val="20"/>
        </w:rPr>
        <w:t>y</w:t>
      </w:r>
      <w:r w:rsidRPr="00EB2E7B">
        <w:rPr>
          <w:rFonts w:asciiTheme="minorHAnsi" w:hAnsiTheme="minorHAnsi" w:cstheme="minorHAnsi"/>
          <w:sz w:val="20"/>
          <w:szCs w:val="20"/>
        </w:rPr>
        <w:t xml:space="preserve"> usunięte w</w:t>
      </w:r>
      <w:r w:rsidR="00FC3105" w:rsidRPr="00EB2E7B">
        <w:rPr>
          <w:rFonts w:asciiTheme="minorHAnsi" w:hAnsiTheme="minorHAnsi" w:cstheme="minorHAnsi"/>
          <w:sz w:val="20"/>
          <w:szCs w:val="20"/>
        </w:rPr>
        <w:t> </w:t>
      </w:r>
      <w:r w:rsidRPr="00EB2E7B">
        <w:rPr>
          <w:rFonts w:asciiTheme="minorHAnsi" w:hAnsiTheme="minorHAnsi" w:cstheme="minorHAnsi"/>
          <w:sz w:val="20"/>
          <w:szCs w:val="20"/>
        </w:rPr>
        <w:t>terminie 14 dni kalendarzowych od daty otrzymania pisemnego zgłoszenia żądania ich usunięcia zawierającego:</w:t>
      </w:r>
    </w:p>
    <w:p w14:paraId="0E82E887" w14:textId="77777777" w:rsidR="00A319C5" w:rsidRPr="00EB2E7B" w:rsidRDefault="00A319C5" w:rsidP="00C650B4">
      <w:pPr>
        <w:pStyle w:val="Akapitzlist"/>
        <w:numPr>
          <w:ilvl w:val="0"/>
          <w:numId w:val="494"/>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stwierdzenie przyczyny uzasadniającej wypowiedzenie GUD,</w:t>
      </w:r>
    </w:p>
    <w:p w14:paraId="22211D68" w14:textId="0B7E7CB5" w:rsidR="00A319C5" w:rsidRPr="00EB2E7B" w:rsidRDefault="00A319C5" w:rsidP="00C650B4">
      <w:pPr>
        <w:pStyle w:val="Akapitzlist"/>
        <w:numPr>
          <w:ilvl w:val="0"/>
          <w:numId w:val="494"/>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określenie istotnych szczegółów naruszenia,</w:t>
      </w:r>
    </w:p>
    <w:p w14:paraId="0D6A9111" w14:textId="7E32656A" w:rsidR="00415801" w:rsidRPr="00EB2E7B" w:rsidRDefault="00415801" w:rsidP="00C650B4">
      <w:pPr>
        <w:spacing w:line="264" w:lineRule="auto"/>
        <w:ind w:left="1134" w:firstLine="0"/>
        <w:rPr>
          <w:rFonts w:asciiTheme="minorHAnsi" w:hAnsiTheme="minorHAnsi" w:cstheme="minorHAnsi"/>
          <w:sz w:val="20"/>
          <w:szCs w:val="20"/>
        </w:rPr>
      </w:pPr>
      <w:r w:rsidRPr="00EB2E7B">
        <w:rPr>
          <w:rFonts w:asciiTheme="minorHAnsi" w:hAnsiTheme="minorHAnsi" w:cstheme="minorHAnsi"/>
          <w:sz w:val="20"/>
          <w:szCs w:val="20"/>
        </w:rPr>
        <w:t xml:space="preserve">Prawo rozwiązania GUD, o którym mowa w niniejszym </w:t>
      </w:r>
      <w:r w:rsidRPr="00EB2E7B" w:rsidDel="005B1430">
        <w:rPr>
          <w:rFonts w:asciiTheme="minorHAnsi" w:hAnsiTheme="minorHAnsi" w:cstheme="minorHAnsi"/>
          <w:sz w:val="20"/>
          <w:szCs w:val="20"/>
        </w:rPr>
        <w:t xml:space="preserve">ustępie </w:t>
      </w:r>
      <w:r w:rsidRPr="00EB2E7B">
        <w:rPr>
          <w:rFonts w:asciiTheme="minorHAnsi" w:hAnsiTheme="minorHAnsi" w:cstheme="minorHAnsi"/>
          <w:sz w:val="20"/>
          <w:szCs w:val="20"/>
        </w:rPr>
        <w:t>nie przysługuje Stronie, która poprzez swoje umyślne działanie spowodowała istotne naruszenie postanowień GUD.</w:t>
      </w:r>
    </w:p>
    <w:p w14:paraId="4C4BF1BF" w14:textId="45123721"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ACPRO ma prawo, bez ponoszenia odpowiedzialności z tego tytułu, niezależnie od ograniczenia lub wstrzymania świadczenia usług będących przedmiotem GUD, do rozwiązania GUD ze skutkiem natychmiastowym w przypadku:</w:t>
      </w:r>
    </w:p>
    <w:p w14:paraId="18860B8C" w14:textId="201EC073" w:rsidR="00415801" w:rsidRPr="00EB2E7B" w:rsidRDefault="00415801" w:rsidP="00C650B4">
      <w:pPr>
        <w:pStyle w:val="Akapitzlist"/>
        <w:numPr>
          <w:ilvl w:val="0"/>
          <w:numId w:val="494"/>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cofnięcia przez Prezesa URE lub upływu okresu obowiązywania koncesji przywołanej w GUD, niezbędnej do zawarcia i realizacji GUD;</w:t>
      </w:r>
    </w:p>
    <w:p w14:paraId="6975C78F" w14:textId="3E067161" w:rsidR="00415801" w:rsidRPr="00EB2E7B" w:rsidRDefault="00415801" w:rsidP="00C650B4">
      <w:pPr>
        <w:pStyle w:val="Akapitzlist"/>
        <w:numPr>
          <w:ilvl w:val="0"/>
          <w:numId w:val="494"/>
        </w:numPr>
        <w:spacing w:line="264" w:lineRule="auto"/>
        <w:ind w:left="1701" w:hanging="567"/>
        <w:contextualSpacing w:val="0"/>
        <w:rPr>
          <w:rFonts w:asciiTheme="minorHAnsi" w:hAnsiTheme="minorHAnsi" w:cstheme="minorHAnsi"/>
          <w:sz w:val="20"/>
          <w:szCs w:val="20"/>
        </w:rPr>
      </w:pPr>
      <w:r w:rsidRPr="00EB2E7B">
        <w:rPr>
          <w:rFonts w:asciiTheme="minorHAnsi" w:hAnsiTheme="minorHAnsi" w:cstheme="minorHAnsi"/>
          <w:sz w:val="20"/>
          <w:szCs w:val="20"/>
        </w:rPr>
        <w:t>braku POB</w:t>
      </w:r>
      <w:r w:rsidR="003C57AF" w:rsidRPr="00EB2E7B">
        <w:rPr>
          <w:rFonts w:asciiTheme="minorHAnsi" w:hAnsiTheme="minorHAnsi" w:cstheme="minorHAnsi"/>
          <w:sz w:val="20"/>
          <w:szCs w:val="20"/>
          <w:vertAlign w:val="subscript"/>
        </w:rPr>
        <w:t>Z</w:t>
      </w:r>
      <w:r w:rsidRPr="00EB2E7B">
        <w:rPr>
          <w:rFonts w:asciiTheme="minorHAnsi" w:hAnsiTheme="minorHAnsi" w:cstheme="minorHAnsi"/>
          <w:sz w:val="20"/>
          <w:szCs w:val="20"/>
        </w:rPr>
        <w:t xml:space="preserve"> sprzedawcy;</w:t>
      </w:r>
    </w:p>
    <w:p w14:paraId="6675A0A6"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Sprzedawca ma prawo do rozwiązania GUD ze skutkiem natychmiastowym w przypadku cofnięcia przez Prezesa URE lub upływu okresu obowiązywania koncesji ACPRO na dystrybucję energii elektrycznej lub utraty przez ACPRO statusu operatora systemu dystrybucyjnego.</w:t>
      </w:r>
    </w:p>
    <w:p w14:paraId="49A0E921" w14:textId="51704D5B"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Oświadczenie Strony o wypowiedzeniu lub rozwiązaniu GUD powinno być pod rygorem nieważności złożone drugiej Stronie </w:t>
      </w:r>
      <w:r w:rsidR="001613DE" w:rsidRPr="00EB2E7B">
        <w:rPr>
          <w:rFonts w:asciiTheme="minorHAnsi" w:hAnsiTheme="minorHAnsi" w:cstheme="minorHAnsi"/>
          <w:sz w:val="20"/>
          <w:szCs w:val="20"/>
        </w:rPr>
        <w:t xml:space="preserve">w formie pisemnej </w:t>
      </w:r>
      <w:r w:rsidRPr="00EB2E7B">
        <w:rPr>
          <w:rFonts w:asciiTheme="minorHAnsi" w:hAnsiTheme="minorHAnsi" w:cstheme="minorHAnsi"/>
          <w:sz w:val="20"/>
          <w:szCs w:val="20"/>
        </w:rPr>
        <w:t>na adres wskazany w </w:t>
      </w:r>
      <w:r w:rsidR="003E4E8E" w:rsidRPr="00EB2E7B">
        <w:rPr>
          <w:rFonts w:asciiTheme="minorHAnsi" w:hAnsiTheme="minorHAnsi" w:cstheme="minorHAnsi"/>
          <w:sz w:val="20"/>
          <w:szCs w:val="20"/>
        </w:rPr>
        <w:t>Z</w:t>
      </w:r>
      <w:r w:rsidRPr="00EB2E7B">
        <w:rPr>
          <w:rFonts w:asciiTheme="minorHAnsi" w:hAnsiTheme="minorHAnsi" w:cstheme="minorHAnsi"/>
          <w:sz w:val="20"/>
          <w:szCs w:val="20"/>
        </w:rPr>
        <w:t>ałączniku do GUD</w:t>
      </w:r>
      <w:r w:rsidR="00AD6CB3" w:rsidRPr="00EB2E7B">
        <w:rPr>
          <w:rFonts w:asciiTheme="minorHAnsi" w:hAnsiTheme="minorHAnsi" w:cstheme="minorHAnsi"/>
          <w:sz w:val="20"/>
          <w:szCs w:val="20"/>
        </w:rPr>
        <w:t xml:space="preserve"> lub</w:t>
      </w:r>
      <w:r w:rsidR="007A1F13" w:rsidRPr="00EB2E7B">
        <w:rPr>
          <w:rFonts w:asciiTheme="minorHAnsi" w:hAnsiTheme="minorHAnsi" w:cstheme="minorHAnsi"/>
          <w:sz w:val="20"/>
          <w:szCs w:val="20"/>
        </w:rPr>
        <w:t xml:space="preserve"> </w:t>
      </w:r>
      <w:r w:rsidR="001613DE" w:rsidRPr="00EB2E7B">
        <w:rPr>
          <w:rFonts w:asciiTheme="minorHAnsi" w:hAnsiTheme="minorHAnsi" w:cstheme="minorHAnsi"/>
          <w:sz w:val="20"/>
          <w:szCs w:val="20"/>
        </w:rPr>
        <w:t>formie elektronicznej</w:t>
      </w:r>
      <w:r w:rsidR="00AD6CB3" w:rsidRPr="00EB2E7B">
        <w:rPr>
          <w:rFonts w:asciiTheme="minorHAnsi" w:hAnsiTheme="minorHAnsi" w:cstheme="minorHAnsi"/>
          <w:sz w:val="20"/>
          <w:szCs w:val="20"/>
        </w:rPr>
        <w:t>.</w:t>
      </w:r>
    </w:p>
    <w:p w14:paraId="3D1C7540" w14:textId="470CF4A3" w:rsidR="00415801" w:rsidRPr="00EB2E7B" w:rsidRDefault="00415801" w:rsidP="00C650B4">
      <w:pPr>
        <w:pStyle w:val="GUDI"/>
        <w:spacing w:line="264" w:lineRule="auto"/>
        <w:ind w:left="567" w:hanging="567"/>
        <w:rPr>
          <w:rFonts w:asciiTheme="minorHAnsi" w:hAnsiTheme="minorHAnsi" w:cstheme="minorHAnsi"/>
          <w:sz w:val="20"/>
          <w:szCs w:val="20"/>
        </w:rPr>
      </w:pPr>
      <w:r w:rsidRPr="00EB2E7B">
        <w:rPr>
          <w:rFonts w:asciiTheme="minorHAnsi" w:hAnsiTheme="minorHAnsi" w:cstheme="minorHAnsi"/>
          <w:sz w:val="20"/>
          <w:szCs w:val="20"/>
        </w:rPr>
        <w:t>Zasady sprzedaży rezerwowej:</w:t>
      </w:r>
    </w:p>
    <w:p w14:paraId="07CADF10" w14:textId="0D69110B" w:rsidR="00415801" w:rsidRPr="00EB2E7B" w:rsidRDefault="00415801" w:rsidP="00C650B4">
      <w:pPr>
        <w:pStyle w:val="Gwny2"/>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 xml:space="preserve">Zasady sprzedaży rezerwowej na podstawie umowy sprzedaży rezerwowej oraz warunki współpracy ACPRO i sprzedawcy w tym zakresie, zawarte są w Ustawie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a od dnia przystąpienia ACPRO do CSIRE – w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xml:space="preserve"> i </w:t>
      </w:r>
      <w:proofErr w:type="spellStart"/>
      <w:r>
        <w:rPr>
          <w:rFonts w:asciiTheme="minorHAnsi" w:hAnsiTheme="minorHAnsi" w:cstheme="minorHAnsi"/>
          <w:sz w:val="20"/>
          <w:szCs w:val="20"/>
        </w:rPr>
        <w:t>IRiESP</w:t>
      </w:r>
      <w:proofErr w:type="spellEnd"/>
      <w:r>
        <w:rPr>
          <w:rFonts w:asciiTheme="minorHAnsi" w:hAnsiTheme="minorHAnsi" w:cstheme="minorHAnsi"/>
          <w:sz w:val="20"/>
          <w:szCs w:val="20"/>
        </w:rPr>
        <w:t>-OIRE.</w:t>
      </w:r>
    </w:p>
    <w:p w14:paraId="0CDC0EE1"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Pr>
          <w:rFonts w:asciiTheme="minorHAnsi" w:hAnsiTheme="minorHAnsi" w:cstheme="minorHAnsi"/>
          <w:sz w:val="20"/>
          <w:szCs w:val="20"/>
        </w:rPr>
        <w:t>(do dnia poprzedzającego przystąpienie ACPRO do CSIRE) Sprzedawca rezerwowy:</w:t>
      </w:r>
    </w:p>
    <w:p w14:paraId="71338BB4" w14:textId="2200009D" w:rsidR="00415801" w:rsidRPr="00EB2E7B" w:rsidRDefault="00415801" w:rsidP="00C650B4">
      <w:pPr>
        <w:pStyle w:val="Akapitzlist"/>
        <w:numPr>
          <w:ilvl w:val="0"/>
          <w:numId w:val="495"/>
        </w:numPr>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przekazuje ACPRO aktualną informację o adresie strony internetowej, na której zostały opublikowane warunki sprzedaży rezerwowej. W przypadku zmiany ww. adresu strony internetowej, sprzedawca przekazuje ACPRO nowy adres strony internetowej, co najmniej 14 dni kalendarzowych przed terminem zmiany tego adresu. Powyższe informacje przekazuje ACPRO w formie elektronicznej na adres poczty elektronicznej wskazany w GUD,</w:t>
      </w:r>
    </w:p>
    <w:p w14:paraId="61835A8C" w14:textId="041E2401" w:rsidR="00415801" w:rsidRPr="00EB2E7B" w:rsidRDefault="00415801" w:rsidP="00C650B4">
      <w:pPr>
        <w:pStyle w:val="Akapitzlist"/>
        <w:numPr>
          <w:ilvl w:val="0"/>
          <w:numId w:val="495"/>
        </w:numPr>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w razie zaistnienia, określonych w Ustawie i </w:t>
      </w:r>
      <w:proofErr w:type="spellStart"/>
      <w:r>
        <w:rPr>
          <w:rFonts w:asciiTheme="minorHAnsi" w:hAnsiTheme="minorHAnsi" w:cstheme="minorHAnsi"/>
          <w:sz w:val="20"/>
          <w:szCs w:val="20"/>
        </w:rPr>
        <w:t>IRiESD</w:t>
      </w:r>
      <w:proofErr w:type="spellEnd"/>
      <w:r>
        <w:rPr>
          <w:rFonts w:asciiTheme="minorHAnsi" w:hAnsiTheme="minorHAnsi" w:cstheme="minorHAnsi"/>
          <w:sz w:val="20"/>
          <w:szCs w:val="20"/>
        </w:rPr>
        <w:t>, podstaw do rozpoczęcia sprzedaży rezerwowej, otrzymuje od ACPRO informację o zawarciu z mocy prawa umowy sprzedaży rezerwowej oraz o dacie zawarcia tej umowy,</w:t>
      </w:r>
    </w:p>
    <w:p w14:paraId="073584E7" w14:textId="644EBD1D" w:rsidR="00415801" w:rsidRPr="00EB2E7B" w:rsidRDefault="00415801" w:rsidP="00C650B4">
      <w:pPr>
        <w:pStyle w:val="Akapitzlist"/>
        <w:numPr>
          <w:ilvl w:val="0"/>
          <w:numId w:val="495"/>
        </w:numPr>
        <w:spacing w:line="264" w:lineRule="auto"/>
        <w:ind w:left="1701" w:hanging="567"/>
        <w:contextualSpacing w:val="0"/>
        <w:rPr>
          <w:rFonts w:asciiTheme="minorHAnsi" w:hAnsiTheme="minorHAnsi" w:cstheme="minorHAnsi"/>
          <w:sz w:val="20"/>
          <w:szCs w:val="20"/>
        </w:rPr>
      </w:pPr>
      <w:r>
        <w:rPr>
          <w:rFonts w:asciiTheme="minorHAnsi" w:hAnsiTheme="minorHAnsi" w:cstheme="minorHAnsi"/>
          <w:sz w:val="20"/>
          <w:szCs w:val="20"/>
        </w:rPr>
        <w:t xml:space="preserve">otrzymuje informację, o której mowa w </w:t>
      </w:r>
      <w:proofErr w:type="spellStart"/>
      <w:r>
        <w:rPr>
          <w:rFonts w:asciiTheme="minorHAnsi" w:hAnsiTheme="minorHAnsi" w:cstheme="minorHAnsi"/>
          <w:sz w:val="20"/>
          <w:szCs w:val="20"/>
        </w:rPr>
        <w:t>ppkt</w:t>
      </w:r>
      <w:proofErr w:type="spellEnd"/>
      <w:r>
        <w:rPr>
          <w:rFonts w:asciiTheme="minorHAnsi" w:hAnsiTheme="minorHAnsi" w:cstheme="minorHAnsi"/>
          <w:sz w:val="20"/>
          <w:szCs w:val="20"/>
        </w:rPr>
        <w:t xml:space="preserve"> 2), wraz z danymi URD, w formie komunikatu udostępnianego poprzez system, o którym mowa w GUD, lub w formie e-mail na adres poczty elektronicznej wskazany w GUD.</w:t>
      </w:r>
    </w:p>
    <w:p w14:paraId="2B40890B" w14:textId="77777777" w:rsidR="00415801" w:rsidRPr="00EB2E7B" w:rsidRDefault="00415801" w:rsidP="00C650B4">
      <w:pPr>
        <w:pStyle w:val="GUDI"/>
        <w:spacing w:line="264" w:lineRule="auto"/>
        <w:ind w:left="567" w:hanging="567"/>
        <w:rPr>
          <w:rFonts w:asciiTheme="minorHAnsi" w:hAnsiTheme="minorHAnsi" w:cstheme="minorHAnsi"/>
          <w:sz w:val="20"/>
          <w:szCs w:val="20"/>
        </w:rPr>
      </w:pPr>
      <w:r w:rsidRPr="00EB2E7B">
        <w:rPr>
          <w:rFonts w:asciiTheme="minorHAnsi" w:hAnsiTheme="minorHAnsi" w:cstheme="minorHAnsi"/>
          <w:sz w:val="20"/>
          <w:szCs w:val="20"/>
        </w:rPr>
        <w:t>Postanowienia końcowe:</w:t>
      </w:r>
    </w:p>
    <w:p w14:paraId="65D6303A"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lastRenderedPageBreak/>
        <w:t>Prawem właściwym dla GUD jest prawo polskie.</w:t>
      </w:r>
    </w:p>
    <w:p w14:paraId="65051AFA"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Wszelkie spory pomiędzy Stronami wynikające z niniejszej GUD będą rozpoznawane przez sąd zgodnie z właściwością ogólną.</w:t>
      </w:r>
    </w:p>
    <w:p w14:paraId="0FE8D6F8" w14:textId="77777777" w:rsidR="00415801" w:rsidRPr="00EB2E7B" w:rsidRDefault="00415801"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GUD jest sporządzona w języku polskim.</w:t>
      </w:r>
    </w:p>
    <w:p w14:paraId="78E90E4E" w14:textId="73E0FAE4" w:rsidR="00254549" w:rsidRPr="00EB2E7B" w:rsidRDefault="00254549"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 xml:space="preserve">Definicje skrótów zawartych w GUD znajdują swoje rozwinięcie w </w:t>
      </w:r>
      <w:proofErr w:type="spellStart"/>
      <w:r w:rsidRPr="00EB2E7B">
        <w:rPr>
          <w:rFonts w:asciiTheme="minorHAnsi" w:hAnsiTheme="minorHAnsi" w:cstheme="minorHAnsi"/>
          <w:sz w:val="20"/>
          <w:szCs w:val="20"/>
        </w:rPr>
        <w:t>IRiESD</w:t>
      </w:r>
      <w:proofErr w:type="spellEnd"/>
      <w:r w:rsidRPr="00EB2E7B">
        <w:rPr>
          <w:rFonts w:asciiTheme="minorHAnsi" w:hAnsiTheme="minorHAnsi" w:cstheme="minorHAnsi"/>
          <w:sz w:val="20"/>
          <w:szCs w:val="20"/>
        </w:rPr>
        <w:t>.</w:t>
      </w:r>
    </w:p>
    <w:p w14:paraId="4D402313" w14:textId="57F28CEC" w:rsidR="008F19D3" w:rsidRPr="00EB2E7B" w:rsidRDefault="008F19D3" w:rsidP="00C650B4">
      <w:pPr>
        <w:pStyle w:val="Gwny2"/>
        <w:spacing w:line="264" w:lineRule="auto"/>
        <w:ind w:left="1134" w:hanging="567"/>
        <w:rPr>
          <w:rFonts w:asciiTheme="minorHAnsi" w:hAnsiTheme="minorHAnsi" w:cstheme="minorHAnsi"/>
          <w:sz w:val="20"/>
          <w:szCs w:val="20"/>
        </w:rPr>
      </w:pPr>
      <w:r w:rsidRPr="00EB2E7B">
        <w:rPr>
          <w:rFonts w:asciiTheme="minorHAnsi" w:hAnsiTheme="minorHAnsi" w:cstheme="minorHAnsi"/>
          <w:sz w:val="20"/>
          <w:szCs w:val="20"/>
        </w:rPr>
        <w:t>Integralną częś</w:t>
      </w:r>
      <w:r w:rsidR="000E6256" w:rsidRPr="00EB2E7B">
        <w:rPr>
          <w:rFonts w:asciiTheme="minorHAnsi" w:hAnsiTheme="minorHAnsi" w:cstheme="minorHAnsi"/>
          <w:sz w:val="20"/>
          <w:szCs w:val="20"/>
        </w:rPr>
        <w:t>ć</w:t>
      </w:r>
      <w:r w:rsidRPr="00EB2E7B">
        <w:rPr>
          <w:rFonts w:asciiTheme="minorHAnsi" w:hAnsiTheme="minorHAnsi" w:cstheme="minorHAnsi"/>
          <w:sz w:val="20"/>
          <w:szCs w:val="20"/>
        </w:rPr>
        <w:t xml:space="preserve"> GUD stanowią Załączniki GUD. Dla celów realizacji GUD stosuje się wzory </w:t>
      </w:r>
      <w:r w:rsidR="000E6256" w:rsidRPr="00EB2E7B">
        <w:rPr>
          <w:rFonts w:asciiTheme="minorHAnsi" w:hAnsiTheme="minorHAnsi" w:cstheme="minorHAnsi"/>
          <w:sz w:val="20"/>
          <w:szCs w:val="20"/>
        </w:rPr>
        <w:t xml:space="preserve">dokumentów określone w załącznikach GUD. </w:t>
      </w:r>
    </w:p>
    <w:p w14:paraId="728B9C04" w14:textId="77777777" w:rsidR="00415801" w:rsidRPr="00EB2E7B" w:rsidRDefault="00415801" w:rsidP="00415801">
      <w:pPr>
        <w:spacing w:line="266" w:lineRule="auto"/>
        <w:ind w:left="357" w:firstLine="0"/>
        <w:rPr>
          <w:rFonts w:asciiTheme="minorHAnsi" w:hAnsiTheme="minorHAnsi" w:cstheme="minorHAnsi"/>
          <w:sz w:val="20"/>
          <w:szCs w:val="20"/>
        </w:rPr>
      </w:pPr>
    </w:p>
    <w:p w14:paraId="1E443361" w14:textId="77777777" w:rsidR="00415801" w:rsidRPr="00EB2E7B" w:rsidRDefault="00415801" w:rsidP="00415801">
      <w:pPr>
        <w:ind w:left="70" w:firstLine="0"/>
        <w:jc w:val="center"/>
        <w:rPr>
          <w:rFonts w:asciiTheme="minorHAnsi" w:hAnsiTheme="minorHAnsi" w:cstheme="minorHAnsi"/>
          <w:sz w:val="20"/>
          <w:szCs w:val="20"/>
        </w:rPr>
      </w:pPr>
    </w:p>
    <w:sectPr w:rsidR="00415801" w:rsidRPr="00EB2E7B" w:rsidSect="00072CE8">
      <w:headerReference w:type="even" r:id="rId32"/>
      <w:headerReference w:type="default" r:id="rId33"/>
      <w:footerReference w:type="even" r:id="rId34"/>
      <w:footerReference w:type="default" r:id="rId35"/>
      <w:headerReference w:type="first" r:id="rId36"/>
      <w:footerReference w:type="first" r:id="rId37"/>
      <w:pgSz w:w="11906" w:h="16841"/>
      <w:pgMar w:top="1598" w:right="1311" w:bottom="2288" w:left="1414" w:header="919" w:footer="7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B851" w14:textId="77777777" w:rsidR="00792922" w:rsidRDefault="00792922">
      <w:pPr>
        <w:spacing w:after="0" w:line="240" w:lineRule="auto"/>
      </w:pPr>
      <w:r>
        <w:separator/>
      </w:r>
    </w:p>
  </w:endnote>
  <w:endnote w:type="continuationSeparator" w:id="0">
    <w:p w14:paraId="640901D6" w14:textId="77777777" w:rsidR="00792922" w:rsidRDefault="00792922">
      <w:pPr>
        <w:spacing w:after="0" w:line="240" w:lineRule="auto"/>
      </w:pPr>
      <w:r>
        <w:continuationSeparator/>
      </w:r>
    </w:p>
  </w:endnote>
  <w:endnote w:type="continuationNotice" w:id="1">
    <w:p w14:paraId="1A2A33FF" w14:textId="77777777" w:rsidR="00792922" w:rsidRDefault="007929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1"/>
      <w:tblpPr w:vertAnchor="page" w:horzAnchor="page" w:tblpX="1424" w:tblpY="14938"/>
      <w:tblOverlap w:val="never"/>
      <w:tblW w:w="8639" w:type="dxa"/>
      <w:tblInd w:w="0" w:type="dxa"/>
      <w:tblCellMar>
        <w:top w:w="9" w:type="dxa"/>
        <w:left w:w="70" w:type="dxa"/>
        <w:right w:w="10" w:type="dxa"/>
      </w:tblCellMar>
      <w:tblLook w:val="04A0" w:firstRow="1" w:lastRow="0" w:firstColumn="1" w:lastColumn="0" w:noHBand="0" w:noVBand="1"/>
    </w:tblPr>
    <w:tblGrid>
      <w:gridCol w:w="4387"/>
      <w:gridCol w:w="1263"/>
      <w:gridCol w:w="2989"/>
    </w:tblGrid>
    <w:tr w:rsidR="00517C05" w14:paraId="1A8071A9" w14:textId="77777777">
      <w:trPr>
        <w:trHeight w:val="343"/>
      </w:trPr>
      <w:tc>
        <w:tcPr>
          <w:tcW w:w="5651" w:type="dxa"/>
          <w:gridSpan w:val="2"/>
          <w:tcBorders>
            <w:top w:val="single" w:sz="4" w:space="0" w:color="000000"/>
            <w:left w:val="single" w:sz="4" w:space="0" w:color="000000"/>
            <w:bottom w:val="single" w:sz="4" w:space="0" w:color="000000"/>
            <w:right w:val="single" w:sz="4" w:space="0" w:color="000000"/>
          </w:tcBorders>
        </w:tcPr>
        <w:p w14:paraId="01B082FC" w14:textId="77777777" w:rsidR="00517C05" w:rsidRDefault="00517C05">
          <w:pPr>
            <w:spacing w:after="0" w:line="259" w:lineRule="auto"/>
            <w:ind w:left="0" w:firstLine="0"/>
            <w:jc w:val="left"/>
          </w:pPr>
          <w:r>
            <w:rPr>
              <w:i/>
              <w:sz w:val="20"/>
            </w:rPr>
            <w:t xml:space="preserve">Instrukcja Ruchu i Eksploatacji Sieci Dystrybucyjnej </w:t>
          </w:r>
        </w:p>
      </w:tc>
      <w:tc>
        <w:tcPr>
          <w:tcW w:w="2989" w:type="dxa"/>
          <w:tcBorders>
            <w:top w:val="single" w:sz="4" w:space="0" w:color="000000"/>
            <w:left w:val="single" w:sz="4" w:space="0" w:color="000000"/>
            <w:bottom w:val="single" w:sz="4" w:space="0" w:color="000000"/>
            <w:right w:val="single" w:sz="4" w:space="0" w:color="000000"/>
          </w:tcBorders>
        </w:tcPr>
        <w:p w14:paraId="6B9DA99A" w14:textId="77777777" w:rsidR="00517C05" w:rsidRDefault="00517C05">
          <w:pPr>
            <w:spacing w:after="0" w:line="259" w:lineRule="auto"/>
            <w:ind w:left="0" w:right="58" w:firstLine="0"/>
            <w:jc w:val="right"/>
          </w:pPr>
          <w:r>
            <w:rPr>
              <w:i/>
              <w:sz w:val="20"/>
            </w:rPr>
            <w:t>Strona</w:t>
          </w:r>
          <w:r>
            <w:rPr>
              <w:i/>
            </w:rPr>
            <w:t xml:space="preserve">: </w:t>
          </w:r>
          <w:r>
            <w:fldChar w:fldCharType="begin"/>
          </w:r>
          <w:r>
            <w:instrText xml:space="preserve"> PAGE   \* MERGEFORMAT </w:instrText>
          </w:r>
          <w:r>
            <w:fldChar w:fldCharType="separate"/>
          </w:r>
          <w:r w:rsidRPr="00735C3C">
            <w:rPr>
              <w:i/>
              <w:noProof/>
            </w:rPr>
            <w:t>6</w:t>
          </w:r>
          <w:r>
            <w:rPr>
              <w:i/>
            </w:rPr>
            <w:fldChar w:fldCharType="end"/>
          </w:r>
        </w:p>
      </w:tc>
    </w:tr>
    <w:tr w:rsidR="00517C05" w14:paraId="5048F180" w14:textId="77777777">
      <w:trPr>
        <w:trHeight w:val="367"/>
      </w:trPr>
      <w:tc>
        <w:tcPr>
          <w:tcW w:w="4388" w:type="dxa"/>
          <w:tcBorders>
            <w:top w:val="single" w:sz="4" w:space="0" w:color="000000"/>
            <w:left w:val="single" w:sz="4" w:space="0" w:color="000000"/>
            <w:bottom w:val="single" w:sz="4" w:space="0" w:color="000000"/>
            <w:right w:val="single" w:sz="4" w:space="0" w:color="000000"/>
          </w:tcBorders>
        </w:tcPr>
        <w:p w14:paraId="4C951C69" w14:textId="77777777" w:rsidR="00517C05" w:rsidRDefault="00517C05">
          <w:pPr>
            <w:spacing w:after="0" w:line="259" w:lineRule="auto"/>
            <w:ind w:left="0" w:firstLine="0"/>
            <w:jc w:val="left"/>
          </w:pPr>
        </w:p>
      </w:tc>
      <w:tc>
        <w:tcPr>
          <w:tcW w:w="4251" w:type="dxa"/>
          <w:gridSpan w:val="2"/>
          <w:tcBorders>
            <w:top w:val="single" w:sz="4" w:space="0" w:color="000000"/>
            <w:left w:val="single" w:sz="4" w:space="0" w:color="000000"/>
            <w:bottom w:val="single" w:sz="4" w:space="0" w:color="000000"/>
            <w:right w:val="single" w:sz="4" w:space="0" w:color="000000"/>
          </w:tcBorders>
        </w:tcPr>
        <w:p w14:paraId="0F6FD4F2" w14:textId="77777777" w:rsidR="00517C05" w:rsidRDefault="00517C05">
          <w:pPr>
            <w:spacing w:after="0" w:line="259" w:lineRule="auto"/>
            <w:ind w:left="0" w:firstLine="0"/>
            <w:jc w:val="right"/>
          </w:pPr>
        </w:p>
      </w:tc>
    </w:tr>
  </w:tbl>
  <w:p w14:paraId="19658E13" w14:textId="77777777" w:rsidR="00517C05" w:rsidRDefault="00517C05">
    <w:pPr>
      <w:spacing w:after="816" w:line="259" w:lineRule="auto"/>
      <w:ind w:left="425" w:firstLine="0"/>
      <w:jc w:val="left"/>
    </w:pPr>
  </w:p>
  <w:p w14:paraId="680828D2" w14:textId="77777777" w:rsidR="00517C05" w:rsidRDefault="00517C05">
    <w:pPr>
      <w:spacing w:after="0" w:line="259" w:lineRule="auto"/>
      <w:ind w:left="425"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666877"/>
      <w:docPartObj>
        <w:docPartGallery w:val="Page Numbers (Bottom of Page)"/>
        <w:docPartUnique/>
      </w:docPartObj>
    </w:sdtPr>
    <w:sdtEndPr>
      <w:rPr>
        <w:rFonts w:asciiTheme="minorHAnsi" w:hAnsiTheme="minorHAnsi" w:cstheme="minorHAnsi"/>
      </w:rPr>
    </w:sdtEndPr>
    <w:sdtContent>
      <w:p w14:paraId="248BB0B0" w14:textId="7168FD70" w:rsidR="00517C05" w:rsidRPr="008411C5" w:rsidRDefault="008411C5" w:rsidP="008411C5">
        <w:pPr>
          <w:pStyle w:val="Stopka"/>
          <w:spacing w:before="120"/>
          <w:ind w:left="0" w:firstLine="0"/>
          <w:jc w:val="cen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SECTIONPAGES   \* MERGEFORMAT </w:instrText>
        </w:r>
        <w:r>
          <w:rPr>
            <w:rFonts w:asciiTheme="minorHAnsi" w:hAnsiTheme="minorHAnsi" w:cstheme="minorHAnsi"/>
          </w:rPr>
          <w:fldChar w:fldCharType="separate"/>
        </w:r>
        <w:r w:rsidR="00240465">
          <w:rPr>
            <w:rFonts w:asciiTheme="minorHAnsi" w:hAnsiTheme="minorHAnsi" w:cstheme="minorHAnsi"/>
            <w:noProof/>
          </w:rPr>
          <w:t>9</w:t>
        </w:r>
        <w:r>
          <w:rPr>
            <w:rFonts w:asciiTheme="minorHAnsi" w:hAnsiTheme="minorHAnsi" w:cs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77455"/>
      <w:docPartObj>
        <w:docPartGallery w:val="Page Numbers (Bottom of Page)"/>
        <w:docPartUnique/>
      </w:docPartObj>
    </w:sdtPr>
    <w:sdtEndPr>
      <w:rPr>
        <w:rFonts w:asciiTheme="minorHAnsi" w:hAnsiTheme="minorHAnsi" w:cstheme="minorHAnsi"/>
      </w:rPr>
    </w:sdtEndPr>
    <w:sdtContent>
      <w:p w14:paraId="1CE729C2" w14:textId="71275869" w:rsidR="00517C05" w:rsidRPr="008411C5" w:rsidRDefault="008411C5" w:rsidP="008411C5">
        <w:pPr>
          <w:pStyle w:val="Stopka"/>
          <w:spacing w:before="120"/>
          <w:ind w:left="0" w:firstLine="0"/>
          <w:jc w:val="cen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SECTIONPAGES   \* MERGEFORMAT </w:instrText>
        </w:r>
        <w:r>
          <w:rPr>
            <w:rFonts w:asciiTheme="minorHAnsi" w:hAnsiTheme="minorHAnsi" w:cstheme="minorHAnsi"/>
          </w:rPr>
          <w:fldChar w:fldCharType="separate"/>
        </w:r>
        <w:r w:rsidR="006D379C">
          <w:rPr>
            <w:rFonts w:asciiTheme="minorHAnsi" w:hAnsiTheme="minorHAnsi" w:cstheme="minorHAnsi"/>
            <w:noProof/>
          </w:rPr>
          <w:t>9</w:t>
        </w:r>
        <w:r>
          <w:rPr>
            <w:rFonts w:asciiTheme="minorHAnsi" w:hAnsiTheme="minorHAnsi" w:cstheme="minorHAnsi"/>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1"/>
      <w:tblpPr w:vertAnchor="page" w:horzAnchor="page" w:tblpX="1424" w:tblpY="14938"/>
      <w:tblOverlap w:val="never"/>
      <w:tblW w:w="8639" w:type="dxa"/>
      <w:tblInd w:w="0" w:type="dxa"/>
      <w:tblCellMar>
        <w:top w:w="9" w:type="dxa"/>
        <w:left w:w="70" w:type="dxa"/>
        <w:right w:w="10" w:type="dxa"/>
      </w:tblCellMar>
      <w:tblLook w:val="04A0" w:firstRow="1" w:lastRow="0" w:firstColumn="1" w:lastColumn="0" w:noHBand="0" w:noVBand="1"/>
    </w:tblPr>
    <w:tblGrid>
      <w:gridCol w:w="4387"/>
      <w:gridCol w:w="1263"/>
      <w:gridCol w:w="2989"/>
    </w:tblGrid>
    <w:tr w:rsidR="00517C05" w14:paraId="730874AD" w14:textId="77777777">
      <w:trPr>
        <w:trHeight w:val="343"/>
      </w:trPr>
      <w:tc>
        <w:tcPr>
          <w:tcW w:w="5651" w:type="dxa"/>
          <w:gridSpan w:val="2"/>
          <w:tcBorders>
            <w:top w:val="single" w:sz="4" w:space="0" w:color="000000"/>
            <w:left w:val="single" w:sz="4" w:space="0" w:color="000000"/>
            <w:bottom w:val="single" w:sz="4" w:space="0" w:color="000000"/>
            <w:right w:val="single" w:sz="4" w:space="0" w:color="000000"/>
          </w:tcBorders>
        </w:tcPr>
        <w:p w14:paraId="6DE01BBC" w14:textId="77777777" w:rsidR="00517C05" w:rsidRDefault="00517C05">
          <w:pPr>
            <w:spacing w:after="0" w:line="259" w:lineRule="auto"/>
            <w:ind w:left="0" w:firstLine="0"/>
            <w:jc w:val="left"/>
          </w:pPr>
          <w:r>
            <w:rPr>
              <w:i/>
              <w:sz w:val="20"/>
            </w:rPr>
            <w:t xml:space="preserve">Instrukcja Ruchu i Eksploatacji Sieci Dystrybucyjnej </w:t>
          </w:r>
        </w:p>
      </w:tc>
      <w:tc>
        <w:tcPr>
          <w:tcW w:w="2989" w:type="dxa"/>
          <w:tcBorders>
            <w:top w:val="single" w:sz="4" w:space="0" w:color="000000"/>
            <w:left w:val="single" w:sz="4" w:space="0" w:color="000000"/>
            <w:bottom w:val="single" w:sz="4" w:space="0" w:color="000000"/>
            <w:right w:val="single" w:sz="4" w:space="0" w:color="000000"/>
          </w:tcBorders>
        </w:tcPr>
        <w:p w14:paraId="4994F85A" w14:textId="77777777" w:rsidR="00517C05" w:rsidRDefault="00517C05">
          <w:pPr>
            <w:spacing w:after="0" w:line="259" w:lineRule="auto"/>
            <w:ind w:left="0" w:right="58" w:firstLine="0"/>
            <w:jc w:val="right"/>
          </w:pPr>
          <w:r>
            <w:rPr>
              <w:i/>
              <w:sz w:val="20"/>
            </w:rPr>
            <w:t>Strona</w:t>
          </w:r>
          <w:r>
            <w:rPr>
              <w:i/>
            </w:rPr>
            <w:t xml:space="preserve">: </w:t>
          </w:r>
          <w:r>
            <w:fldChar w:fldCharType="begin"/>
          </w:r>
          <w:r>
            <w:instrText xml:space="preserve"> PAGE   \* MERGEFORMAT </w:instrText>
          </w:r>
          <w:r>
            <w:fldChar w:fldCharType="separate"/>
          </w:r>
          <w:r w:rsidRPr="00735C3C">
            <w:rPr>
              <w:i/>
              <w:noProof/>
            </w:rPr>
            <w:t>180</w:t>
          </w:r>
          <w:r>
            <w:rPr>
              <w:i/>
            </w:rPr>
            <w:fldChar w:fldCharType="end"/>
          </w:r>
        </w:p>
      </w:tc>
    </w:tr>
    <w:tr w:rsidR="00517C05" w14:paraId="410F1CE7" w14:textId="77777777">
      <w:trPr>
        <w:trHeight w:val="367"/>
      </w:trPr>
      <w:tc>
        <w:tcPr>
          <w:tcW w:w="4388" w:type="dxa"/>
          <w:tcBorders>
            <w:top w:val="single" w:sz="4" w:space="0" w:color="000000"/>
            <w:left w:val="single" w:sz="4" w:space="0" w:color="000000"/>
            <w:bottom w:val="single" w:sz="4" w:space="0" w:color="000000"/>
            <w:right w:val="single" w:sz="4" w:space="0" w:color="000000"/>
          </w:tcBorders>
        </w:tcPr>
        <w:p w14:paraId="267104D7" w14:textId="77777777" w:rsidR="00517C05" w:rsidRDefault="00517C05">
          <w:pPr>
            <w:spacing w:after="0" w:line="259" w:lineRule="auto"/>
            <w:ind w:left="0" w:firstLine="0"/>
            <w:jc w:val="left"/>
          </w:pPr>
        </w:p>
      </w:tc>
      <w:tc>
        <w:tcPr>
          <w:tcW w:w="4251" w:type="dxa"/>
          <w:gridSpan w:val="2"/>
          <w:tcBorders>
            <w:top w:val="single" w:sz="4" w:space="0" w:color="000000"/>
            <w:left w:val="single" w:sz="4" w:space="0" w:color="000000"/>
            <w:bottom w:val="single" w:sz="4" w:space="0" w:color="000000"/>
            <w:right w:val="single" w:sz="4" w:space="0" w:color="000000"/>
          </w:tcBorders>
        </w:tcPr>
        <w:p w14:paraId="58D36679" w14:textId="77777777" w:rsidR="00517C05" w:rsidRDefault="00517C05">
          <w:pPr>
            <w:spacing w:after="0" w:line="259" w:lineRule="auto"/>
            <w:ind w:left="0" w:firstLine="0"/>
            <w:jc w:val="right"/>
          </w:pPr>
        </w:p>
      </w:tc>
    </w:tr>
  </w:tbl>
  <w:p w14:paraId="7BD4A7CD" w14:textId="77777777" w:rsidR="00517C05" w:rsidRDefault="00517C05">
    <w:pPr>
      <w:spacing w:after="816" w:line="259" w:lineRule="auto"/>
      <w:ind w:left="427" w:firstLine="0"/>
      <w:jc w:val="left"/>
    </w:pPr>
  </w:p>
  <w:p w14:paraId="2836542B" w14:textId="77777777" w:rsidR="00517C05" w:rsidRDefault="00517C05">
    <w:pPr>
      <w:spacing w:after="0" w:line="259" w:lineRule="auto"/>
      <w:ind w:left="427"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451694"/>
      <w:docPartObj>
        <w:docPartGallery w:val="Page Numbers (Bottom of Page)"/>
        <w:docPartUnique/>
      </w:docPartObj>
    </w:sdtPr>
    <w:sdtEndPr>
      <w:rPr>
        <w:rFonts w:asciiTheme="minorHAnsi" w:hAnsiTheme="minorHAnsi" w:cstheme="minorHAnsi"/>
      </w:rPr>
    </w:sdtEndPr>
    <w:sdtContent>
      <w:p w14:paraId="2F9CB1F1" w14:textId="6909D037" w:rsidR="00517C05" w:rsidRPr="00574D97" w:rsidRDefault="002528CB" w:rsidP="00574D97">
        <w:pPr>
          <w:pStyle w:val="Stopka"/>
          <w:spacing w:before="120"/>
          <w:ind w:left="0" w:firstLine="0"/>
          <w:jc w:val="cen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SECTIONPAGES   \* MERGEFORMAT </w:instrText>
        </w:r>
        <w:r>
          <w:rPr>
            <w:rFonts w:asciiTheme="minorHAnsi" w:hAnsiTheme="minorHAnsi" w:cstheme="minorHAnsi"/>
          </w:rPr>
          <w:fldChar w:fldCharType="separate"/>
        </w:r>
        <w:r w:rsidR="00240465">
          <w:rPr>
            <w:rFonts w:asciiTheme="minorHAnsi" w:hAnsiTheme="minorHAnsi" w:cstheme="minorHAnsi"/>
            <w:noProof/>
          </w:rPr>
          <w:t>208</w:t>
        </w:r>
        <w:r>
          <w:rPr>
            <w:rFonts w:asciiTheme="minorHAnsi" w:hAnsiTheme="minorHAnsi" w:cstheme="minorHAnsi"/>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1"/>
      <w:tblpPr w:vertAnchor="page" w:horzAnchor="page" w:tblpX="1424" w:tblpY="14938"/>
      <w:tblOverlap w:val="never"/>
      <w:tblW w:w="8639" w:type="dxa"/>
      <w:tblInd w:w="0" w:type="dxa"/>
      <w:tblCellMar>
        <w:top w:w="9" w:type="dxa"/>
        <w:left w:w="70" w:type="dxa"/>
        <w:right w:w="10" w:type="dxa"/>
      </w:tblCellMar>
      <w:tblLook w:val="04A0" w:firstRow="1" w:lastRow="0" w:firstColumn="1" w:lastColumn="0" w:noHBand="0" w:noVBand="1"/>
    </w:tblPr>
    <w:tblGrid>
      <w:gridCol w:w="4387"/>
      <w:gridCol w:w="1263"/>
      <w:gridCol w:w="2989"/>
    </w:tblGrid>
    <w:tr w:rsidR="00517C05" w14:paraId="786DD2DD" w14:textId="77777777">
      <w:trPr>
        <w:trHeight w:val="343"/>
      </w:trPr>
      <w:tc>
        <w:tcPr>
          <w:tcW w:w="5651" w:type="dxa"/>
          <w:gridSpan w:val="2"/>
          <w:tcBorders>
            <w:top w:val="single" w:sz="4" w:space="0" w:color="000000"/>
            <w:left w:val="single" w:sz="4" w:space="0" w:color="000000"/>
            <w:bottom w:val="single" w:sz="4" w:space="0" w:color="000000"/>
            <w:right w:val="single" w:sz="4" w:space="0" w:color="000000"/>
          </w:tcBorders>
        </w:tcPr>
        <w:p w14:paraId="74D28CF5" w14:textId="77777777" w:rsidR="00517C05" w:rsidRDefault="00517C05">
          <w:pPr>
            <w:spacing w:after="0" w:line="259" w:lineRule="auto"/>
            <w:ind w:left="0" w:firstLine="0"/>
            <w:jc w:val="left"/>
          </w:pPr>
          <w:r>
            <w:rPr>
              <w:i/>
              <w:sz w:val="20"/>
            </w:rPr>
            <w:t xml:space="preserve">Instrukcja Ruchu i Eksploatacji Sieci Dystrybucyjnej </w:t>
          </w:r>
        </w:p>
      </w:tc>
      <w:tc>
        <w:tcPr>
          <w:tcW w:w="2989" w:type="dxa"/>
          <w:tcBorders>
            <w:top w:val="single" w:sz="4" w:space="0" w:color="000000"/>
            <w:left w:val="single" w:sz="4" w:space="0" w:color="000000"/>
            <w:bottom w:val="single" w:sz="4" w:space="0" w:color="000000"/>
            <w:right w:val="single" w:sz="4" w:space="0" w:color="000000"/>
          </w:tcBorders>
        </w:tcPr>
        <w:p w14:paraId="4C767B87" w14:textId="77777777" w:rsidR="00517C05" w:rsidRDefault="00517C05">
          <w:pPr>
            <w:spacing w:after="0" w:line="259" w:lineRule="auto"/>
            <w:ind w:left="0" w:right="58" w:firstLine="0"/>
            <w:jc w:val="right"/>
          </w:pPr>
          <w:r>
            <w:rPr>
              <w:i/>
              <w:sz w:val="20"/>
            </w:rPr>
            <w:t>Strona</w:t>
          </w:r>
          <w:r>
            <w:rPr>
              <w:i/>
            </w:rPr>
            <w:t xml:space="preserve">: </w:t>
          </w:r>
          <w:r>
            <w:fldChar w:fldCharType="begin"/>
          </w:r>
          <w:r>
            <w:instrText xml:space="preserve"> PAGE   \* MERGEFORMAT </w:instrText>
          </w:r>
          <w:r>
            <w:fldChar w:fldCharType="separate"/>
          </w:r>
          <w:r>
            <w:rPr>
              <w:i/>
            </w:rPr>
            <w:t>100</w:t>
          </w:r>
          <w:r>
            <w:rPr>
              <w:i/>
            </w:rPr>
            <w:fldChar w:fldCharType="end"/>
          </w:r>
        </w:p>
      </w:tc>
    </w:tr>
    <w:tr w:rsidR="00517C05" w14:paraId="10450750" w14:textId="77777777">
      <w:trPr>
        <w:trHeight w:val="367"/>
      </w:trPr>
      <w:tc>
        <w:tcPr>
          <w:tcW w:w="4388" w:type="dxa"/>
          <w:tcBorders>
            <w:top w:val="single" w:sz="4" w:space="0" w:color="000000"/>
            <w:left w:val="single" w:sz="4" w:space="0" w:color="000000"/>
            <w:bottom w:val="single" w:sz="4" w:space="0" w:color="000000"/>
            <w:right w:val="single" w:sz="4" w:space="0" w:color="000000"/>
          </w:tcBorders>
        </w:tcPr>
        <w:p w14:paraId="283F6CE9" w14:textId="77777777" w:rsidR="00517C05" w:rsidRDefault="00517C05">
          <w:pPr>
            <w:spacing w:after="0" w:line="259" w:lineRule="auto"/>
            <w:ind w:left="0" w:firstLine="0"/>
            <w:jc w:val="left"/>
          </w:pPr>
        </w:p>
      </w:tc>
      <w:tc>
        <w:tcPr>
          <w:tcW w:w="4251" w:type="dxa"/>
          <w:gridSpan w:val="2"/>
          <w:tcBorders>
            <w:top w:val="single" w:sz="4" w:space="0" w:color="000000"/>
            <w:left w:val="single" w:sz="4" w:space="0" w:color="000000"/>
            <w:bottom w:val="single" w:sz="4" w:space="0" w:color="000000"/>
            <w:right w:val="single" w:sz="4" w:space="0" w:color="000000"/>
          </w:tcBorders>
        </w:tcPr>
        <w:p w14:paraId="2441ED9B" w14:textId="77777777" w:rsidR="00517C05" w:rsidRDefault="00517C05">
          <w:pPr>
            <w:spacing w:after="0" w:line="259" w:lineRule="auto"/>
            <w:ind w:left="0" w:firstLine="0"/>
            <w:jc w:val="right"/>
          </w:pPr>
        </w:p>
      </w:tc>
    </w:tr>
  </w:tbl>
  <w:p w14:paraId="43363DC9" w14:textId="77777777" w:rsidR="00517C05" w:rsidRDefault="00517C05">
    <w:pPr>
      <w:spacing w:after="816" w:line="259" w:lineRule="auto"/>
      <w:ind w:left="427" w:firstLine="0"/>
      <w:jc w:val="left"/>
    </w:pPr>
  </w:p>
  <w:p w14:paraId="12ED2AEE" w14:textId="77777777" w:rsidR="00517C05" w:rsidRDefault="00517C05">
    <w:pPr>
      <w:spacing w:after="0" w:line="259" w:lineRule="auto"/>
      <w:ind w:left="427"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5350" w14:textId="77777777" w:rsidR="00517C05" w:rsidRDefault="00517C05">
    <w:pPr>
      <w:spacing w:after="814" w:line="259" w:lineRule="auto"/>
      <w:ind w:left="0" w:firstLine="0"/>
      <w:jc w:val="left"/>
    </w:pPr>
  </w:p>
  <w:p w14:paraId="3C8BE45A" w14:textId="77777777" w:rsidR="00517C05" w:rsidRDefault="00517C05">
    <w:pPr>
      <w:spacing w:after="0" w:line="259" w:lineRule="auto"/>
      <w:ind w:left="425"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513850"/>
      <w:docPartObj>
        <w:docPartGallery w:val="Page Numbers (Bottom of Page)"/>
        <w:docPartUnique/>
      </w:docPartObj>
    </w:sdtPr>
    <w:sdtEndPr>
      <w:rPr>
        <w:rFonts w:asciiTheme="minorHAnsi" w:hAnsiTheme="minorHAnsi" w:cstheme="minorHAnsi"/>
      </w:rPr>
    </w:sdtEndPr>
    <w:sdtContent>
      <w:p w14:paraId="72B79554" w14:textId="2099FC97" w:rsidR="002528CB" w:rsidRPr="008411C5" w:rsidRDefault="002528CB" w:rsidP="002528CB">
        <w:pPr>
          <w:pStyle w:val="Stopka"/>
          <w:spacing w:before="120"/>
          <w:ind w:left="0" w:firstLine="0"/>
          <w:jc w:val="cen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rPr>
          <w:fldChar w:fldCharType="end"/>
        </w:r>
        <w:r>
          <w:rPr>
            <w:rFonts w:asciiTheme="minorHAnsi" w:hAnsiTheme="minorHAnsi" w:cstheme="minorHAnsi"/>
          </w:rPr>
          <w:t>/</w:t>
        </w:r>
        <w:r>
          <w:rPr>
            <w:rFonts w:asciiTheme="minorHAnsi" w:hAnsiTheme="minorHAnsi" w:cstheme="minorHAnsi"/>
          </w:rPr>
          <w:fldChar w:fldCharType="begin"/>
        </w:r>
        <w:r>
          <w:rPr>
            <w:rFonts w:asciiTheme="minorHAnsi" w:hAnsiTheme="minorHAnsi" w:cstheme="minorHAnsi"/>
          </w:rPr>
          <w:instrText xml:space="preserve"> SECTIONPAGES   \* MERGEFORMAT </w:instrText>
        </w:r>
        <w:r>
          <w:rPr>
            <w:rFonts w:asciiTheme="minorHAnsi" w:hAnsiTheme="minorHAnsi" w:cstheme="minorHAnsi"/>
          </w:rPr>
          <w:fldChar w:fldCharType="separate"/>
        </w:r>
        <w:r w:rsidR="00240465">
          <w:rPr>
            <w:rFonts w:asciiTheme="minorHAnsi" w:hAnsiTheme="minorHAnsi" w:cstheme="minorHAnsi"/>
            <w:noProof/>
          </w:rPr>
          <w:t>57</w:t>
        </w:r>
        <w:r>
          <w:rPr>
            <w:rFonts w:asciiTheme="minorHAnsi" w:hAnsiTheme="minorHAnsi" w:cstheme="minorHAnsi"/>
          </w:rPr>
          <w:fldChar w:fldCharType="end"/>
        </w:r>
      </w:p>
    </w:sdtContent>
  </w:sdt>
  <w:p w14:paraId="1803D3F9" w14:textId="77777777" w:rsidR="00517C05" w:rsidRDefault="00517C05">
    <w:pPr>
      <w:spacing w:after="0" w:line="259" w:lineRule="auto"/>
      <w:ind w:left="425"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1"/>
      <w:tblpPr w:vertAnchor="page" w:horzAnchor="page" w:tblpX="1445" w:tblpY="10082"/>
      <w:tblOverlap w:val="never"/>
      <w:tblW w:w="13946" w:type="dxa"/>
      <w:tblInd w:w="0" w:type="dxa"/>
      <w:tblCellMar>
        <w:top w:w="12" w:type="dxa"/>
        <w:left w:w="70" w:type="dxa"/>
        <w:right w:w="10" w:type="dxa"/>
      </w:tblCellMar>
      <w:tblLook w:val="04A0" w:firstRow="1" w:lastRow="0" w:firstColumn="1" w:lastColumn="0" w:noHBand="0" w:noVBand="1"/>
    </w:tblPr>
    <w:tblGrid>
      <w:gridCol w:w="7081"/>
      <w:gridCol w:w="2040"/>
      <w:gridCol w:w="4825"/>
    </w:tblGrid>
    <w:tr w:rsidR="00517C05" w14:paraId="7D4700DD" w14:textId="77777777">
      <w:trPr>
        <w:trHeight w:val="341"/>
      </w:trPr>
      <w:tc>
        <w:tcPr>
          <w:tcW w:w="9121" w:type="dxa"/>
          <w:gridSpan w:val="2"/>
          <w:tcBorders>
            <w:top w:val="single" w:sz="4" w:space="0" w:color="000000"/>
            <w:left w:val="single" w:sz="4" w:space="0" w:color="000000"/>
            <w:bottom w:val="single" w:sz="4" w:space="0" w:color="000000"/>
            <w:right w:val="single" w:sz="4" w:space="0" w:color="000000"/>
          </w:tcBorders>
        </w:tcPr>
        <w:p w14:paraId="6AE158A5" w14:textId="77777777" w:rsidR="00517C05" w:rsidRDefault="00517C05">
          <w:pPr>
            <w:spacing w:after="0" w:line="259" w:lineRule="auto"/>
            <w:ind w:left="0" w:firstLine="0"/>
            <w:jc w:val="left"/>
          </w:pPr>
          <w:r>
            <w:rPr>
              <w:i/>
              <w:sz w:val="20"/>
            </w:rPr>
            <w:t>Instrukcja Ruchu i Eksploatacji Sieci Dystrybucyjnej       Załącznik nr 5</w:t>
          </w:r>
        </w:p>
      </w:tc>
      <w:tc>
        <w:tcPr>
          <w:tcW w:w="4825" w:type="dxa"/>
          <w:tcBorders>
            <w:top w:val="single" w:sz="4" w:space="0" w:color="000000"/>
            <w:left w:val="single" w:sz="4" w:space="0" w:color="000000"/>
            <w:bottom w:val="single" w:sz="4" w:space="0" w:color="000000"/>
            <w:right w:val="single" w:sz="4" w:space="0" w:color="000000"/>
          </w:tcBorders>
        </w:tcPr>
        <w:p w14:paraId="621290B9" w14:textId="77777777" w:rsidR="00517C05" w:rsidRDefault="00517C05">
          <w:pPr>
            <w:spacing w:after="0" w:line="259" w:lineRule="auto"/>
            <w:ind w:left="0" w:right="58" w:firstLine="0"/>
            <w:jc w:val="right"/>
          </w:pPr>
          <w:r>
            <w:rPr>
              <w:i/>
              <w:sz w:val="20"/>
            </w:rPr>
            <w:t>Strona</w:t>
          </w:r>
          <w:r>
            <w:rPr>
              <w:i/>
            </w:rPr>
            <w:t xml:space="preserve">: </w:t>
          </w:r>
          <w:r>
            <w:fldChar w:fldCharType="begin"/>
          </w:r>
          <w:r>
            <w:instrText xml:space="preserve"> PAGE   \* MERGEFORMAT </w:instrText>
          </w:r>
          <w:r>
            <w:fldChar w:fldCharType="separate"/>
          </w:r>
          <w:r>
            <w:rPr>
              <w:i/>
            </w:rPr>
            <w:t>10</w:t>
          </w:r>
          <w:r>
            <w:rPr>
              <w:i/>
            </w:rPr>
            <w:fldChar w:fldCharType="end"/>
          </w:r>
        </w:p>
      </w:tc>
    </w:tr>
    <w:tr w:rsidR="00517C05" w14:paraId="7D79BB88" w14:textId="77777777">
      <w:trPr>
        <w:trHeight w:val="367"/>
      </w:trPr>
      <w:tc>
        <w:tcPr>
          <w:tcW w:w="7081" w:type="dxa"/>
          <w:tcBorders>
            <w:top w:val="single" w:sz="4" w:space="0" w:color="000000"/>
            <w:left w:val="single" w:sz="4" w:space="0" w:color="000000"/>
            <w:bottom w:val="single" w:sz="4" w:space="0" w:color="000000"/>
            <w:right w:val="single" w:sz="4" w:space="0" w:color="000000"/>
          </w:tcBorders>
        </w:tcPr>
        <w:p w14:paraId="27F92190" w14:textId="77777777" w:rsidR="00517C05" w:rsidRDefault="00517C05">
          <w:pPr>
            <w:spacing w:after="0" w:line="259" w:lineRule="auto"/>
            <w:ind w:left="0" w:firstLine="0"/>
            <w:jc w:val="left"/>
          </w:pPr>
        </w:p>
      </w:tc>
      <w:tc>
        <w:tcPr>
          <w:tcW w:w="6865" w:type="dxa"/>
          <w:gridSpan w:val="2"/>
          <w:tcBorders>
            <w:top w:val="single" w:sz="4" w:space="0" w:color="000000"/>
            <w:left w:val="single" w:sz="4" w:space="0" w:color="000000"/>
            <w:bottom w:val="single" w:sz="4" w:space="0" w:color="000000"/>
            <w:right w:val="single" w:sz="4" w:space="0" w:color="000000"/>
          </w:tcBorders>
        </w:tcPr>
        <w:p w14:paraId="1B894DC8" w14:textId="77777777" w:rsidR="00517C05" w:rsidRDefault="00517C05">
          <w:pPr>
            <w:spacing w:after="0" w:line="259" w:lineRule="auto"/>
            <w:ind w:left="0" w:firstLine="0"/>
            <w:jc w:val="right"/>
          </w:pPr>
        </w:p>
      </w:tc>
    </w:tr>
  </w:tbl>
  <w:p w14:paraId="421C545B" w14:textId="77777777" w:rsidR="00517C05" w:rsidRDefault="00517C05">
    <w:pPr>
      <w:spacing w:after="814" w:line="259" w:lineRule="auto"/>
      <w:ind w:left="0" w:firstLine="0"/>
      <w:jc w:val="left"/>
    </w:pPr>
  </w:p>
  <w:p w14:paraId="53DCFBF4" w14:textId="77777777" w:rsidR="00517C05" w:rsidRDefault="00517C05">
    <w:pPr>
      <w:spacing w:after="0" w:line="259" w:lineRule="auto"/>
      <w:ind w:left="425"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42219" w14:textId="77777777" w:rsidR="00792922" w:rsidRDefault="00792922">
      <w:pPr>
        <w:spacing w:after="0" w:line="240" w:lineRule="auto"/>
      </w:pPr>
      <w:r>
        <w:separator/>
      </w:r>
    </w:p>
  </w:footnote>
  <w:footnote w:type="continuationSeparator" w:id="0">
    <w:p w14:paraId="582246FC" w14:textId="77777777" w:rsidR="00792922" w:rsidRDefault="00792922">
      <w:pPr>
        <w:spacing w:after="0" w:line="240" w:lineRule="auto"/>
      </w:pPr>
      <w:r>
        <w:continuationSeparator/>
      </w:r>
    </w:p>
  </w:footnote>
  <w:footnote w:type="continuationNotice" w:id="1">
    <w:p w14:paraId="3BED74EB" w14:textId="77777777" w:rsidR="00792922" w:rsidRDefault="007929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AF5CC" w14:textId="77777777" w:rsidR="00517C05" w:rsidRDefault="00517C05">
    <w:pPr>
      <w:spacing w:after="0" w:line="259" w:lineRule="auto"/>
      <w:ind w:left="425"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28A0" w14:textId="1F3560E5" w:rsidR="00517C05" w:rsidRPr="008411C5" w:rsidRDefault="008411C5" w:rsidP="008411C5">
    <w:pPr>
      <w:pStyle w:val="Nagwek"/>
      <w:pBdr>
        <w:bottom w:val="single" w:sz="4" w:space="1" w:color="auto"/>
      </w:pBdr>
      <w:spacing w:before="60" w:after="240"/>
      <w:ind w:left="-284" w:right="-568" w:firstLine="0"/>
      <w:jc w:val="center"/>
      <w:rPr>
        <w:rFonts w:ascii="Calibri" w:eastAsia="Courier New" w:hAnsi="Calibri" w:cs="Courier New"/>
        <w:szCs w:val="24"/>
        <w:lang w:bidi="pl-PL"/>
      </w:rPr>
    </w:pPr>
    <w:r w:rsidRPr="008411C5">
      <w:rPr>
        <w:rFonts w:ascii="Calibri" w:eastAsia="Courier New" w:hAnsi="Calibri" w:cs="Courier New"/>
        <w:szCs w:val="24"/>
        <w:lang w:bidi="pl-PL"/>
      </w:rPr>
      <w:t>Grupa Kapitałowa ACPRO</w:t>
    </w:r>
    <w:r w:rsidRPr="008411C5">
      <w:rPr>
        <w:rFonts w:ascii="Calibri" w:eastAsia="Courier New" w:hAnsi="Calibri" w:cs="Courier New"/>
        <w:szCs w:val="24"/>
        <w:lang w:bidi="pl-PL"/>
      </w:rPr>
      <w:tab/>
      <w:t xml:space="preserve">                    </w:t>
    </w:r>
    <w:r>
      <w:rPr>
        <w:rFonts w:ascii="Calibri" w:eastAsia="Courier New" w:hAnsi="Calibri" w:cs="Courier New"/>
        <w:szCs w:val="24"/>
        <w:lang w:bidi="pl-PL"/>
      </w:rPr>
      <w:t xml:space="preserve">               </w:t>
    </w:r>
    <w:r w:rsidRPr="008411C5">
      <w:rPr>
        <w:rFonts w:ascii="Calibri" w:eastAsia="Courier New" w:hAnsi="Calibri" w:cs="Courier New"/>
        <w:szCs w:val="24"/>
        <w:lang w:bidi="pl-PL"/>
      </w:rPr>
      <w:t xml:space="preserve">      Instrukcja Ruchu i Eksploatacji Sieci Dystrybucyjnej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E73A" w14:textId="24ABBF8E" w:rsidR="00517C05" w:rsidRPr="008411C5" w:rsidRDefault="008411C5" w:rsidP="008411C5">
    <w:pPr>
      <w:pStyle w:val="Nagwek"/>
      <w:pBdr>
        <w:bottom w:val="single" w:sz="4" w:space="1" w:color="auto"/>
      </w:pBdr>
      <w:spacing w:before="60" w:after="240"/>
      <w:ind w:left="-284" w:right="-568" w:firstLine="0"/>
      <w:jc w:val="center"/>
      <w:rPr>
        <w:rFonts w:ascii="Calibri" w:eastAsia="Courier New" w:hAnsi="Calibri" w:cs="Courier New"/>
        <w:szCs w:val="24"/>
        <w:lang w:bidi="pl-PL"/>
      </w:rPr>
    </w:pPr>
    <w:r w:rsidRPr="008411C5">
      <w:rPr>
        <w:rFonts w:ascii="Calibri" w:eastAsia="Courier New" w:hAnsi="Calibri" w:cs="Courier New"/>
        <w:szCs w:val="24"/>
        <w:lang w:bidi="pl-PL"/>
      </w:rPr>
      <w:t>Grupa Kapitałowa ACPRO</w:t>
    </w:r>
    <w:r w:rsidRPr="008411C5">
      <w:rPr>
        <w:rFonts w:ascii="Calibri" w:eastAsia="Courier New" w:hAnsi="Calibri" w:cs="Courier New"/>
        <w:szCs w:val="24"/>
        <w:lang w:bidi="pl-PL"/>
      </w:rPr>
      <w:tab/>
      <w:t xml:space="preserve">                    </w:t>
    </w:r>
    <w:r>
      <w:rPr>
        <w:rFonts w:ascii="Calibri" w:eastAsia="Courier New" w:hAnsi="Calibri" w:cs="Courier New"/>
        <w:szCs w:val="24"/>
        <w:lang w:bidi="pl-PL"/>
      </w:rPr>
      <w:t xml:space="preserve">               </w:t>
    </w:r>
    <w:r w:rsidRPr="008411C5">
      <w:rPr>
        <w:rFonts w:ascii="Calibri" w:eastAsia="Courier New" w:hAnsi="Calibri" w:cs="Courier New"/>
        <w:szCs w:val="24"/>
        <w:lang w:bidi="pl-PL"/>
      </w:rPr>
      <w:t xml:space="preserve">      Instrukcja Ruchu i Eksploatacji Sieci Dystrybucyjnej</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391F" w14:textId="06EED808" w:rsidR="00517C05" w:rsidRDefault="00517C05">
    <w:pPr>
      <w:tabs>
        <w:tab w:val="center" w:pos="3973"/>
        <w:tab w:val="right" w:pos="9147"/>
      </w:tabs>
      <w:spacing w:after="155"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595721C" wp14:editId="71477482">
              <wp:simplePos x="0" y="0"/>
              <wp:positionH relativeFrom="page">
                <wp:posOffset>882650</wp:posOffset>
              </wp:positionH>
              <wp:positionV relativeFrom="page">
                <wp:posOffset>754380</wp:posOffset>
              </wp:positionV>
              <wp:extent cx="5798185" cy="8890"/>
              <wp:effectExtent l="0" t="1905" r="0" b="0"/>
              <wp:wrapSquare wrapText="bothSides"/>
              <wp:docPr id="7" name="Group 998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8890"/>
                        <a:chOff x="0" y="0"/>
                        <a:chExt cx="57981" cy="91"/>
                      </a:xfrm>
                    </wpg:grpSpPr>
                    <wps:wsp>
                      <wps:cNvPr id="8" name="Shape 1051374"/>
                      <wps:cNvSpPr>
                        <a:spLocks noChangeArrowheads="1"/>
                      </wps:cNvSpPr>
                      <wps:spPr bwMode="auto">
                        <a:xfrm>
                          <a:off x="0" y="0"/>
                          <a:ext cx="57981" cy="91"/>
                        </a:xfrm>
                        <a:custGeom>
                          <a:avLst/>
                          <a:gdLst>
                            <a:gd name="T0" fmla="*/ 0 w 5798185"/>
                            <a:gd name="T1" fmla="*/ 0 h 9144"/>
                            <a:gd name="T2" fmla="*/ 5798185 w 5798185"/>
                            <a:gd name="T3" fmla="*/ 0 h 9144"/>
                            <a:gd name="T4" fmla="*/ 5798185 w 5798185"/>
                            <a:gd name="T5" fmla="*/ 9144 h 9144"/>
                            <a:gd name="T6" fmla="*/ 0 w 5798185"/>
                            <a:gd name="T7" fmla="*/ 9144 h 9144"/>
                            <a:gd name="T8" fmla="*/ 0 w 5798185"/>
                            <a:gd name="T9" fmla="*/ 0 h 9144"/>
                          </a:gdLst>
                          <a:ahLst/>
                          <a:cxnLst>
                            <a:cxn ang="0">
                              <a:pos x="T0" y="T1"/>
                            </a:cxn>
                            <a:cxn ang="0">
                              <a:pos x="T2" y="T3"/>
                            </a:cxn>
                            <a:cxn ang="0">
                              <a:pos x="T4" y="T5"/>
                            </a:cxn>
                            <a:cxn ang="0">
                              <a:pos x="T6" y="T7"/>
                            </a:cxn>
                            <a:cxn ang="0">
                              <a:pos x="T8" y="T9"/>
                            </a:cxn>
                          </a:cxnLst>
                          <a:rect l="0" t="0" r="r" b="b"/>
                          <a:pathLst>
                            <a:path w="5798185" h="9144">
                              <a:moveTo>
                                <a:pt x="0" y="0"/>
                              </a:moveTo>
                              <a:lnTo>
                                <a:pt x="5798185" y="0"/>
                              </a:lnTo>
                              <a:lnTo>
                                <a:pt x="579818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671F9" id="Group 998794" o:spid="_x0000_s1026" style="position:absolute;margin-left:69.5pt;margin-top:59.4pt;width:456.55pt;height:.7pt;z-index:251658240;mso-position-horizontal-relative:page;mso-position-vertical-relative:page" coordsize="57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">
              <v:shape id="Shape 1051374"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" path="m,l5798185,r,9144l,9144,,e" fillcolor="black" stroked="f" strokeweight="0">
                <v:stroke opacity="0" miterlimit="10" joinstyle="miter"/>
                <v:path o:connecttype="custom" o:connectlocs="0,0;57981,0;57981,91;0,91;0,0" o:connectangles="0,0,0,0,0"/>
              </v:shape>
              <w10:wrap type="square" anchorx="page" anchory="page"/>
            </v:group>
          </w:pict>
        </mc:Fallback>
      </mc:AlternateContent>
    </w:r>
    <w:r>
      <w:rPr>
        <w:i/>
        <w:sz w:val="22"/>
      </w:rPr>
      <w:tab/>
    </w:r>
    <w:r>
      <w:rPr>
        <w:i/>
        <w:sz w:val="22"/>
      </w:rPr>
      <w:tab/>
      <w:t xml:space="preserve">Instrukcja Ruchu i Eksploatacji Sieci Dystrybucyjnej </w:t>
    </w:r>
  </w:p>
  <w:p w14:paraId="493C11EF" w14:textId="77777777" w:rsidR="00517C05" w:rsidRDefault="00517C05">
    <w:pPr>
      <w:spacing w:after="0" w:line="259" w:lineRule="auto"/>
      <w:ind w:left="427"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B3A6" w14:textId="78DE2EBB" w:rsidR="00517C05" w:rsidRPr="00EB2E7B" w:rsidRDefault="00EB2E7B" w:rsidP="00574D97">
    <w:pPr>
      <w:pStyle w:val="Nagwek"/>
      <w:pBdr>
        <w:bottom w:val="single" w:sz="4" w:space="1" w:color="auto"/>
      </w:pBdr>
      <w:spacing w:before="60" w:after="240"/>
      <w:ind w:left="0" w:right="-568" w:firstLine="0"/>
      <w:rPr>
        <w:rFonts w:ascii="Calibri" w:eastAsia="Courier New" w:hAnsi="Calibri" w:cs="Courier New"/>
        <w:szCs w:val="24"/>
        <w:lang w:bidi="pl-PL"/>
      </w:rPr>
    </w:pPr>
    <w:r w:rsidRPr="008411C5">
      <w:rPr>
        <w:rFonts w:ascii="Calibri" w:eastAsia="Courier New" w:hAnsi="Calibri" w:cs="Courier New"/>
        <w:szCs w:val="24"/>
        <w:lang w:bidi="pl-PL"/>
      </w:rPr>
      <w:t>Grupa Kapitałowa ACPRO</w:t>
    </w:r>
    <w:r w:rsidRPr="008411C5">
      <w:rPr>
        <w:rFonts w:ascii="Calibri" w:eastAsia="Courier New" w:hAnsi="Calibri" w:cs="Courier New"/>
        <w:szCs w:val="24"/>
        <w:lang w:bidi="pl-PL"/>
      </w:rPr>
      <w:tab/>
      <w:t xml:space="preserve">                    </w:t>
    </w:r>
    <w:r>
      <w:rPr>
        <w:rFonts w:ascii="Calibri" w:eastAsia="Courier New" w:hAnsi="Calibri" w:cs="Courier New"/>
        <w:szCs w:val="24"/>
        <w:lang w:bidi="pl-PL"/>
      </w:rPr>
      <w:t xml:space="preserve">               </w:t>
    </w:r>
    <w:r w:rsidRPr="008411C5">
      <w:rPr>
        <w:rFonts w:ascii="Calibri" w:eastAsia="Courier New" w:hAnsi="Calibri" w:cs="Courier New"/>
        <w:szCs w:val="24"/>
        <w:lang w:bidi="pl-PL"/>
      </w:rPr>
      <w:t xml:space="preserve">      Instrukcja Ruchu i Eksploatacji Sieci Dystrybucyjnej</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CD93" w14:textId="77777777" w:rsidR="00517C05" w:rsidRDefault="00517C05">
    <w:pPr>
      <w:spacing w:after="0" w:line="259" w:lineRule="auto"/>
      <w:ind w:left="427"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9B60" w14:textId="77777777" w:rsidR="00517C05" w:rsidRPr="00072CE8" w:rsidRDefault="00517C05" w:rsidP="00072CE8">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4307" w14:textId="77777777" w:rsidR="00517C05" w:rsidRPr="00072CE8" w:rsidRDefault="00517C05" w:rsidP="00072CE8">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8F22" w14:textId="77777777" w:rsidR="00517C05" w:rsidRDefault="00517C05">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2DC5"/>
    <w:multiLevelType w:val="multilevel"/>
    <w:tmpl w:val="6F209FC8"/>
    <w:lvl w:ilvl="0">
      <w:start w:val="1"/>
      <w:numFmt w:val="upperRoman"/>
      <w:pStyle w:val="Nagwek1"/>
      <w:lvlText w:val="%1."/>
      <w:lvlJc w:val="left"/>
      <w:pPr>
        <w:ind w:left="1134" w:hanging="1134"/>
      </w:pPr>
      <w:rPr>
        <w:rFonts w:asciiTheme="minorHAnsi" w:hAnsiTheme="minorHAnsi" w:cstheme="minorHAnsi" w:hint="default"/>
        <w:b/>
        <w:sz w:val="20"/>
        <w:szCs w:val="16"/>
      </w:rPr>
    </w:lvl>
    <w:lvl w:ilvl="1">
      <w:start w:val="1"/>
      <w:numFmt w:val="decimal"/>
      <w:pStyle w:val="Nagwek2"/>
      <w:lvlText w:val="%1.%2."/>
      <w:lvlJc w:val="left"/>
      <w:pPr>
        <w:ind w:left="1191" w:hanging="1191"/>
      </w:pPr>
      <w:rPr>
        <w:rFonts w:asciiTheme="minorHAnsi" w:hAnsiTheme="minorHAnsi" w:cstheme="minorHAnsi" w:hint="default"/>
        <w:b w:val="0"/>
        <w:i w:val="0"/>
        <w:sz w:val="20"/>
        <w:szCs w:val="16"/>
      </w:rPr>
    </w:lvl>
    <w:lvl w:ilvl="2">
      <w:start w:val="1"/>
      <w:numFmt w:val="decimal"/>
      <w:pStyle w:val="Nagwek3"/>
      <w:lvlText w:val="%1.%2.%3."/>
      <w:lvlJc w:val="left"/>
      <w:pPr>
        <w:ind w:left="1531" w:hanging="1531"/>
      </w:pPr>
      <w:rPr>
        <w:rFonts w:asciiTheme="minorHAnsi" w:hAnsiTheme="minorHAnsi" w:cstheme="minorHAnsi" w:hint="default"/>
        <w:b w:val="0"/>
        <w:bCs/>
        <w:sz w:val="20"/>
        <w:szCs w:val="16"/>
      </w:rPr>
    </w:lvl>
    <w:lvl w:ilvl="3">
      <w:start w:val="1"/>
      <w:numFmt w:val="decimal"/>
      <w:pStyle w:val="Nagwek4"/>
      <w:lvlText w:val="%1.%2.%3.%4."/>
      <w:lvlJc w:val="left"/>
      <w:pPr>
        <w:ind w:left="1531" w:hanging="1531"/>
      </w:pPr>
      <w:rPr>
        <w:rFonts w:asciiTheme="minorHAnsi" w:hAnsiTheme="minorHAnsi" w:cstheme="minorHAnsi" w:hint="default"/>
        <w:b w:val="0"/>
        <w:bCs/>
        <w:sz w:val="20"/>
        <w:szCs w:val="16"/>
      </w:rPr>
    </w:lvl>
    <w:lvl w:ilvl="4">
      <w:start w:val="1"/>
      <w:numFmt w:val="decimal"/>
      <w:pStyle w:val="Nagwek5"/>
      <w:lvlText w:val="%1.%2.%3.%4.%5"/>
      <w:lvlJc w:val="left"/>
      <w:pPr>
        <w:ind w:left="1531" w:hanging="1531"/>
      </w:pPr>
      <w:rPr>
        <w:rFonts w:asciiTheme="minorHAnsi" w:hAnsiTheme="minorHAnsi" w:cstheme="minorHAnsi" w:hint="default"/>
        <w:sz w:val="20"/>
        <w:szCs w:val="16"/>
      </w:rPr>
    </w:lvl>
    <w:lvl w:ilvl="5">
      <w:start w:val="1"/>
      <w:numFmt w:val="decimal"/>
      <w:pStyle w:val="Nagwek6"/>
      <w:lvlText w:val="%1.%2.%3.%4.%5.%6."/>
      <w:lvlJc w:val="left"/>
      <w:pPr>
        <w:ind w:left="1531" w:hanging="1531"/>
      </w:pPr>
      <w:rPr>
        <w:rFonts w:asciiTheme="minorHAnsi" w:hAnsiTheme="minorHAnsi" w:cstheme="minorHAnsi" w:hint="default"/>
        <w:sz w:val="20"/>
        <w:szCs w:val="16"/>
      </w:rPr>
    </w:lvl>
    <w:lvl w:ilvl="6">
      <w:start w:val="1"/>
      <w:numFmt w:val="decimal"/>
      <w:pStyle w:val="Nagwek7"/>
      <w:lvlText w:val="%1.%7"/>
      <w:lvlJc w:val="left"/>
      <w:pPr>
        <w:ind w:left="1531" w:hanging="1531"/>
      </w:pPr>
      <w:rPr>
        <w:rFonts w:ascii="Times New Roman" w:hAnsi="Times New Roman" w:hint="default"/>
        <w:b w:val="0"/>
        <w:i w:val="0"/>
        <w:sz w:val="24"/>
      </w:rPr>
    </w:lvl>
    <w:lvl w:ilvl="7">
      <w:start w:val="1"/>
      <w:numFmt w:val="lowerLetter"/>
      <w:lvlText w:val="%8)"/>
      <w:lvlJc w:val="left"/>
      <w:pPr>
        <w:ind w:left="1928" w:hanging="397"/>
      </w:pPr>
      <w:rPr>
        <w:rFonts w:asciiTheme="minorHAnsi" w:hAnsiTheme="minorHAnsi" w:cstheme="minorHAnsi" w:hint="default"/>
        <w:sz w:val="20"/>
        <w:szCs w:val="16"/>
      </w:rPr>
    </w:lvl>
    <w:lvl w:ilvl="8">
      <w:start w:val="1"/>
      <w:numFmt w:val="lowerRoman"/>
      <w:lvlText w:val="%9."/>
      <w:lvlJc w:val="left"/>
      <w:pPr>
        <w:ind w:left="22780" w:hanging="360"/>
      </w:pPr>
      <w:rPr>
        <w:rFonts w:hint="default"/>
      </w:rPr>
    </w:lvl>
  </w:abstractNum>
  <w:abstractNum w:abstractNumId="1" w15:restartNumberingAfterBreak="0">
    <w:nsid w:val="00C36A12"/>
    <w:multiLevelType w:val="hybridMultilevel"/>
    <w:tmpl w:val="0C2C51C2"/>
    <w:lvl w:ilvl="0" w:tplc="C5329616">
      <w:start w:val="1"/>
      <w:numFmt w:val="lowerLetter"/>
      <w:lvlText w:val="%1)"/>
      <w:lvlJc w:val="left"/>
      <w:pPr>
        <w:ind w:left="430" w:hanging="360"/>
      </w:pPr>
      <w:rPr>
        <w:rFonts w:hint="default"/>
      </w:rPr>
    </w:lvl>
    <w:lvl w:ilvl="1" w:tplc="107CAB88">
      <w:start w:val="1"/>
      <w:numFmt w:val="decimal"/>
      <w:lvlText w:val="%2)"/>
      <w:lvlJc w:val="left"/>
      <w:pPr>
        <w:ind w:left="1150" w:hanging="360"/>
      </w:pPr>
      <w:rPr>
        <w:rFonts w:hint="default"/>
      </w:r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start w:val="1"/>
      <w:numFmt w:val="lowerRoman"/>
      <w:lvlText w:val="%9."/>
      <w:lvlJc w:val="right"/>
      <w:pPr>
        <w:ind w:left="6190" w:hanging="180"/>
      </w:pPr>
    </w:lvl>
  </w:abstractNum>
  <w:abstractNum w:abstractNumId="2" w15:restartNumberingAfterBreak="0">
    <w:nsid w:val="01A07869"/>
    <w:multiLevelType w:val="hybridMultilevel"/>
    <w:tmpl w:val="9F82B0B0"/>
    <w:lvl w:ilvl="0" w:tplc="F34429C4">
      <w:start w:val="1"/>
      <w:numFmt w:val="lowerLetter"/>
      <w:lvlText w:val="%1)"/>
      <w:lvlJc w:val="left"/>
      <w:pPr>
        <w:ind w:left="1783"/>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42855A8">
      <w:start w:val="1"/>
      <w:numFmt w:val="bullet"/>
      <w:lvlText w:val="•"/>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50562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BA6A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34754E">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5E199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460DF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10FFA4">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860892">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9052D3"/>
    <w:multiLevelType w:val="hybridMultilevel"/>
    <w:tmpl w:val="5C1E79C4"/>
    <w:lvl w:ilvl="0" w:tplc="4A6C9B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B4315E"/>
    <w:multiLevelType w:val="hybridMultilevel"/>
    <w:tmpl w:val="5E9E484A"/>
    <w:lvl w:ilvl="0" w:tplc="04150011">
      <w:start w:val="1"/>
      <w:numFmt w:val="decimal"/>
      <w:lvlText w:val="%1)"/>
      <w:lvlJc w:val="left"/>
      <w:pPr>
        <w:ind w:left="790" w:hanging="360"/>
      </w:pPr>
    </w:lvl>
    <w:lvl w:ilvl="1" w:tplc="04150019">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5" w15:restartNumberingAfterBreak="0">
    <w:nsid w:val="04334CA7"/>
    <w:multiLevelType w:val="multilevel"/>
    <w:tmpl w:val="DAD850DC"/>
    <w:lvl w:ilvl="0">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46379A6"/>
    <w:multiLevelType w:val="hybridMultilevel"/>
    <w:tmpl w:val="A786286C"/>
    <w:lvl w:ilvl="0" w:tplc="6BE00986">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7" w15:restartNumberingAfterBreak="0">
    <w:nsid w:val="05A5445A"/>
    <w:multiLevelType w:val="multilevel"/>
    <w:tmpl w:val="CC2ADFE4"/>
    <w:lvl w:ilvl="0">
      <w:start w:val="5"/>
      <w:numFmt w:val="decimal"/>
      <w:lvlText w:val="%1."/>
      <w:lvlJc w:val="left"/>
      <w:pPr>
        <w:ind w:left="360" w:hanging="360"/>
      </w:pPr>
      <w:rPr>
        <w:rFonts w:hint="default"/>
      </w:rPr>
    </w:lvl>
    <w:lvl w:ilvl="1">
      <w:start w:val="1"/>
      <w:numFmt w:val="decimal"/>
      <w:lvlText w:val="%1.%2."/>
      <w:lvlJc w:val="left"/>
      <w:pPr>
        <w:ind w:left="2935" w:hanging="360"/>
      </w:pPr>
      <w:rPr>
        <w:rFonts w:hint="default"/>
      </w:rPr>
    </w:lvl>
    <w:lvl w:ilvl="2">
      <w:start w:val="1"/>
      <w:numFmt w:val="decimal"/>
      <w:lvlText w:val="%1.%2.%3."/>
      <w:lvlJc w:val="left"/>
      <w:pPr>
        <w:ind w:left="5870" w:hanging="720"/>
      </w:pPr>
      <w:rPr>
        <w:rFonts w:hint="default"/>
      </w:rPr>
    </w:lvl>
    <w:lvl w:ilvl="3">
      <w:start w:val="1"/>
      <w:numFmt w:val="decimal"/>
      <w:lvlText w:val="%1.%2.%3.%4."/>
      <w:lvlJc w:val="left"/>
      <w:pPr>
        <w:ind w:left="8445" w:hanging="720"/>
      </w:pPr>
      <w:rPr>
        <w:rFonts w:hint="default"/>
      </w:rPr>
    </w:lvl>
    <w:lvl w:ilvl="4">
      <w:start w:val="1"/>
      <w:numFmt w:val="decimal"/>
      <w:lvlText w:val="%1.%2.%3.%4.%5."/>
      <w:lvlJc w:val="left"/>
      <w:pPr>
        <w:ind w:left="11380" w:hanging="1080"/>
      </w:pPr>
      <w:rPr>
        <w:rFonts w:hint="default"/>
      </w:rPr>
    </w:lvl>
    <w:lvl w:ilvl="5">
      <w:start w:val="1"/>
      <w:numFmt w:val="decimal"/>
      <w:lvlText w:val="%1.%2.%3.%4.%5.%6."/>
      <w:lvlJc w:val="left"/>
      <w:pPr>
        <w:ind w:left="13955" w:hanging="1080"/>
      </w:pPr>
      <w:rPr>
        <w:rFonts w:hint="default"/>
      </w:rPr>
    </w:lvl>
    <w:lvl w:ilvl="6">
      <w:start w:val="1"/>
      <w:numFmt w:val="decimal"/>
      <w:lvlText w:val="%1.%2.%3.%4.%5.%6.%7."/>
      <w:lvlJc w:val="left"/>
      <w:pPr>
        <w:ind w:left="16890" w:hanging="1440"/>
      </w:pPr>
      <w:rPr>
        <w:rFonts w:hint="default"/>
      </w:rPr>
    </w:lvl>
    <w:lvl w:ilvl="7">
      <w:start w:val="1"/>
      <w:numFmt w:val="decimal"/>
      <w:lvlText w:val="%1.%2.%3.%4.%5.%6.%7.%8."/>
      <w:lvlJc w:val="left"/>
      <w:pPr>
        <w:ind w:left="19465" w:hanging="1440"/>
      </w:pPr>
      <w:rPr>
        <w:rFonts w:hint="default"/>
      </w:rPr>
    </w:lvl>
    <w:lvl w:ilvl="8">
      <w:start w:val="1"/>
      <w:numFmt w:val="decimal"/>
      <w:lvlText w:val="%1.%2.%3.%4.%5.%6.%7.%8.%9."/>
      <w:lvlJc w:val="left"/>
      <w:pPr>
        <w:ind w:left="22400" w:hanging="1800"/>
      </w:pPr>
      <w:rPr>
        <w:rFonts w:hint="default"/>
      </w:rPr>
    </w:lvl>
  </w:abstractNum>
  <w:abstractNum w:abstractNumId="8" w15:restartNumberingAfterBreak="0">
    <w:nsid w:val="06203A2A"/>
    <w:multiLevelType w:val="hybridMultilevel"/>
    <w:tmpl w:val="578E68DC"/>
    <w:lvl w:ilvl="0" w:tplc="04150017">
      <w:start w:val="1"/>
      <w:numFmt w:val="lowerLetter"/>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9" w15:restartNumberingAfterBreak="0">
    <w:nsid w:val="063E22C8"/>
    <w:multiLevelType w:val="hybridMultilevel"/>
    <w:tmpl w:val="0110FFE6"/>
    <w:lvl w:ilvl="0" w:tplc="CE0648CC">
      <w:start w:val="1"/>
      <w:numFmt w:val="decimal"/>
      <w:lvlText w:val="%1)"/>
      <w:lvlJc w:val="left"/>
      <w:pPr>
        <w:ind w:left="1020" w:hanging="360"/>
      </w:pPr>
    </w:lvl>
    <w:lvl w:ilvl="1" w:tplc="4998B67A">
      <w:start w:val="1"/>
      <w:numFmt w:val="decimal"/>
      <w:lvlText w:val="%2)"/>
      <w:lvlJc w:val="left"/>
      <w:pPr>
        <w:ind w:left="1020" w:hanging="360"/>
      </w:pPr>
    </w:lvl>
    <w:lvl w:ilvl="2" w:tplc="1F009A24">
      <w:start w:val="1"/>
      <w:numFmt w:val="decimal"/>
      <w:lvlText w:val="%3)"/>
      <w:lvlJc w:val="left"/>
      <w:pPr>
        <w:ind w:left="1020" w:hanging="360"/>
      </w:pPr>
    </w:lvl>
    <w:lvl w:ilvl="3" w:tplc="C38EC080">
      <w:start w:val="1"/>
      <w:numFmt w:val="decimal"/>
      <w:lvlText w:val="%4)"/>
      <w:lvlJc w:val="left"/>
      <w:pPr>
        <w:ind w:left="1020" w:hanging="360"/>
      </w:pPr>
    </w:lvl>
    <w:lvl w:ilvl="4" w:tplc="7BAE3EC8">
      <w:start w:val="1"/>
      <w:numFmt w:val="decimal"/>
      <w:lvlText w:val="%5)"/>
      <w:lvlJc w:val="left"/>
      <w:pPr>
        <w:ind w:left="1020" w:hanging="360"/>
      </w:pPr>
    </w:lvl>
    <w:lvl w:ilvl="5" w:tplc="EB20E03A">
      <w:start w:val="1"/>
      <w:numFmt w:val="decimal"/>
      <w:lvlText w:val="%6)"/>
      <w:lvlJc w:val="left"/>
      <w:pPr>
        <w:ind w:left="1020" w:hanging="360"/>
      </w:pPr>
    </w:lvl>
    <w:lvl w:ilvl="6" w:tplc="8D9C325A">
      <w:start w:val="1"/>
      <w:numFmt w:val="decimal"/>
      <w:lvlText w:val="%7)"/>
      <w:lvlJc w:val="left"/>
      <w:pPr>
        <w:ind w:left="1020" w:hanging="360"/>
      </w:pPr>
    </w:lvl>
    <w:lvl w:ilvl="7" w:tplc="1BD66A24">
      <w:start w:val="1"/>
      <w:numFmt w:val="decimal"/>
      <w:lvlText w:val="%8)"/>
      <w:lvlJc w:val="left"/>
      <w:pPr>
        <w:ind w:left="1020" w:hanging="360"/>
      </w:pPr>
    </w:lvl>
    <w:lvl w:ilvl="8" w:tplc="5B263C78">
      <w:start w:val="1"/>
      <w:numFmt w:val="decimal"/>
      <w:lvlText w:val="%9)"/>
      <w:lvlJc w:val="left"/>
      <w:pPr>
        <w:ind w:left="1020" w:hanging="360"/>
      </w:pPr>
    </w:lvl>
  </w:abstractNum>
  <w:abstractNum w:abstractNumId="10" w15:restartNumberingAfterBreak="0">
    <w:nsid w:val="06AF2A7A"/>
    <w:multiLevelType w:val="hybridMultilevel"/>
    <w:tmpl w:val="2070DFC0"/>
    <w:lvl w:ilvl="0" w:tplc="6F520D9A">
      <w:start w:val="1"/>
      <w:numFmt w:val="upp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1" w15:restartNumberingAfterBreak="0">
    <w:nsid w:val="07E04229"/>
    <w:multiLevelType w:val="hybridMultilevel"/>
    <w:tmpl w:val="AD86993E"/>
    <w:lvl w:ilvl="0" w:tplc="84B0B5E8">
      <w:numFmt w:val="bullet"/>
      <w:lvlText w:val="-"/>
      <w:lvlJc w:val="left"/>
      <w:pPr>
        <w:ind w:left="720" w:hanging="360"/>
      </w:pPr>
      <w:rPr>
        <w:rFonts w:ascii="Times New Roman" w:eastAsia="Times New Roman" w:hAnsi="Times New Roman" w:cs="Times New Roman" w:hint="default"/>
        <w:b w:val="0"/>
        <w:bCs w:val="0"/>
        <w:i w:val="0"/>
        <w:iCs w:val="0"/>
        <w:spacing w:val="0"/>
        <w:w w:val="102"/>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834583A"/>
    <w:multiLevelType w:val="hybridMultilevel"/>
    <w:tmpl w:val="F8068506"/>
    <w:lvl w:ilvl="0" w:tplc="9AAC592A">
      <w:start w:val="1"/>
      <w:numFmt w:val="bullet"/>
      <w:lvlText w:val=""/>
      <w:lvlJc w:val="left"/>
      <w:pPr>
        <w:ind w:left="28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C85EEE"/>
    <w:multiLevelType w:val="hybridMultilevel"/>
    <w:tmpl w:val="C986B62C"/>
    <w:lvl w:ilvl="0" w:tplc="E2CC4976">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4" w15:restartNumberingAfterBreak="0">
    <w:nsid w:val="0B712D42"/>
    <w:multiLevelType w:val="hybridMultilevel"/>
    <w:tmpl w:val="D4FC519A"/>
    <w:lvl w:ilvl="0" w:tplc="12ACCA2A">
      <w:start w:val="1"/>
      <w:numFmt w:val="decimal"/>
      <w:lvlText w:val="%1)"/>
      <w:lvlJc w:val="left"/>
      <w:pPr>
        <w:ind w:left="1020" w:hanging="360"/>
      </w:pPr>
    </w:lvl>
    <w:lvl w:ilvl="1" w:tplc="5F9AF9CC">
      <w:start w:val="1"/>
      <w:numFmt w:val="decimal"/>
      <w:lvlText w:val="%2)"/>
      <w:lvlJc w:val="left"/>
      <w:pPr>
        <w:ind w:left="1020" w:hanging="360"/>
      </w:pPr>
    </w:lvl>
    <w:lvl w:ilvl="2" w:tplc="CB54EE8C">
      <w:start w:val="1"/>
      <w:numFmt w:val="decimal"/>
      <w:lvlText w:val="%3)"/>
      <w:lvlJc w:val="left"/>
      <w:pPr>
        <w:ind w:left="1020" w:hanging="360"/>
      </w:pPr>
    </w:lvl>
    <w:lvl w:ilvl="3" w:tplc="0B389F7C">
      <w:start w:val="1"/>
      <w:numFmt w:val="decimal"/>
      <w:lvlText w:val="%4)"/>
      <w:lvlJc w:val="left"/>
      <w:pPr>
        <w:ind w:left="1020" w:hanging="360"/>
      </w:pPr>
    </w:lvl>
    <w:lvl w:ilvl="4" w:tplc="F9E6954E">
      <w:start w:val="1"/>
      <w:numFmt w:val="decimal"/>
      <w:lvlText w:val="%5)"/>
      <w:lvlJc w:val="left"/>
      <w:pPr>
        <w:ind w:left="1020" w:hanging="360"/>
      </w:pPr>
    </w:lvl>
    <w:lvl w:ilvl="5" w:tplc="65E698B8">
      <w:start w:val="1"/>
      <w:numFmt w:val="decimal"/>
      <w:lvlText w:val="%6)"/>
      <w:lvlJc w:val="left"/>
      <w:pPr>
        <w:ind w:left="1020" w:hanging="360"/>
      </w:pPr>
    </w:lvl>
    <w:lvl w:ilvl="6" w:tplc="514AE6BA">
      <w:start w:val="1"/>
      <w:numFmt w:val="decimal"/>
      <w:lvlText w:val="%7)"/>
      <w:lvlJc w:val="left"/>
      <w:pPr>
        <w:ind w:left="1020" w:hanging="360"/>
      </w:pPr>
    </w:lvl>
    <w:lvl w:ilvl="7" w:tplc="EE1E8DCE">
      <w:start w:val="1"/>
      <w:numFmt w:val="decimal"/>
      <w:lvlText w:val="%8)"/>
      <w:lvlJc w:val="left"/>
      <w:pPr>
        <w:ind w:left="1020" w:hanging="360"/>
      </w:pPr>
    </w:lvl>
    <w:lvl w:ilvl="8" w:tplc="7E5AA7B0">
      <w:start w:val="1"/>
      <w:numFmt w:val="decimal"/>
      <w:lvlText w:val="%9)"/>
      <w:lvlJc w:val="left"/>
      <w:pPr>
        <w:ind w:left="1020" w:hanging="360"/>
      </w:pPr>
    </w:lvl>
  </w:abstractNum>
  <w:abstractNum w:abstractNumId="15" w15:restartNumberingAfterBreak="0">
    <w:nsid w:val="0C6108B1"/>
    <w:multiLevelType w:val="hybridMultilevel"/>
    <w:tmpl w:val="D22C7E90"/>
    <w:lvl w:ilvl="0" w:tplc="38F4349C">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6" w15:restartNumberingAfterBreak="0">
    <w:nsid w:val="0E0F16D7"/>
    <w:multiLevelType w:val="hybridMultilevel"/>
    <w:tmpl w:val="489ACBCE"/>
    <w:lvl w:ilvl="0" w:tplc="13E6D762">
      <w:start w:val="1"/>
      <w:numFmt w:val="lowerLetter"/>
      <w:pStyle w:val="aprzed"/>
      <w:lvlText w:val="%1)"/>
      <w:lvlJc w:val="left"/>
      <w:pPr>
        <w:ind w:left="1495" w:hanging="360"/>
      </w:pPr>
    </w:lvl>
    <w:lvl w:ilvl="1" w:tplc="FFFFFFFF">
      <w:start w:val="1"/>
      <w:numFmt w:val="lowerLetter"/>
      <w:lvlText w:val="%2."/>
      <w:lvlJc w:val="left"/>
      <w:pPr>
        <w:ind w:left="2575" w:hanging="360"/>
      </w:pPr>
    </w:lvl>
    <w:lvl w:ilvl="2" w:tplc="15443C34">
      <w:start w:val="1"/>
      <w:numFmt w:val="decimal"/>
      <w:lvlText w:val="%3)"/>
      <w:lvlJc w:val="left"/>
      <w:pPr>
        <w:ind w:left="3475" w:hanging="360"/>
      </w:pPr>
      <w:rPr>
        <w:rFonts w:hint="default"/>
      </w:r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17" w15:restartNumberingAfterBreak="0">
    <w:nsid w:val="0E1A1BA5"/>
    <w:multiLevelType w:val="hybridMultilevel"/>
    <w:tmpl w:val="67C4296E"/>
    <w:lvl w:ilvl="0" w:tplc="04150011">
      <w:start w:val="1"/>
      <w:numFmt w:val="decimal"/>
      <w:lvlText w:val="%1)"/>
      <w:lvlJc w:val="left"/>
      <w:pPr>
        <w:ind w:left="2205" w:hanging="360"/>
      </w:pPr>
    </w:lvl>
    <w:lvl w:ilvl="1" w:tplc="04150019" w:tentative="1">
      <w:start w:val="1"/>
      <w:numFmt w:val="lowerLetter"/>
      <w:lvlText w:val="%2."/>
      <w:lvlJc w:val="left"/>
      <w:pPr>
        <w:ind w:left="2925" w:hanging="360"/>
      </w:pPr>
    </w:lvl>
    <w:lvl w:ilvl="2" w:tplc="0415001B" w:tentative="1">
      <w:start w:val="1"/>
      <w:numFmt w:val="lowerRoman"/>
      <w:lvlText w:val="%3."/>
      <w:lvlJc w:val="right"/>
      <w:pPr>
        <w:ind w:left="3645" w:hanging="180"/>
      </w:pPr>
    </w:lvl>
    <w:lvl w:ilvl="3" w:tplc="0415000F" w:tentative="1">
      <w:start w:val="1"/>
      <w:numFmt w:val="decimal"/>
      <w:lvlText w:val="%4."/>
      <w:lvlJc w:val="left"/>
      <w:pPr>
        <w:ind w:left="4365" w:hanging="360"/>
      </w:pPr>
    </w:lvl>
    <w:lvl w:ilvl="4" w:tplc="04150019" w:tentative="1">
      <w:start w:val="1"/>
      <w:numFmt w:val="lowerLetter"/>
      <w:lvlText w:val="%5."/>
      <w:lvlJc w:val="left"/>
      <w:pPr>
        <w:ind w:left="5085" w:hanging="360"/>
      </w:pPr>
    </w:lvl>
    <w:lvl w:ilvl="5" w:tplc="0415001B" w:tentative="1">
      <w:start w:val="1"/>
      <w:numFmt w:val="lowerRoman"/>
      <w:lvlText w:val="%6."/>
      <w:lvlJc w:val="right"/>
      <w:pPr>
        <w:ind w:left="5805" w:hanging="180"/>
      </w:pPr>
    </w:lvl>
    <w:lvl w:ilvl="6" w:tplc="0415000F" w:tentative="1">
      <w:start w:val="1"/>
      <w:numFmt w:val="decimal"/>
      <w:lvlText w:val="%7."/>
      <w:lvlJc w:val="left"/>
      <w:pPr>
        <w:ind w:left="6525" w:hanging="360"/>
      </w:pPr>
    </w:lvl>
    <w:lvl w:ilvl="7" w:tplc="04150019" w:tentative="1">
      <w:start w:val="1"/>
      <w:numFmt w:val="lowerLetter"/>
      <w:lvlText w:val="%8."/>
      <w:lvlJc w:val="left"/>
      <w:pPr>
        <w:ind w:left="7245" w:hanging="360"/>
      </w:pPr>
    </w:lvl>
    <w:lvl w:ilvl="8" w:tplc="0415001B" w:tentative="1">
      <w:start w:val="1"/>
      <w:numFmt w:val="lowerRoman"/>
      <w:lvlText w:val="%9."/>
      <w:lvlJc w:val="right"/>
      <w:pPr>
        <w:ind w:left="7965" w:hanging="180"/>
      </w:pPr>
    </w:lvl>
  </w:abstractNum>
  <w:abstractNum w:abstractNumId="18" w15:restartNumberingAfterBreak="0">
    <w:nsid w:val="0E272C3C"/>
    <w:multiLevelType w:val="hybridMultilevel"/>
    <w:tmpl w:val="48E6030C"/>
    <w:lvl w:ilvl="0" w:tplc="1F3A394A">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9" w15:restartNumberingAfterBreak="0">
    <w:nsid w:val="0EFF0EC0"/>
    <w:multiLevelType w:val="hybridMultilevel"/>
    <w:tmpl w:val="3030F720"/>
    <w:lvl w:ilvl="0" w:tplc="12965F98">
      <w:start w:val="1"/>
      <w:numFmt w:val="decimal"/>
      <w:lvlText w:val="%1)"/>
      <w:lvlJc w:val="left"/>
      <w:pPr>
        <w:ind w:left="720" w:hanging="360"/>
      </w:pPr>
    </w:lvl>
    <w:lvl w:ilvl="1" w:tplc="B75CF242">
      <w:start w:val="1"/>
      <w:numFmt w:val="decimal"/>
      <w:lvlText w:val="%2)"/>
      <w:lvlJc w:val="left"/>
      <w:pPr>
        <w:ind w:left="720" w:hanging="360"/>
      </w:pPr>
    </w:lvl>
    <w:lvl w:ilvl="2" w:tplc="700AA566">
      <w:start w:val="1"/>
      <w:numFmt w:val="decimal"/>
      <w:lvlText w:val="%3)"/>
      <w:lvlJc w:val="left"/>
      <w:pPr>
        <w:ind w:left="720" w:hanging="360"/>
      </w:pPr>
    </w:lvl>
    <w:lvl w:ilvl="3" w:tplc="E53E3F04">
      <w:start w:val="1"/>
      <w:numFmt w:val="decimal"/>
      <w:lvlText w:val="%4)"/>
      <w:lvlJc w:val="left"/>
      <w:pPr>
        <w:ind w:left="720" w:hanging="360"/>
      </w:pPr>
    </w:lvl>
    <w:lvl w:ilvl="4" w:tplc="DDEC426E">
      <w:start w:val="1"/>
      <w:numFmt w:val="decimal"/>
      <w:lvlText w:val="%5)"/>
      <w:lvlJc w:val="left"/>
      <w:pPr>
        <w:ind w:left="720" w:hanging="360"/>
      </w:pPr>
    </w:lvl>
    <w:lvl w:ilvl="5" w:tplc="D85AA940">
      <w:start w:val="1"/>
      <w:numFmt w:val="decimal"/>
      <w:lvlText w:val="%6)"/>
      <w:lvlJc w:val="left"/>
      <w:pPr>
        <w:ind w:left="720" w:hanging="360"/>
      </w:pPr>
    </w:lvl>
    <w:lvl w:ilvl="6" w:tplc="86CA9340">
      <w:start w:val="1"/>
      <w:numFmt w:val="decimal"/>
      <w:lvlText w:val="%7)"/>
      <w:lvlJc w:val="left"/>
      <w:pPr>
        <w:ind w:left="720" w:hanging="360"/>
      </w:pPr>
    </w:lvl>
    <w:lvl w:ilvl="7" w:tplc="8E9454A8">
      <w:start w:val="1"/>
      <w:numFmt w:val="decimal"/>
      <w:lvlText w:val="%8)"/>
      <w:lvlJc w:val="left"/>
      <w:pPr>
        <w:ind w:left="720" w:hanging="360"/>
      </w:pPr>
    </w:lvl>
    <w:lvl w:ilvl="8" w:tplc="4AE8FF0A">
      <w:start w:val="1"/>
      <w:numFmt w:val="decimal"/>
      <w:lvlText w:val="%9)"/>
      <w:lvlJc w:val="left"/>
      <w:pPr>
        <w:ind w:left="720" w:hanging="360"/>
      </w:pPr>
    </w:lvl>
  </w:abstractNum>
  <w:abstractNum w:abstractNumId="20" w15:restartNumberingAfterBreak="0">
    <w:nsid w:val="0F4A2CA2"/>
    <w:multiLevelType w:val="multilevel"/>
    <w:tmpl w:val="182CC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FC64533"/>
    <w:multiLevelType w:val="multilevel"/>
    <w:tmpl w:val="18CCA46E"/>
    <w:styleLink w:val="IRiESD"/>
    <w:lvl w:ilvl="0">
      <w:start w:val="1"/>
      <w:numFmt w:val="upperRoman"/>
      <w:lvlText w:val="%1."/>
      <w:lvlJc w:val="left"/>
      <w:pPr>
        <w:ind w:left="1134" w:hanging="1134"/>
      </w:pPr>
      <w:rPr>
        <w:rFonts w:ascii="Times New Roman" w:hAnsi="Times New Roman" w:hint="default"/>
        <w:b/>
        <w:sz w:val="24"/>
      </w:rPr>
    </w:lvl>
    <w:lvl w:ilvl="1">
      <w:start w:val="1"/>
      <w:numFmt w:val="decimal"/>
      <w:lvlText w:val="%1.%2."/>
      <w:lvlJc w:val="left"/>
      <w:pPr>
        <w:ind w:left="1191" w:hanging="1191"/>
      </w:pPr>
      <w:rPr>
        <w:rFonts w:ascii="Times New Roman" w:hAnsi="Times New Roman" w:hint="default"/>
        <w:b/>
        <w:sz w:val="24"/>
      </w:rPr>
    </w:lvl>
    <w:lvl w:ilvl="2">
      <w:start w:val="1"/>
      <w:numFmt w:val="decimal"/>
      <w:lvlText w:val="%1.%2.%3."/>
      <w:lvlJc w:val="left"/>
      <w:pPr>
        <w:ind w:left="1531" w:hanging="1531"/>
      </w:pPr>
      <w:rPr>
        <w:rFonts w:ascii="Times New Roman" w:hAnsi="Times New Roman" w:hint="default"/>
        <w:sz w:val="24"/>
      </w:rPr>
    </w:lvl>
    <w:lvl w:ilvl="3">
      <w:start w:val="1"/>
      <w:numFmt w:val="decimal"/>
      <w:lvlText w:val="%1.%2.%3.%4."/>
      <w:lvlJc w:val="left"/>
      <w:pPr>
        <w:ind w:left="1531" w:hanging="1531"/>
      </w:pPr>
      <w:rPr>
        <w:rFonts w:ascii="Times New Roman" w:hAnsi="Times New Roman" w:hint="default"/>
        <w:sz w:val="24"/>
      </w:rPr>
    </w:lvl>
    <w:lvl w:ilvl="4">
      <w:start w:val="1"/>
      <w:numFmt w:val="decimal"/>
      <w:lvlText w:val="%1.%2.%3.%4.%5"/>
      <w:lvlJc w:val="left"/>
      <w:pPr>
        <w:ind w:left="1531" w:hanging="1531"/>
      </w:pPr>
      <w:rPr>
        <w:rFonts w:ascii="Times New Roman" w:hAnsi="Times New Roman" w:hint="default"/>
        <w:sz w:val="24"/>
      </w:rPr>
    </w:lvl>
    <w:lvl w:ilvl="5">
      <w:start w:val="1"/>
      <w:numFmt w:val="decimal"/>
      <w:lvlText w:val="%1.%2.%3.%4.%5.%6."/>
      <w:lvlJc w:val="left"/>
      <w:pPr>
        <w:ind w:left="1531" w:hanging="1531"/>
      </w:pPr>
      <w:rPr>
        <w:rFonts w:ascii="Times New Roman" w:hAnsi="Times New Roman" w:hint="default"/>
        <w:sz w:val="24"/>
      </w:rPr>
    </w:lvl>
    <w:lvl w:ilvl="6">
      <w:start w:val="1"/>
      <w:numFmt w:val="decimal"/>
      <w:lvlText w:val="%1.%7"/>
      <w:lvlJc w:val="left"/>
      <w:pPr>
        <w:ind w:left="1531" w:hanging="1531"/>
      </w:pPr>
      <w:rPr>
        <w:rFonts w:ascii="Times New Roman" w:hAnsi="Times New Roman" w:hint="default"/>
        <w:b w:val="0"/>
        <w:i w:val="0"/>
        <w:sz w:val="24"/>
      </w:rPr>
    </w:lvl>
    <w:lvl w:ilvl="7">
      <w:start w:val="1"/>
      <w:numFmt w:val="lowerLetter"/>
      <w:lvlText w:val="%8)"/>
      <w:lvlJc w:val="left"/>
      <w:pPr>
        <w:ind w:left="1928" w:hanging="397"/>
      </w:pPr>
      <w:rPr>
        <w:rFonts w:ascii="Times New Roman" w:hAnsi="Times New Roman" w:hint="default"/>
        <w:sz w:val="24"/>
      </w:rPr>
    </w:lvl>
    <w:lvl w:ilvl="8">
      <w:start w:val="1"/>
      <w:numFmt w:val="lowerRoman"/>
      <w:lvlText w:val="%9."/>
      <w:lvlJc w:val="left"/>
      <w:pPr>
        <w:ind w:left="22780" w:hanging="360"/>
      </w:pPr>
      <w:rPr>
        <w:rFonts w:hint="default"/>
      </w:rPr>
    </w:lvl>
  </w:abstractNum>
  <w:abstractNum w:abstractNumId="22" w15:restartNumberingAfterBreak="0">
    <w:nsid w:val="116456E9"/>
    <w:multiLevelType w:val="multilevel"/>
    <w:tmpl w:val="917E0D9A"/>
    <w:lvl w:ilvl="0">
      <w:start w:val="1"/>
      <w:numFmt w:val="upperRoman"/>
      <w:pStyle w:val="GUDI"/>
      <w:lvlText w:val="%1."/>
      <w:lvlJc w:val="left"/>
      <w:pPr>
        <w:ind w:left="357" w:hanging="357"/>
      </w:pPr>
      <w:rPr>
        <w:rFonts w:hint="default"/>
        <w:b w:val="0"/>
        <w:bCs w:val="0"/>
        <w:i w:val="0"/>
        <w:sz w:val="24"/>
      </w:rPr>
    </w:lvl>
    <w:lvl w:ilvl="1">
      <w:start w:val="1"/>
      <w:numFmt w:val="decimal"/>
      <w:pStyle w:val="Gwny2"/>
      <w:lvlText w:val="%2."/>
      <w:lvlJc w:val="left"/>
      <w:pPr>
        <w:ind w:left="717" w:hanging="360"/>
      </w:pPr>
      <w:rPr>
        <w:b w:val="0"/>
        <w:bCs w:val="0"/>
      </w:rPr>
    </w:lvl>
    <w:lvl w:ilvl="2">
      <w:start w:val="1"/>
      <w:numFmt w:val="decimal"/>
      <w:lvlText w:val="%1.%2.%3."/>
      <w:lvlJc w:val="left"/>
      <w:pPr>
        <w:ind w:left="1701" w:hanging="680"/>
      </w:pPr>
      <w:rPr>
        <w:rFonts w:ascii="Times New Roman" w:hAnsi="Times New Roman" w:hint="default"/>
        <w:b w:val="0"/>
        <w:i w:val="0"/>
        <w:sz w:val="24"/>
      </w:rPr>
    </w:lvl>
    <w:lvl w:ilvl="3">
      <w:start w:val="1"/>
      <w:numFmt w:val="decimal"/>
      <w:lvlText w:val="%1.%2.%3.%4"/>
      <w:lvlJc w:val="left"/>
      <w:pPr>
        <w:ind w:left="1928" w:hanging="907"/>
      </w:pPr>
      <w:rPr>
        <w:rFonts w:ascii="Times New Roman" w:hAnsi="Times New Roman" w:hint="default"/>
        <w:b w:val="0"/>
        <w:i w:val="0"/>
        <w:sz w:val="24"/>
      </w:rPr>
    </w:lvl>
    <w:lvl w:ilvl="4">
      <w:start w:val="1"/>
      <w:numFmt w:val="decimal"/>
      <w:lvlText w:val="%1.%5."/>
      <w:lvlJc w:val="left"/>
      <w:pPr>
        <w:ind w:left="454" w:hanging="454"/>
      </w:pPr>
      <w:rPr>
        <w:rFonts w:ascii="Times New Roman" w:hAnsi="Times New Roman" w:hint="default"/>
        <w:b w:val="0"/>
        <w:i w:val="0"/>
        <w:sz w:val="24"/>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3" w15:restartNumberingAfterBreak="0">
    <w:nsid w:val="11A8026A"/>
    <w:multiLevelType w:val="hybridMultilevel"/>
    <w:tmpl w:val="F1CCE23C"/>
    <w:lvl w:ilvl="0" w:tplc="4D400A28">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24" w15:restartNumberingAfterBreak="0">
    <w:nsid w:val="1228380D"/>
    <w:multiLevelType w:val="hybridMultilevel"/>
    <w:tmpl w:val="72A00520"/>
    <w:lvl w:ilvl="0" w:tplc="7D465A4C">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5" w15:restartNumberingAfterBreak="0">
    <w:nsid w:val="128415F3"/>
    <w:multiLevelType w:val="hybridMultilevel"/>
    <w:tmpl w:val="3DC2CB10"/>
    <w:lvl w:ilvl="0" w:tplc="91C49784">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26" w15:restartNumberingAfterBreak="0">
    <w:nsid w:val="12852879"/>
    <w:multiLevelType w:val="hybridMultilevel"/>
    <w:tmpl w:val="E9B8BD20"/>
    <w:lvl w:ilvl="0" w:tplc="2876A26C">
      <w:start w:val="1"/>
      <w:numFmt w:val="decimal"/>
      <w:lvlText w:val="%1)"/>
      <w:lvlJc w:val="left"/>
      <w:pPr>
        <w:ind w:left="720" w:hanging="360"/>
      </w:pPr>
    </w:lvl>
    <w:lvl w:ilvl="1" w:tplc="9E98A360">
      <w:start w:val="1"/>
      <w:numFmt w:val="decimal"/>
      <w:lvlText w:val="%2)"/>
      <w:lvlJc w:val="left"/>
      <w:pPr>
        <w:ind w:left="720" w:hanging="360"/>
      </w:pPr>
    </w:lvl>
    <w:lvl w:ilvl="2" w:tplc="1206F816">
      <w:start w:val="1"/>
      <w:numFmt w:val="decimal"/>
      <w:lvlText w:val="%3)"/>
      <w:lvlJc w:val="left"/>
      <w:pPr>
        <w:ind w:left="720" w:hanging="360"/>
      </w:pPr>
    </w:lvl>
    <w:lvl w:ilvl="3" w:tplc="1D221BF8">
      <w:start w:val="1"/>
      <w:numFmt w:val="decimal"/>
      <w:lvlText w:val="%4)"/>
      <w:lvlJc w:val="left"/>
      <w:pPr>
        <w:ind w:left="720" w:hanging="360"/>
      </w:pPr>
    </w:lvl>
    <w:lvl w:ilvl="4" w:tplc="3EB89E52">
      <w:start w:val="1"/>
      <w:numFmt w:val="decimal"/>
      <w:lvlText w:val="%5)"/>
      <w:lvlJc w:val="left"/>
      <w:pPr>
        <w:ind w:left="720" w:hanging="360"/>
      </w:pPr>
    </w:lvl>
    <w:lvl w:ilvl="5" w:tplc="17B8676A">
      <w:start w:val="1"/>
      <w:numFmt w:val="decimal"/>
      <w:lvlText w:val="%6)"/>
      <w:lvlJc w:val="left"/>
      <w:pPr>
        <w:ind w:left="720" w:hanging="360"/>
      </w:pPr>
    </w:lvl>
    <w:lvl w:ilvl="6" w:tplc="C2A8634E">
      <w:start w:val="1"/>
      <w:numFmt w:val="decimal"/>
      <w:lvlText w:val="%7)"/>
      <w:lvlJc w:val="left"/>
      <w:pPr>
        <w:ind w:left="720" w:hanging="360"/>
      </w:pPr>
    </w:lvl>
    <w:lvl w:ilvl="7" w:tplc="122C6620">
      <w:start w:val="1"/>
      <w:numFmt w:val="decimal"/>
      <w:lvlText w:val="%8)"/>
      <w:lvlJc w:val="left"/>
      <w:pPr>
        <w:ind w:left="720" w:hanging="360"/>
      </w:pPr>
    </w:lvl>
    <w:lvl w:ilvl="8" w:tplc="3286BEEA">
      <w:start w:val="1"/>
      <w:numFmt w:val="decimal"/>
      <w:lvlText w:val="%9)"/>
      <w:lvlJc w:val="left"/>
      <w:pPr>
        <w:ind w:left="720" w:hanging="360"/>
      </w:pPr>
    </w:lvl>
  </w:abstractNum>
  <w:abstractNum w:abstractNumId="27" w15:restartNumberingAfterBreak="0">
    <w:nsid w:val="12C96286"/>
    <w:multiLevelType w:val="hybridMultilevel"/>
    <w:tmpl w:val="ADF8B5AA"/>
    <w:lvl w:ilvl="0" w:tplc="E3FCD77E">
      <w:start w:val="1"/>
      <w:numFmt w:val="lowerRoman"/>
      <w:lvlText w:val="%1."/>
      <w:lvlJc w:val="left"/>
      <w:pPr>
        <w:ind w:left="720" w:hanging="360"/>
      </w:pPr>
      <w:rPr>
        <w:rFonts w:ascii="Times New Roman" w:eastAsia="Times New Roman" w:hAnsi="Times New Roman" w:cs="Times New Roman"/>
        <w:b w:val="0"/>
        <w:bCs w:val="0"/>
        <w:i w:val="0"/>
        <w:iCs w:val="0"/>
        <w:spacing w:val="0"/>
        <w:w w:val="102"/>
        <w:sz w:val="22"/>
        <w:szCs w:val="22"/>
        <w:lang w:val="pl-PL" w:eastAsia="en-US" w:bidi="ar-SA"/>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3B0064B"/>
    <w:multiLevelType w:val="multilevel"/>
    <w:tmpl w:val="44A4BD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967051"/>
    <w:multiLevelType w:val="hybridMultilevel"/>
    <w:tmpl w:val="6E1EE6E2"/>
    <w:lvl w:ilvl="0" w:tplc="4788808E">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14A81B9F"/>
    <w:multiLevelType w:val="hybridMultilevel"/>
    <w:tmpl w:val="2A2073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E0061D"/>
    <w:multiLevelType w:val="hybridMultilevel"/>
    <w:tmpl w:val="880EE43C"/>
    <w:lvl w:ilvl="0" w:tplc="04150011">
      <w:start w:val="1"/>
      <w:numFmt w:val="decimal"/>
      <w:lvlText w:val="%1)"/>
      <w:lvlJc w:val="left"/>
      <w:pPr>
        <w:ind w:left="790" w:hanging="360"/>
      </w:pPr>
    </w:lvl>
    <w:lvl w:ilvl="1" w:tplc="04150019">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32" w15:restartNumberingAfterBreak="0">
    <w:nsid w:val="15EC2DCC"/>
    <w:multiLevelType w:val="hybridMultilevel"/>
    <w:tmpl w:val="45E00238"/>
    <w:lvl w:ilvl="0" w:tplc="04150017">
      <w:start w:val="1"/>
      <w:numFmt w:val="lowerLetter"/>
      <w:lvlText w:val="%1)"/>
      <w:lvlJc w:val="lef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33" w15:restartNumberingAfterBreak="0">
    <w:nsid w:val="16822590"/>
    <w:multiLevelType w:val="multilevel"/>
    <w:tmpl w:val="957AD3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6EF79AA"/>
    <w:multiLevelType w:val="hybridMultilevel"/>
    <w:tmpl w:val="8D0EF430"/>
    <w:lvl w:ilvl="0" w:tplc="A02EB64E">
      <w:start w:val="1"/>
      <w:numFmt w:val="lowerRoman"/>
      <w:lvlText w:val="%1)"/>
      <w:lvlJc w:val="right"/>
      <w:pPr>
        <w:ind w:left="720" w:hanging="360"/>
      </w:pPr>
    </w:lvl>
    <w:lvl w:ilvl="1" w:tplc="5E7646C8">
      <w:start w:val="1"/>
      <w:numFmt w:val="lowerRoman"/>
      <w:lvlText w:val="%2)"/>
      <w:lvlJc w:val="right"/>
      <w:pPr>
        <w:ind w:left="720" w:hanging="360"/>
      </w:pPr>
    </w:lvl>
    <w:lvl w:ilvl="2" w:tplc="FC84D5E2">
      <w:start w:val="1"/>
      <w:numFmt w:val="lowerRoman"/>
      <w:lvlText w:val="%3)"/>
      <w:lvlJc w:val="right"/>
      <w:pPr>
        <w:ind w:left="720" w:hanging="360"/>
      </w:pPr>
    </w:lvl>
    <w:lvl w:ilvl="3" w:tplc="FC04D3FC">
      <w:start w:val="1"/>
      <w:numFmt w:val="lowerRoman"/>
      <w:lvlText w:val="%4)"/>
      <w:lvlJc w:val="right"/>
      <w:pPr>
        <w:ind w:left="720" w:hanging="360"/>
      </w:pPr>
    </w:lvl>
    <w:lvl w:ilvl="4" w:tplc="F73C844C">
      <w:start w:val="1"/>
      <w:numFmt w:val="lowerRoman"/>
      <w:lvlText w:val="%5)"/>
      <w:lvlJc w:val="right"/>
      <w:pPr>
        <w:ind w:left="720" w:hanging="360"/>
      </w:pPr>
    </w:lvl>
    <w:lvl w:ilvl="5" w:tplc="DDF220FE">
      <w:start w:val="1"/>
      <w:numFmt w:val="lowerRoman"/>
      <w:lvlText w:val="%6)"/>
      <w:lvlJc w:val="right"/>
      <w:pPr>
        <w:ind w:left="720" w:hanging="360"/>
      </w:pPr>
    </w:lvl>
    <w:lvl w:ilvl="6" w:tplc="35267338">
      <w:start w:val="1"/>
      <w:numFmt w:val="lowerRoman"/>
      <w:lvlText w:val="%7)"/>
      <w:lvlJc w:val="right"/>
      <w:pPr>
        <w:ind w:left="720" w:hanging="360"/>
      </w:pPr>
    </w:lvl>
    <w:lvl w:ilvl="7" w:tplc="99782B32">
      <w:start w:val="1"/>
      <w:numFmt w:val="lowerRoman"/>
      <w:lvlText w:val="%8)"/>
      <w:lvlJc w:val="right"/>
      <w:pPr>
        <w:ind w:left="720" w:hanging="360"/>
      </w:pPr>
    </w:lvl>
    <w:lvl w:ilvl="8" w:tplc="9F2E3062">
      <w:start w:val="1"/>
      <w:numFmt w:val="lowerRoman"/>
      <w:lvlText w:val="%9)"/>
      <w:lvlJc w:val="right"/>
      <w:pPr>
        <w:ind w:left="720" w:hanging="360"/>
      </w:pPr>
    </w:lvl>
  </w:abstractNum>
  <w:abstractNum w:abstractNumId="35" w15:restartNumberingAfterBreak="0">
    <w:nsid w:val="173D4116"/>
    <w:multiLevelType w:val="hybridMultilevel"/>
    <w:tmpl w:val="A3C8B876"/>
    <w:lvl w:ilvl="0" w:tplc="FFFFFFFF">
      <w:start w:val="1"/>
      <w:numFmt w:val="lowerLetter"/>
      <w:lvlText w:val="%1)"/>
      <w:lvlJc w:val="left"/>
      <w:pPr>
        <w:ind w:left="2203" w:hanging="360"/>
      </w:p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36" w15:restartNumberingAfterBreak="0">
    <w:nsid w:val="176B1174"/>
    <w:multiLevelType w:val="hybridMultilevel"/>
    <w:tmpl w:val="5A20F2C4"/>
    <w:lvl w:ilvl="0" w:tplc="D3063078">
      <w:start w:val="1"/>
      <w:numFmt w:val="decimal"/>
      <w:pStyle w:val="1drugi"/>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184A13B6"/>
    <w:multiLevelType w:val="hybridMultilevel"/>
    <w:tmpl w:val="AACE19DE"/>
    <w:lvl w:ilvl="0" w:tplc="D77A0E36">
      <w:start w:val="1"/>
      <w:numFmt w:val="decimal"/>
      <w:lvlText w:val="%1)"/>
      <w:lvlJc w:val="left"/>
      <w:pPr>
        <w:ind w:left="1020" w:hanging="360"/>
      </w:pPr>
    </w:lvl>
    <w:lvl w:ilvl="1" w:tplc="A6A803D6">
      <w:start w:val="1"/>
      <w:numFmt w:val="decimal"/>
      <w:lvlText w:val="%2)"/>
      <w:lvlJc w:val="left"/>
      <w:pPr>
        <w:ind w:left="1020" w:hanging="360"/>
      </w:pPr>
    </w:lvl>
    <w:lvl w:ilvl="2" w:tplc="7F6844B8">
      <w:start w:val="1"/>
      <w:numFmt w:val="decimal"/>
      <w:lvlText w:val="%3)"/>
      <w:lvlJc w:val="left"/>
      <w:pPr>
        <w:ind w:left="1020" w:hanging="360"/>
      </w:pPr>
    </w:lvl>
    <w:lvl w:ilvl="3" w:tplc="A2087B3A">
      <w:start w:val="1"/>
      <w:numFmt w:val="decimal"/>
      <w:lvlText w:val="%4)"/>
      <w:lvlJc w:val="left"/>
      <w:pPr>
        <w:ind w:left="1020" w:hanging="360"/>
      </w:pPr>
    </w:lvl>
    <w:lvl w:ilvl="4" w:tplc="F02EC3B0">
      <w:start w:val="1"/>
      <w:numFmt w:val="decimal"/>
      <w:lvlText w:val="%5)"/>
      <w:lvlJc w:val="left"/>
      <w:pPr>
        <w:ind w:left="1020" w:hanging="360"/>
      </w:pPr>
    </w:lvl>
    <w:lvl w:ilvl="5" w:tplc="E5FC8DD4">
      <w:start w:val="1"/>
      <w:numFmt w:val="decimal"/>
      <w:lvlText w:val="%6)"/>
      <w:lvlJc w:val="left"/>
      <w:pPr>
        <w:ind w:left="1020" w:hanging="360"/>
      </w:pPr>
    </w:lvl>
    <w:lvl w:ilvl="6" w:tplc="6D84DEE8">
      <w:start w:val="1"/>
      <w:numFmt w:val="decimal"/>
      <w:lvlText w:val="%7)"/>
      <w:lvlJc w:val="left"/>
      <w:pPr>
        <w:ind w:left="1020" w:hanging="360"/>
      </w:pPr>
    </w:lvl>
    <w:lvl w:ilvl="7" w:tplc="F572B3B8">
      <w:start w:val="1"/>
      <w:numFmt w:val="decimal"/>
      <w:lvlText w:val="%8)"/>
      <w:lvlJc w:val="left"/>
      <w:pPr>
        <w:ind w:left="1020" w:hanging="360"/>
      </w:pPr>
    </w:lvl>
    <w:lvl w:ilvl="8" w:tplc="3BB054EC">
      <w:start w:val="1"/>
      <w:numFmt w:val="decimal"/>
      <w:lvlText w:val="%9)"/>
      <w:lvlJc w:val="left"/>
      <w:pPr>
        <w:ind w:left="1020" w:hanging="360"/>
      </w:pPr>
    </w:lvl>
  </w:abstractNum>
  <w:abstractNum w:abstractNumId="38" w15:restartNumberingAfterBreak="0">
    <w:nsid w:val="18BD3DCF"/>
    <w:multiLevelType w:val="multilevel"/>
    <w:tmpl w:val="EF3E9F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A3632B5"/>
    <w:multiLevelType w:val="hybridMultilevel"/>
    <w:tmpl w:val="2E86182C"/>
    <w:lvl w:ilvl="0" w:tplc="0AFA6D3C">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40" w15:restartNumberingAfterBreak="0">
    <w:nsid w:val="1B072050"/>
    <w:multiLevelType w:val="hybridMultilevel"/>
    <w:tmpl w:val="BA1AF61C"/>
    <w:lvl w:ilvl="0" w:tplc="4A202EB2">
      <w:start w:val="1"/>
      <w:numFmt w:val="decimal"/>
      <w:lvlText w:val="%1)"/>
      <w:lvlJc w:val="left"/>
      <w:pPr>
        <w:ind w:left="720" w:hanging="360"/>
      </w:pPr>
    </w:lvl>
    <w:lvl w:ilvl="1" w:tplc="D66A4F6E">
      <w:start w:val="1"/>
      <w:numFmt w:val="decimal"/>
      <w:lvlText w:val="%2)"/>
      <w:lvlJc w:val="left"/>
      <w:pPr>
        <w:ind w:left="720" w:hanging="360"/>
      </w:pPr>
    </w:lvl>
    <w:lvl w:ilvl="2" w:tplc="9A10C006">
      <w:start w:val="1"/>
      <w:numFmt w:val="decimal"/>
      <w:lvlText w:val="%3)"/>
      <w:lvlJc w:val="left"/>
      <w:pPr>
        <w:ind w:left="720" w:hanging="360"/>
      </w:pPr>
    </w:lvl>
    <w:lvl w:ilvl="3" w:tplc="55BEEDD4">
      <w:start w:val="1"/>
      <w:numFmt w:val="decimal"/>
      <w:lvlText w:val="%4)"/>
      <w:lvlJc w:val="left"/>
      <w:pPr>
        <w:ind w:left="720" w:hanging="360"/>
      </w:pPr>
    </w:lvl>
    <w:lvl w:ilvl="4" w:tplc="83CA69C6">
      <w:start w:val="1"/>
      <w:numFmt w:val="decimal"/>
      <w:lvlText w:val="%5)"/>
      <w:lvlJc w:val="left"/>
      <w:pPr>
        <w:ind w:left="720" w:hanging="360"/>
      </w:pPr>
    </w:lvl>
    <w:lvl w:ilvl="5" w:tplc="55783D18">
      <w:start w:val="1"/>
      <w:numFmt w:val="decimal"/>
      <w:lvlText w:val="%6)"/>
      <w:lvlJc w:val="left"/>
      <w:pPr>
        <w:ind w:left="720" w:hanging="360"/>
      </w:pPr>
    </w:lvl>
    <w:lvl w:ilvl="6" w:tplc="2154FF80">
      <w:start w:val="1"/>
      <w:numFmt w:val="decimal"/>
      <w:lvlText w:val="%7)"/>
      <w:lvlJc w:val="left"/>
      <w:pPr>
        <w:ind w:left="720" w:hanging="360"/>
      </w:pPr>
    </w:lvl>
    <w:lvl w:ilvl="7" w:tplc="92A67096">
      <w:start w:val="1"/>
      <w:numFmt w:val="decimal"/>
      <w:lvlText w:val="%8)"/>
      <w:lvlJc w:val="left"/>
      <w:pPr>
        <w:ind w:left="720" w:hanging="360"/>
      </w:pPr>
    </w:lvl>
    <w:lvl w:ilvl="8" w:tplc="A7202A40">
      <w:start w:val="1"/>
      <w:numFmt w:val="decimal"/>
      <w:lvlText w:val="%9)"/>
      <w:lvlJc w:val="left"/>
      <w:pPr>
        <w:ind w:left="720" w:hanging="360"/>
      </w:pPr>
    </w:lvl>
  </w:abstractNum>
  <w:abstractNum w:abstractNumId="41" w15:restartNumberingAfterBreak="0">
    <w:nsid w:val="1CA9332B"/>
    <w:multiLevelType w:val="hybridMultilevel"/>
    <w:tmpl w:val="4C20B914"/>
    <w:lvl w:ilvl="0" w:tplc="8E4092EE">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42" w15:restartNumberingAfterBreak="0">
    <w:nsid w:val="1CB45542"/>
    <w:multiLevelType w:val="multilevel"/>
    <w:tmpl w:val="1472D5F4"/>
    <w:lvl w:ilvl="0">
      <w:start w:val="1"/>
      <w:numFmt w:val="none"/>
      <w:pStyle w:val="NormalnyIRiESD"/>
      <w:lvlText w:val="1."/>
      <w:lvlJc w:val="left"/>
      <w:pPr>
        <w:ind w:left="432" w:hanging="432"/>
      </w:pPr>
      <w:rPr>
        <w:rFonts w:hint="default"/>
      </w:rPr>
    </w:lvl>
    <w:lvl w:ilvl="1">
      <w:start w:val="1"/>
      <w:numFmt w:val="decimal"/>
      <w:lvlText w:val="%14.%2"/>
      <w:lvlJc w:val="left"/>
      <w:pPr>
        <w:ind w:left="576" w:hanging="576"/>
      </w:pPr>
      <w:rPr>
        <w:rFonts w:hint="default"/>
      </w:rPr>
    </w:lvl>
    <w:lvl w:ilvl="2">
      <w:start w:val="1"/>
      <w:numFmt w:val="decimal"/>
      <w:lvlText w:val="1%1.%2.%3"/>
      <w:lvlJc w:val="left"/>
      <w:pPr>
        <w:ind w:left="720" w:hanging="720"/>
      </w:pPr>
      <w:rPr>
        <w:rFonts w:hint="default"/>
      </w:rPr>
    </w:lvl>
    <w:lvl w:ilvl="3">
      <w:start w:val="1"/>
      <w:numFmt w:val="decimal"/>
      <w:lvlText w:val="1%1.%2.%3.%4"/>
      <w:lvlJc w:val="left"/>
      <w:pPr>
        <w:ind w:left="864" w:hanging="864"/>
      </w:pPr>
      <w:rPr>
        <w:rFonts w:hint="default"/>
      </w:rPr>
    </w:lvl>
    <w:lvl w:ilvl="4">
      <w:start w:val="1"/>
      <w:numFmt w:val="decimal"/>
      <w:lvlText w:val="1%1.%2.%3.%4.%5"/>
      <w:lvlJc w:val="left"/>
      <w:pPr>
        <w:ind w:left="1008" w:hanging="1008"/>
      </w:pPr>
      <w:rPr>
        <w:rFonts w:hint="default"/>
      </w:rPr>
    </w:lvl>
    <w:lvl w:ilvl="5">
      <w:start w:val="1"/>
      <w:numFmt w:val="decimal"/>
      <w:lvlText w:val="1%1.%2.%3.%4.%5.%6"/>
      <w:lvlJc w:val="left"/>
      <w:pPr>
        <w:ind w:left="1152" w:hanging="1152"/>
      </w:pPr>
      <w:rPr>
        <w:rFonts w:hint="default"/>
      </w:rPr>
    </w:lvl>
    <w:lvl w:ilvl="6">
      <w:start w:val="1"/>
      <w:numFmt w:val="decimal"/>
      <w:lvlText w:val="1%1.%2.%3.%4.%5.%6.%7"/>
      <w:lvlJc w:val="left"/>
      <w:pPr>
        <w:ind w:left="1296" w:hanging="1296"/>
      </w:pPr>
      <w:rPr>
        <w:rFonts w:hint="default"/>
      </w:rPr>
    </w:lvl>
    <w:lvl w:ilvl="7">
      <w:start w:val="1"/>
      <w:numFmt w:val="decimal"/>
      <w:lvlText w:val="%11.%2.%3.%4.%5.%6.%7.%8"/>
      <w:lvlJc w:val="left"/>
      <w:pPr>
        <w:ind w:left="1440" w:hanging="1440"/>
      </w:pPr>
      <w:rPr>
        <w:rFonts w:hint="default"/>
      </w:rPr>
    </w:lvl>
    <w:lvl w:ilvl="8">
      <w:start w:val="1"/>
      <w:numFmt w:val="decimal"/>
      <w:lvlText w:val="1%1.%2.%3.%4.%5.%6.%7.%8.%9"/>
      <w:lvlJc w:val="left"/>
      <w:pPr>
        <w:ind w:left="1584" w:hanging="1584"/>
      </w:pPr>
      <w:rPr>
        <w:rFonts w:hint="default"/>
      </w:rPr>
    </w:lvl>
  </w:abstractNum>
  <w:abstractNum w:abstractNumId="43" w15:restartNumberingAfterBreak="0">
    <w:nsid w:val="1CC60AC5"/>
    <w:multiLevelType w:val="multilevel"/>
    <w:tmpl w:val="9C14275E"/>
    <w:lvl w:ilvl="0">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Restart w:val="0"/>
      <w:lvlText w:val="%1.%2.%3."/>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CEE0254"/>
    <w:multiLevelType w:val="hybridMultilevel"/>
    <w:tmpl w:val="D9540394"/>
    <w:lvl w:ilvl="0" w:tplc="8ED641B2">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45" w15:restartNumberingAfterBreak="0">
    <w:nsid w:val="1D0A2D79"/>
    <w:multiLevelType w:val="hybridMultilevel"/>
    <w:tmpl w:val="681C636C"/>
    <w:lvl w:ilvl="0" w:tplc="4A6C9BB2">
      <w:start w:val="1"/>
      <w:numFmt w:val="bullet"/>
      <w:lvlText w:val=""/>
      <w:lvlJc w:val="left"/>
      <w:pPr>
        <w:ind w:left="790" w:hanging="360"/>
      </w:pPr>
      <w:rPr>
        <w:rFonts w:ascii="Symbol" w:hAnsi="Symbol" w:hint="default"/>
      </w:rPr>
    </w:lvl>
    <w:lvl w:ilvl="1" w:tplc="04150003" w:tentative="1">
      <w:start w:val="1"/>
      <w:numFmt w:val="bullet"/>
      <w:lvlText w:val="o"/>
      <w:lvlJc w:val="left"/>
      <w:pPr>
        <w:ind w:left="1510" w:hanging="360"/>
      </w:pPr>
      <w:rPr>
        <w:rFonts w:ascii="Courier New" w:hAnsi="Courier New" w:cs="Courier New" w:hint="default"/>
      </w:rPr>
    </w:lvl>
    <w:lvl w:ilvl="2" w:tplc="04150005" w:tentative="1">
      <w:start w:val="1"/>
      <w:numFmt w:val="bullet"/>
      <w:lvlText w:val=""/>
      <w:lvlJc w:val="left"/>
      <w:pPr>
        <w:ind w:left="2230" w:hanging="360"/>
      </w:pPr>
      <w:rPr>
        <w:rFonts w:ascii="Wingdings" w:hAnsi="Wingdings" w:hint="default"/>
      </w:rPr>
    </w:lvl>
    <w:lvl w:ilvl="3" w:tplc="04150001" w:tentative="1">
      <w:start w:val="1"/>
      <w:numFmt w:val="bullet"/>
      <w:lvlText w:val=""/>
      <w:lvlJc w:val="left"/>
      <w:pPr>
        <w:ind w:left="2950" w:hanging="360"/>
      </w:pPr>
      <w:rPr>
        <w:rFonts w:ascii="Symbol" w:hAnsi="Symbol" w:hint="default"/>
      </w:rPr>
    </w:lvl>
    <w:lvl w:ilvl="4" w:tplc="04150003" w:tentative="1">
      <w:start w:val="1"/>
      <w:numFmt w:val="bullet"/>
      <w:lvlText w:val="o"/>
      <w:lvlJc w:val="left"/>
      <w:pPr>
        <w:ind w:left="3670" w:hanging="360"/>
      </w:pPr>
      <w:rPr>
        <w:rFonts w:ascii="Courier New" w:hAnsi="Courier New" w:cs="Courier New" w:hint="default"/>
      </w:rPr>
    </w:lvl>
    <w:lvl w:ilvl="5" w:tplc="04150005" w:tentative="1">
      <w:start w:val="1"/>
      <w:numFmt w:val="bullet"/>
      <w:lvlText w:val=""/>
      <w:lvlJc w:val="left"/>
      <w:pPr>
        <w:ind w:left="4390" w:hanging="360"/>
      </w:pPr>
      <w:rPr>
        <w:rFonts w:ascii="Wingdings" w:hAnsi="Wingdings" w:hint="default"/>
      </w:rPr>
    </w:lvl>
    <w:lvl w:ilvl="6" w:tplc="04150001" w:tentative="1">
      <w:start w:val="1"/>
      <w:numFmt w:val="bullet"/>
      <w:lvlText w:val=""/>
      <w:lvlJc w:val="left"/>
      <w:pPr>
        <w:ind w:left="5110" w:hanging="360"/>
      </w:pPr>
      <w:rPr>
        <w:rFonts w:ascii="Symbol" w:hAnsi="Symbol" w:hint="default"/>
      </w:rPr>
    </w:lvl>
    <w:lvl w:ilvl="7" w:tplc="04150003" w:tentative="1">
      <w:start w:val="1"/>
      <w:numFmt w:val="bullet"/>
      <w:lvlText w:val="o"/>
      <w:lvlJc w:val="left"/>
      <w:pPr>
        <w:ind w:left="5830" w:hanging="360"/>
      </w:pPr>
      <w:rPr>
        <w:rFonts w:ascii="Courier New" w:hAnsi="Courier New" w:cs="Courier New" w:hint="default"/>
      </w:rPr>
    </w:lvl>
    <w:lvl w:ilvl="8" w:tplc="04150005" w:tentative="1">
      <w:start w:val="1"/>
      <w:numFmt w:val="bullet"/>
      <w:lvlText w:val=""/>
      <w:lvlJc w:val="left"/>
      <w:pPr>
        <w:ind w:left="6550" w:hanging="360"/>
      </w:pPr>
      <w:rPr>
        <w:rFonts w:ascii="Wingdings" w:hAnsi="Wingdings" w:hint="default"/>
      </w:rPr>
    </w:lvl>
  </w:abstractNum>
  <w:abstractNum w:abstractNumId="46" w15:restartNumberingAfterBreak="0">
    <w:nsid w:val="1D0A3C92"/>
    <w:multiLevelType w:val="hybridMultilevel"/>
    <w:tmpl w:val="5C3CEB3A"/>
    <w:lvl w:ilvl="0" w:tplc="B8B219DE">
      <w:start w:val="1"/>
      <w:numFmt w:val="decimal"/>
      <w:pStyle w:val="Gwny3"/>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D4A6284"/>
    <w:multiLevelType w:val="hybridMultilevel"/>
    <w:tmpl w:val="6F5239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11358A"/>
    <w:multiLevelType w:val="hybridMultilevel"/>
    <w:tmpl w:val="652CE324"/>
    <w:lvl w:ilvl="0" w:tplc="06961CDC">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49" w15:restartNumberingAfterBreak="0">
    <w:nsid w:val="1E1E0BE9"/>
    <w:multiLevelType w:val="hybridMultilevel"/>
    <w:tmpl w:val="4782C9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E2357F5"/>
    <w:multiLevelType w:val="hybridMultilevel"/>
    <w:tmpl w:val="6B0882FA"/>
    <w:lvl w:ilvl="0" w:tplc="96AE3C0E">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51" w15:restartNumberingAfterBreak="0">
    <w:nsid w:val="1F5B3026"/>
    <w:multiLevelType w:val="hybridMultilevel"/>
    <w:tmpl w:val="4A10A23A"/>
    <w:lvl w:ilvl="0" w:tplc="0394A66C">
      <w:start w:val="1"/>
      <w:numFmt w:val="decimal"/>
      <w:lvlText w:val="%1)"/>
      <w:lvlJc w:val="left"/>
      <w:pPr>
        <w:ind w:left="10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03D7D5C"/>
    <w:multiLevelType w:val="hybridMultilevel"/>
    <w:tmpl w:val="32B0E3E6"/>
    <w:lvl w:ilvl="0" w:tplc="756AEA62">
      <w:numFmt w:val="bullet"/>
      <w:lvlText w:val=""/>
      <w:lvlJc w:val="left"/>
      <w:pPr>
        <w:ind w:left="720" w:hanging="360"/>
      </w:pPr>
      <w:rPr>
        <w:rFonts w:ascii="Symbol" w:eastAsia="Symbol" w:hAnsi="Symbol" w:cs="Symbol" w:hint="default"/>
        <w:b w:val="0"/>
        <w:bCs w:val="0"/>
        <w:i w:val="0"/>
        <w:iCs w:val="0"/>
        <w:spacing w:val="0"/>
        <w:w w:val="102"/>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0545E2C"/>
    <w:multiLevelType w:val="hybridMultilevel"/>
    <w:tmpl w:val="3732DFA8"/>
    <w:lvl w:ilvl="0" w:tplc="3F08A1D6">
      <w:start w:val="1"/>
      <w:numFmt w:val="upp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54" w15:restartNumberingAfterBreak="0">
    <w:nsid w:val="22140702"/>
    <w:multiLevelType w:val="hybridMultilevel"/>
    <w:tmpl w:val="0EA6437C"/>
    <w:lvl w:ilvl="0" w:tplc="473AD3D0">
      <w:start w:val="1"/>
      <w:numFmt w:val="lowerLetter"/>
      <w:lvlText w:val="%1)"/>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2AD52">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E08222">
      <w:start w:val="1"/>
      <w:numFmt w:val="lowerRoman"/>
      <w:lvlText w:val="%3"/>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C4FFE">
      <w:start w:val="1"/>
      <w:numFmt w:val="decimal"/>
      <w:lvlText w:val="%4"/>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78D2C8">
      <w:start w:val="1"/>
      <w:numFmt w:val="lowerLetter"/>
      <w:lvlText w:val="%5"/>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F60D46">
      <w:start w:val="1"/>
      <w:numFmt w:val="lowerRoman"/>
      <w:lvlText w:val="%6"/>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543CA6">
      <w:start w:val="1"/>
      <w:numFmt w:val="decimal"/>
      <w:lvlText w:val="%7"/>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65FA0">
      <w:start w:val="1"/>
      <w:numFmt w:val="lowerLetter"/>
      <w:lvlText w:val="%8"/>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4BE8C">
      <w:start w:val="1"/>
      <w:numFmt w:val="lowerRoman"/>
      <w:lvlText w:val="%9"/>
      <w:lvlJc w:val="left"/>
      <w:pPr>
        <w:ind w:left="6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2C46F1E"/>
    <w:multiLevelType w:val="hybridMultilevel"/>
    <w:tmpl w:val="46C43C62"/>
    <w:lvl w:ilvl="0" w:tplc="D4EACD70">
      <w:start w:val="1"/>
      <w:numFmt w:val="lowerLetter"/>
      <w:lvlText w:val="%1)"/>
      <w:lvlJc w:val="left"/>
      <w:pPr>
        <w:ind w:left="720" w:hanging="360"/>
      </w:pPr>
    </w:lvl>
    <w:lvl w:ilvl="1" w:tplc="D74E5A72">
      <w:start w:val="1"/>
      <w:numFmt w:val="lowerLetter"/>
      <w:lvlText w:val="%2)"/>
      <w:lvlJc w:val="left"/>
      <w:pPr>
        <w:ind w:left="720" w:hanging="360"/>
      </w:pPr>
    </w:lvl>
    <w:lvl w:ilvl="2" w:tplc="47AE6ED8">
      <w:start w:val="1"/>
      <w:numFmt w:val="lowerLetter"/>
      <w:lvlText w:val="%3)"/>
      <w:lvlJc w:val="left"/>
      <w:pPr>
        <w:ind w:left="720" w:hanging="360"/>
      </w:pPr>
    </w:lvl>
    <w:lvl w:ilvl="3" w:tplc="C07A99D2">
      <w:start w:val="1"/>
      <w:numFmt w:val="lowerLetter"/>
      <w:lvlText w:val="%4)"/>
      <w:lvlJc w:val="left"/>
      <w:pPr>
        <w:ind w:left="720" w:hanging="360"/>
      </w:pPr>
    </w:lvl>
    <w:lvl w:ilvl="4" w:tplc="8B6E79CA">
      <w:start w:val="1"/>
      <w:numFmt w:val="lowerLetter"/>
      <w:lvlText w:val="%5)"/>
      <w:lvlJc w:val="left"/>
      <w:pPr>
        <w:ind w:left="720" w:hanging="360"/>
      </w:pPr>
    </w:lvl>
    <w:lvl w:ilvl="5" w:tplc="C2DE6F0C">
      <w:start w:val="1"/>
      <w:numFmt w:val="lowerLetter"/>
      <w:lvlText w:val="%6)"/>
      <w:lvlJc w:val="left"/>
      <w:pPr>
        <w:ind w:left="720" w:hanging="360"/>
      </w:pPr>
    </w:lvl>
    <w:lvl w:ilvl="6" w:tplc="7B22433E">
      <w:start w:val="1"/>
      <w:numFmt w:val="lowerLetter"/>
      <w:lvlText w:val="%7)"/>
      <w:lvlJc w:val="left"/>
      <w:pPr>
        <w:ind w:left="720" w:hanging="360"/>
      </w:pPr>
    </w:lvl>
    <w:lvl w:ilvl="7" w:tplc="EE223108">
      <w:start w:val="1"/>
      <w:numFmt w:val="lowerLetter"/>
      <w:lvlText w:val="%8)"/>
      <w:lvlJc w:val="left"/>
      <w:pPr>
        <w:ind w:left="720" w:hanging="360"/>
      </w:pPr>
    </w:lvl>
    <w:lvl w:ilvl="8" w:tplc="4F281100">
      <w:start w:val="1"/>
      <w:numFmt w:val="lowerLetter"/>
      <w:lvlText w:val="%9)"/>
      <w:lvlJc w:val="left"/>
      <w:pPr>
        <w:ind w:left="720" w:hanging="360"/>
      </w:pPr>
    </w:lvl>
  </w:abstractNum>
  <w:abstractNum w:abstractNumId="56" w15:restartNumberingAfterBreak="0">
    <w:nsid w:val="24254C93"/>
    <w:multiLevelType w:val="hybridMultilevel"/>
    <w:tmpl w:val="D0283FF8"/>
    <w:lvl w:ilvl="0" w:tplc="0C463E10">
      <w:start w:val="1"/>
      <w:numFmt w:val="lowerRoman"/>
      <w:pStyle w:val="Styl1"/>
      <w:lvlText w:val="%1."/>
      <w:lvlJc w:val="right"/>
      <w:pPr>
        <w:ind w:left="2611" w:hanging="360"/>
      </w:pPr>
    </w:lvl>
    <w:lvl w:ilvl="1" w:tplc="04150019" w:tentative="1">
      <w:start w:val="1"/>
      <w:numFmt w:val="lowerLetter"/>
      <w:lvlText w:val="%2."/>
      <w:lvlJc w:val="left"/>
      <w:pPr>
        <w:ind w:left="3331" w:hanging="360"/>
      </w:pPr>
    </w:lvl>
    <w:lvl w:ilvl="2" w:tplc="0415001B" w:tentative="1">
      <w:start w:val="1"/>
      <w:numFmt w:val="lowerRoman"/>
      <w:lvlText w:val="%3."/>
      <w:lvlJc w:val="right"/>
      <w:pPr>
        <w:ind w:left="4051" w:hanging="180"/>
      </w:pPr>
    </w:lvl>
    <w:lvl w:ilvl="3" w:tplc="0415000F" w:tentative="1">
      <w:start w:val="1"/>
      <w:numFmt w:val="decimal"/>
      <w:lvlText w:val="%4."/>
      <w:lvlJc w:val="left"/>
      <w:pPr>
        <w:ind w:left="4771" w:hanging="360"/>
      </w:pPr>
    </w:lvl>
    <w:lvl w:ilvl="4" w:tplc="04150019" w:tentative="1">
      <w:start w:val="1"/>
      <w:numFmt w:val="lowerLetter"/>
      <w:lvlText w:val="%5."/>
      <w:lvlJc w:val="left"/>
      <w:pPr>
        <w:ind w:left="5491" w:hanging="360"/>
      </w:pPr>
    </w:lvl>
    <w:lvl w:ilvl="5" w:tplc="0415001B" w:tentative="1">
      <w:start w:val="1"/>
      <w:numFmt w:val="lowerRoman"/>
      <w:lvlText w:val="%6."/>
      <w:lvlJc w:val="right"/>
      <w:pPr>
        <w:ind w:left="6211" w:hanging="180"/>
      </w:pPr>
    </w:lvl>
    <w:lvl w:ilvl="6" w:tplc="0415000F" w:tentative="1">
      <w:start w:val="1"/>
      <w:numFmt w:val="decimal"/>
      <w:lvlText w:val="%7."/>
      <w:lvlJc w:val="left"/>
      <w:pPr>
        <w:ind w:left="6931" w:hanging="360"/>
      </w:pPr>
    </w:lvl>
    <w:lvl w:ilvl="7" w:tplc="04150019" w:tentative="1">
      <w:start w:val="1"/>
      <w:numFmt w:val="lowerLetter"/>
      <w:lvlText w:val="%8."/>
      <w:lvlJc w:val="left"/>
      <w:pPr>
        <w:ind w:left="7651" w:hanging="360"/>
      </w:pPr>
    </w:lvl>
    <w:lvl w:ilvl="8" w:tplc="0415001B" w:tentative="1">
      <w:start w:val="1"/>
      <w:numFmt w:val="lowerRoman"/>
      <w:lvlText w:val="%9."/>
      <w:lvlJc w:val="right"/>
      <w:pPr>
        <w:ind w:left="8371" w:hanging="180"/>
      </w:pPr>
    </w:lvl>
  </w:abstractNum>
  <w:abstractNum w:abstractNumId="57" w15:restartNumberingAfterBreak="0">
    <w:nsid w:val="25D47067"/>
    <w:multiLevelType w:val="hybridMultilevel"/>
    <w:tmpl w:val="EFDA03F4"/>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8" w15:restartNumberingAfterBreak="0">
    <w:nsid w:val="27801B53"/>
    <w:multiLevelType w:val="hybridMultilevel"/>
    <w:tmpl w:val="DEB8D32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9" w15:restartNumberingAfterBreak="0">
    <w:nsid w:val="27BA54E5"/>
    <w:multiLevelType w:val="hybridMultilevel"/>
    <w:tmpl w:val="B1907A5E"/>
    <w:lvl w:ilvl="0" w:tplc="FFFFFFFF">
      <w:start w:val="1"/>
      <w:numFmt w:val="lowerLetter"/>
      <w:lvlText w:val="%1)"/>
      <w:lvlJc w:val="left"/>
      <w:pPr>
        <w:ind w:left="2421" w:hanging="360"/>
      </w:pPr>
    </w:lvl>
    <w:lvl w:ilvl="1" w:tplc="FFFFFFFF">
      <w:start w:val="1"/>
      <w:numFmt w:val="decimal"/>
      <w:lvlText w:val="%2)"/>
      <w:lvlJc w:val="left"/>
      <w:pPr>
        <w:ind w:left="3141" w:hanging="360"/>
      </w:pPr>
      <w:rPr>
        <w:rFonts w:hint="default"/>
      </w:r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start w:val="1"/>
      <w:numFmt w:val="lowerLetter"/>
      <w:lvlText w:val="%8)"/>
      <w:lvlJc w:val="left"/>
      <w:pPr>
        <w:ind w:left="790" w:hanging="360"/>
      </w:pPr>
    </w:lvl>
    <w:lvl w:ilvl="8" w:tplc="FFFFFFFF" w:tentative="1">
      <w:start w:val="1"/>
      <w:numFmt w:val="lowerRoman"/>
      <w:lvlText w:val="%9."/>
      <w:lvlJc w:val="right"/>
      <w:pPr>
        <w:ind w:left="8181" w:hanging="180"/>
      </w:pPr>
    </w:lvl>
  </w:abstractNum>
  <w:abstractNum w:abstractNumId="60" w15:restartNumberingAfterBreak="0">
    <w:nsid w:val="27C60F9D"/>
    <w:multiLevelType w:val="hybridMultilevel"/>
    <w:tmpl w:val="AA18EB82"/>
    <w:lvl w:ilvl="0" w:tplc="05B083BE">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61" w15:restartNumberingAfterBreak="0">
    <w:nsid w:val="27D66B1B"/>
    <w:multiLevelType w:val="hybridMultilevel"/>
    <w:tmpl w:val="5C7672C2"/>
    <w:lvl w:ilvl="0" w:tplc="756AEA62">
      <w:numFmt w:val="bullet"/>
      <w:lvlText w:val=""/>
      <w:lvlJc w:val="left"/>
      <w:pPr>
        <w:ind w:left="2648" w:hanging="360"/>
      </w:pPr>
      <w:rPr>
        <w:rFonts w:ascii="Symbol" w:eastAsia="Symbol" w:hAnsi="Symbol" w:cs="Symbol" w:hint="default"/>
        <w:b w:val="0"/>
        <w:bCs w:val="0"/>
        <w:i w:val="0"/>
        <w:iCs w:val="0"/>
        <w:spacing w:val="0"/>
        <w:w w:val="102"/>
        <w:sz w:val="22"/>
        <w:szCs w:val="22"/>
      </w:rPr>
    </w:lvl>
    <w:lvl w:ilvl="1" w:tplc="04150003" w:tentative="1">
      <w:start w:val="1"/>
      <w:numFmt w:val="bullet"/>
      <w:lvlText w:val="o"/>
      <w:lvlJc w:val="left"/>
      <w:pPr>
        <w:ind w:left="3368" w:hanging="360"/>
      </w:pPr>
      <w:rPr>
        <w:rFonts w:ascii="Courier New" w:hAnsi="Courier New" w:cs="Courier New" w:hint="default"/>
      </w:rPr>
    </w:lvl>
    <w:lvl w:ilvl="2" w:tplc="04150005" w:tentative="1">
      <w:start w:val="1"/>
      <w:numFmt w:val="bullet"/>
      <w:lvlText w:val=""/>
      <w:lvlJc w:val="left"/>
      <w:pPr>
        <w:ind w:left="4088" w:hanging="360"/>
      </w:pPr>
      <w:rPr>
        <w:rFonts w:ascii="Wingdings" w:hAnsi="Wingdings" w:hint="default"/>
      </w:rPr>
    </w:lvl>
    <w:lvl w:ilvl="3" w:tplc="04150001" w:tentative="1">
      <w:start w:val="1"/>
      <w:numFmt w:val="bullet"/>
      <w:lvlText w:val=""/>
      <w:lvlJc w:val="left"/>
      <w:pPr>
        <w:ind w:left="4808" w:hanging="360"/>
      </w:pPr>
      <w:rPr>
        <w:rFonts w:ascii="Symbol" w:hAnsi="Symbol" w:hint="default"/>
      </w:rPr>
    </w:lvl>
    <w:lvl w:ilvl="4" w:tplc="04150003" w:tentative="1">
      <w:start w:val="1"/>
      <w:numFmt w:val="bullet"/>
      <w:lvlText w:val="o"/>
      <w:lvlJc w:val="left"/>
      <w:pPr>
        <w:ind w:left="5528" w:hanging="360"/>
      </w:pPr>
      <w:rPr>
        <w:rFonts w:ascii="Courier New" w:hAnsi="Courier New" w:cs="Courier New" w:hint="default"/>
      </w:rPr>
    </w:lvl>
    <w:lvl w:ilvl="5" w:tplc="04150005" w:tentative="1">
      <w:start w:val="1"/>
      <w:numFmt w:val="bullet"/>
      <w:lvlText w:val=""/>
      <w:lvlJc w:val="left"/>
      <w:pPr>
        <w:ind w:left="6248" w:hanging="360"/>
      </w:pPr>
      <w:rPr>
        <w:rFonts w:ascii="Wingdings" w:hAnsi="Wingdings" w:hint="default"/>
      </w:rPr>
    </w:lvl>
    <w:lvl w:ilvl="6" w:tplc="04150001" w:tentative="1">
      <w:start w:val="1"/>
      <w:numFmt w:val="bullet"/>
      <w:lvlText w:val=""/>
      <w:lvlJc w:val="left"/>
      <w:pPr>
        <w:ind w:left="6968" w:hanging="360"/>
      </w:pPr>
      <w:rPr>
        <w:rFonts w:ascii="Symbol" w:hAnsi="Symbol" w:hint="default"/>
      </w:rPr>
    </w:lvl>
    <w:lvl w:ilvl="7" w:tplc="04150003" w:tentative="1">
      <w:start w:val="1"/>
      <w:numFmt w:val="bullet"/>
      <w:lvlText w:val="o"/>
      <w:lvlJc w:val="left"/>
      <w:pPr>
        <w:ind w:left="7688" w:hanging="360"/>
      </w:pPr>
      <w:rPr>
        <w:rFonts w:ascii="Courier New" w:hAnsi="Courier New" w:cs="Courier New" w:hint="default"/>
      </w:rPr>
    </w:lvl>
    <w:lvl w:ilvl="8" w:tplc="04150005" w:tentative="1">
      <w:start w:val="1"/>
      <w:numFmt w:val="bullet"/>
      <w:lvlText w:val=""/>
      <w:lvlJc w:val="left"/>
      <w:pPr>
        <w:ind w:left="8408" w:hanging="360"/>
      </w:pPr>
      <w:rPr>
        <w:rFonts w:ascii="Wingdings" w:hAnsi="Wingdings" w:hint="default"/>
      </w:rPr>
    </w:lvl>
  </w:abstractNum>
  <w:abstractNum w:abstractNumId="62" w15:restartNumberingAfterBreak="0">
    <w:nsid w:val="28003F78"/>
    <w:multiLevelType w:val="hybridMultilevel"/>
    <w:tmpl w:val="2F508AF2"/>
    <w:lvl w:ilvl="0" w:tplc="F1D289A0">
      <w:start w:val="1"/>
      <w:numFmt w:val="decimal"/>
      <w:lvlText w:val="%1)"/>
      <w:lvlJc w:val="left"/>
      <w:pPr>
        <w:ind w:left="720" w:hanging="360"/>
      </w:pPr>
    </w:lvl>
    <w:lvl w:ilvl="1" w:tplc="38127996">
      <w:start w:val="1"/>
      <w:numFmt w:val="decimal"/>
      <w:lvlText w:val="%2)"/>
      <w:lvlJc w:val="left"/>
      <w:pPr>
        <w:ind w:left="720" w:hanging="360"/>
      </w:pPr>
    </w:lvl>
    <w:lvl w:ilvl="2" w:tplc="EFB0B8E8">
      <w:start w:val="1"/>
      <w:numFmt w:val="decimal"/>
      <w:lvlText w:val="%3)"/>
      <w:lvlJc w:val="left"/>
      <w:pPr>
        <w:ind w:left="720" w:hanging="360"/>
      </w:pPr>
    </w:lvl>
    <w:lvl w:ilvl="3" w:tplc="43A8FA94">
      <w:start w:val="1"/>
      <w:numFmt w:val="decimal"/>
      <w:lvlText w:val="%4)"/>
      <w:lvlJc w:val="left"/>
      <w:pPr>
        <w:ind w:left="720" w:hanging="360"/>
      </w:pPr>
    </w:lvl>
    <w:lvl w:ilvl="4" w:tplc="A5A2E01E">
      <w:start w:val="1"/>
      <w:numFmt w:val="decimal"/>
      <w:lvlText w:val="%5)"/>
      <w:lvlJc w:val="left"/>
      <w:pPr>
        <w:ind w:left="720" w:hanging="360"/>
      </w:pPr>
    </w:lvl>
    <w:lvl w:ilvl="5" w:tplc="71822300">
      <w:start w:val="1"/>
      <w:numFmt w:val="decimal"/>
      <w:lvlText w:val="%6)"/>
      <w:lvlJc w:val="left"/>
      <w:pPr>
        <w:ind w:left="720" w:hanging="360"/>
      </w:pPr>
    </w:lvl>
    <w:lvl w:ilvl="6" w:tplc="FD682D5A">
      <w:start w:val="1"/>
      <w:numFmt w:val="decimal"/>
      <w:lvlText w:val="%7)"/>
      <w:lvlJc w:val="left"/>
      <w:pPr>
        <w:ind w:left="720" w:hanging="360"/>
      </w:pPr>
    </w:lvl>
    <w:lvl w:ilvl="7" w:tplc="4EF8DCE0">
      <w:start w:val="1"/>
      <w:numFmt w:val="decimal"/>
      <w:lvlText w:val="%8)"/>
      <w:lvlJc w:val="left"/>
      <w:pPr>
        <w:ind w:left="720" w:hanging="360"/>
      </w:pPr>
    </w:lvl>
    <w:lvl w:ilvl="8" w:tplc="1DBAAD9E">
      <w:start w:val="1"/>
      <w:numFmt w:val="decimal"/>
      <w:lvlText w:val="%9)"/>
      <w:lvlJc w:val="left"/>
      <w:pPr>
        <w:ind w:left="720" w:hanging="360"/>
      </w:pPr>
    </w:lvl>
  </w:abstractNum>
  <w:abstractNum w:abstractNumId="63" w15:restartNumberingAfterBreak="0">
    <w:nsid w:val="28C4295C"/>
    <w:multiLevelType w:val="hybridMultilevel"/>
    <w:tmpl w:val="9F82B5A4"/>
    <w:lvl w:ilvl="0" w:tplc="1A92B43A">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64" w15:restartNumberingAfterBreak="0">
    <w:nsid w:val="29AC78E7"/>
    <w:multiLevelType w:val="hybridMultilevel"/>
    <w:tmpl w:val="F6909004"/>
    <w:lvl w:ilvl="0" w:tplc="7034E0EE">
      <w:start w:val="1"/>
      <w:numFmt w:val="decimal"/>
      <w:lvlText w:val="%1)"/>
      <w:lvlJc w:val="left"/>
      <w:pPr>
        <w:ind w:left="1020" w:hanging="360"/>
      </w:pPr>
    </w:lvl>
    <w:lvl w:ilvl="1" w:tplc="CD5001A6">
      <w:start w:val="1"/>
      <w:numFmt w:val="decimal"/>
      <w:lvlText w:val="%2)"/>
      <w:lvlJc w:val="left"/>
      <w:pPr>
        <w:ind w:left="1020" w:hanging="360"/>
      </w:pPr>
    </w:lvl>
    <w:lvl w:ilvl="2" w:tplc="A5EAB59A">
      <w:start w:val="1"/>
      <w:numFmt w:val="decimal"/>
      <w:lvlText w:val="%3)"/>
      <w:lvlJc w:val="left"/>
      <w:pPr>
        <w:ind w:left="1020" w:hanging="360"/>
      </w:pPr>
    </w:lvl>
    <w:lvl w:ilvl="3" w:tplc="4CA4C70C">
      <w:start w:val="1"/>
      <w:numFmt w:val="decimal"/>
      <w:lvlText w:val="%4)"/>
      <w:lvlJc w:val="left"/>
      <w:pPr>
        <w:ind w:left="1020" w:hanging="360"/>
      </w:pPr>
    </w:lvl>
    <w:lvl w:ilvl="4" w:tplc="AABA3C2E">
      <w:start w:val="1"/>
      <w:numFmt w:val="decimal"/>
      <w:lvlText w:val="%5)"/>
      <w:lvlJc w:val="left"/>
      <w:pPr>
        <w:ind w:left="1020" w:hanging="360"/>
      </w:pPr>
    </w:lvl>
    <w:lvl w:ilvl="5" w:tplc="07048754">
      <w:start w:val="1"/>
      <w:numFmt w:val="decimal"/>
      <w:lvlText w:val="%6)"/>
      <w:lvlJc w:val="left"/>
      <w:pPr>
        <w:ind w:left="1020" w:hanging="360"/>
      </w:pPr>
    </w:lvl>
    <w:lvl w:ilvl="6" w:tplc="15363588">
      <w:start w:val="1"/>
      <w:numFmt w:val="decimal"/>
      <w:lvlText w:val="%7)"/>
      <w:lvlJc w:val="left"/>
      <w:pPr>
        <w:ind w:left="1020" w:hanging="360"/>
      </w:pPr>
    </w:lvl>
    <w:lvl w:ilvl="7" w:tplc="13CAADDE">
      <w:start w:val="1"/>
      <w:numFmt w:val="decimal"/>
      <w:lvlText w:val="%8)"/>
      <w:lvlJc w:val="left"/>
      <w:pPr>
        <w:ind w:left="1020" w:hanging="360"/>
      </w:pPr>
    </w:lvl>
    <w:lvl w:ilvl="8" w:tplc="B89828FA">
      <w:start w:val="1"/>
      <w:numFmt w:val="decimal"/>
      <w:lvlText w:val="%9)"/>
      <w:lvlJc w:val="left"/>
      <w:pPr>
        <w:ind w:left="1020" w:hanging="360"/>
      </w:pPr>
    </w:lvl>
  </w:abstractNum>
  <w:abstractNum w:abstractNumId="65" w15:restartNumberingAfterBreak="0">
    <w:nsid w:val="29D32D96"/>
    <w:multiLevelType w:val="hybridMultilevel"/>
    <w:tmpl w:val="B1907A5E"/>
    <w:lvl w:ilvl="0" w:tplc="FFFFFFFF">
      <w:start w:val="1"/>
      <w:numFmt w:val="lowerLetter"/>
      <w:lvlText w:val="%1)"/>
      <w:lvlJc w:val="left"/>
      <w:pPr>
        <w:ind w:left="2421" w:hanging="360"/>
      </w:pPr>
    </w:lvl>
    <w:lvl w:ilvl="1" w:tplc="EC72990C">
      <w:start w:val="1"/>
      <w:numFmt w:val="decimal"/>
      <w:lvlText w:val="%2)"/>
      <w:lvlJc w:val="left"/>
      <w:pPr>
        <w:ind w:left="3141" w:hanging="360"/>
      </w:pPr>
      <w:rPr>
        <w:rFonts w:hint="default"/>
      </w:r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04150017">
      <w:start w:val="1"/>
      <w:numFmt w:val="lowerLetter"/>
      <w:lvlText w:val="%8)"/>
      <w:lvlJc w:val="left"/>
      <w:pPr>
        <w:ind w:left="790" w:hanging="360"/>
      </w:pPr>
    </w:lvl>
    <w:lvl w:ilvl="8" w:tplc="FFFFFFFF" w:tentative="1">
      <w:start w:val="1"/>
      <w:numFmt w:val="lowerRoman"/>
      <w:lvlText w:val="%9."/>
      <w:lvlJc w:val="right"/>
      <w:pPr>
        <w:ind w:left="8181" w:hanging="180"/>
      </w:pPr>
    </w:lvl>
  </w:abstractNum>
  <w:abstractNum w:abstractNumId="66" w15:restartNumberingAfterBreak="0">
    <w:nsid w:val="29EC088F"/>
    <w:multiLevelType w:val="hybridMultilevel"/>
    <w:tmpl w:val="EB2A57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A7E68E9"/>
    <w:multiLevelType w:val="hybridMultilevel"/>
    <w:tmpl w:val="CFE0788C"/>
    <w:lvl w:ilvl="0" w:tplc="00448BCE">
      <w:start w:val="1"/>
      <w:numFmt w:val="bullet"/>
      <w:pStyle w:val="-"/>
      <w:lvlText w:val=""/>
      <w:lvlJc w:val="left"/>
      <w:pPr>
        <w:ind w:left="2648" w:hanging="360"/>
      </w:pPr>
      <w:rPr>
        <w:rFonts w:ascii="Symbol" w:hAnsi="Symbol" w:hint="default"/>
      </w:rPr>
    </w:lvl>
    <w:lvl w:ilvl="1" w:tplc="04150003" w:tentative="1">
      <w:start w:val="1"/>
      <w:numFmt w:val="bullet"/>
      <w:lvlText w:val="o"/>
      <w:lvlJc w:val="left"/>
      <w:pPr>
        <w:ind w:left="3368" w:hanging="360"/>
      </w:pPr>
      <w:rPr>
        <w:rFonts w:ascii="Courier New" w:hAnsi="Courier New" w:cs="Courier New" w:hint="default"/>
      </w:rPr>
    </w:lvl>
    <w:lvl w:ilvl="2" w:tplc="04150005" w:tentative="1">
      <w:start w:val="1"/>
      <w:numFmt w:val="bullet"/>
      <w:lvlText w:val=""/>
      <w:lvlJc w:val="left"/>
      <w:pPr>
        <w:ind w:left="4088" w:hanging="360"/>
      </w:pPr>
      <w:rPr>
        <w:rFonts w:ascii="Wingdings" w:hAnsi="Wingdings" w:hint="default"/>
      </w:rPr>
    </w:lvl>
    <w:lvl w:ilvl="3" w:tplc="04150001" w:tentative="1">
      <w:start w:val="1"/>
      <w:numFmt w:val="bullet"/>
      <w:lvlText w:val=""/>
      <w:lvlJc w:val="left"/>
      <w:pPr>
        <w:ind w:left="4808" w:hanging="360"/>
      </w:pPr>
      <w:rPr>
        <w:rFonts w:ascii="Symbol" w:hAnsi="Symbol" w:hint="default"/>
      </w:rPr>
    </w:lvl>
    <w:lvl w:ilvl="4" w:tplc="04150003" w:tentative="1">
      <w:start w:val="1"/>
      <w:numFmt w:val="bullet"/>
      <w:lvlText w:val="o"/>
      <w:lvlJc w:val="left"/>
      <w:pPr>
        <w:ind w:left="5528" w:hanging="360"/>
      </w:pPr>
      <w:rPr>
        <w:rFonts w:ascii="Courier New" w:hAnsi="Courier New" w:cs="Courier New" w:hint="default"/>
      </w:rPr>
    </w:lvl>
    <w:lvl w:ilvl="5" w:tplc="04150005" w:tentative="1">
      <w:start w:val="1"/>
      <w:numFmt w:val="bullet"/>
      <w:lvlText w:val=""/>
      <w:lvlJc w:val="left"/>
      <w:pPr>
        <w:ind w:left="6248" w:hanging="360"/>
      </w:pPr>
      <w:rPr>
        <w:rFonts w:ascii="Wingdings" w:hAnsi="Wingdings" w:hint="default"/>
      </w:rPr>
    </w:lvl>
    <w:lvl w:ilvl="6" w:tplc="04150001" w:tentative="1">
      <w:start w:val="1"/>
      <w:numFmt w:val="bullet"/>
      <w:lvlText w:val=""/>
      <w:lvlJc w:val="left"/>
      <w:pPr>
        <w:ind w:left="6968" w:hanging="360"/>
      </w:pPr>
      <w:rPr>
        <w:rFonts w:ascii="Symbol" w:hAnsi="Symbol" w:hint="default"/>
      </w:rPr>
    </w:lvl>
    <w:lvl w:ilvl="7" w:tplc="04150003" w:tentative="1">
      <w:start w:val="1"/>
      <w:numFmt w:val="bullet"/>
      <w:lvlText w:val="o"/>
      <w:lvlJc w:val="left"/>
      <w:pPr>
        <w:ind w:left="7688" w:hanging="360"/>
      </w:pPr>
      <w:rPr>
        <w:rFonts w:ascii="Courier New" w:hAnsi="Courier New" w:cs="Courier New" w:hint="default"/>
      </w:rPr>
    </w:lvl>
    <w:lvl w:ilvl="8" w:tplc="04150005" w:tentative="1">
      <w:start w:val="1"/>
      <w:numFmt w:val="bullet"/>
      <w:lvlText w:val=""/>
      <w:lvlJc w:val="left"/>
      <w:pPr>
        <w:ind w:left="8408" w:hanging="360"/>
      </w:pPr>
      <w:rPr>
        <w:rFonts w:ascii="Wingdings" w:hAnsi="Wingdings" w:hint="default"/>
      </w:rPr>
    </w:lvl>
  </w:abstractNum>
  <w:abstractNum w:abstractNumId="68" w15:restartNumberingAfterBreak="0">
    <w:nsid w:val="2A925508"/>
    <w:multiLevelType w:val="hybridMultilevel"/>
    <w:tmpl w:val="7BB44B98"/>
    <w:lvl w:ilvl="0" w:tplc="9A5C4E98">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69" w15:restartNumberingAfterBreak="0">
    <w:nsid w:val="2D5C6833"/>
    <w:multiLevelType w:val="hybridMultilevel"/>
    <w:tmpl w:val="B69C2DFA"/>
    <w:lvl w:ilvl="0" w:tplc="A0A67F50">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70" w15:restartNumberingAfterBreak="0">
    <w:nsid w:val="2DA843CB"/>
    <w:multiLevelType w:val="hybridMultilevel"/>
    <w:tmpl w:val="80B8B1D2"/>
    <w:lvl w:ilvl="0" w:tplc="E3A60DCA">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71" w15:restartNumberingAfterBreak="0">
    <w:nsid w:val="2DB64D7B"/>
    <w:multiLevelType w:val="hybridMultilevel"/>
    <w:tmpl w:val="6A326836"/>
    <w:lvl w:ilvl="0" w:tplc="4A6C9B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E306CD"/>
    <w:multiLevelType w:val="hybridMultilevel"/>
    <w:tmpl w:val="4AD0993C"/>
    <w:lvl w:ilvl="0" w:tplc="4A6C9B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FA20AD4"/>
    <w:multiLevelType w:val="hybridMultilevel"/>
    <w:tmpl w:val="D2EAF6B0"/>
    <w:lvl w:ilvl="0" w:tplc="04150011">
      <w:start w:val="1"/>
      <w:numFmt w:val="decimal"/>
      <w:lvlText w:val="%1)"/>
      <w:lvlJc w:val="left"/>
      <w:pPr>
        <w:ind w:left="1891" w:hanging="360"/>
      </w:p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74" w15:restartNumberingAfterBreak="0">
    <w:nsid w:val="30753174"/>
    <w:multiLevelType w:val="multilevel"/>
    <w:tmpl w:val="F70ADA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0D47559"/>
    <w:multiLevelType w:val="hybridMultilevel"/>
    <w:tmpl w:val="409AD662"/>
    <w:lvl w:ilvl="0" w:tplc="FFFFFFFF">
      <w:start w:val="1"/>
      <w:numFmt w:val="lowerLetter"/>
      <w:lvlText w:val="%1)"/>
      <w:lvlJc w:val="left"/>
      <w:pPr>
        <w:ind w:left="430" w:hanging="360"/>
      </w:pPr>
      <w:rPr>
        <w:rFonts w:hint="default"/>
      </w:rPr>
    </w:lvl>
    <w:lvl w:ilvl="1" w:tplc="FFFFFFFF" w:tentative="1">
      <w:start w:val="1"/>
      <w:numFmt w:val="lowerLetter"/>
      <w:lvlText w:val="%2."/>
      <w:lvlJc w:val="left"/>
      <w:pPr>
        <w:ind w:left="1150" w:hanging="360"/>
      </w:p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tentative="1">
      <w:start w:val="1"/>
      <w:numFmt w:val="lowerRoman"/>
      <w:lvlText w:val="%9."/>
      <w:lvlJc w:val="right"/>
      <w:pPr>
        <w:ind w:left="6190" w:hanging="180"/>
      </w:pPr>
    </w:lvl>
  </w:abstractNum>
  <w:abstractNum w:abstractNumId="76" w15:restartNumberingAfterBreak="0">
    <w:nsid w:val="31B225C3"/>
    <w:multiLevelType w:val="hybridMultilevel"/>
    <w:tmpl w:val="C672902A"/>
    <w:lvl w:ilvl="0" w:tplc="04150001">
      <w:start w:val="1"/>
      <w:numFmt w:val="bullet"/>
      <w:lvlText w:val=""/>
      <w:lvlJc w:val="left"/>
      <w:pPr>
        <w:ind w:left="790" w:hanging="360"/>
      </w:pPr>
      <w:rPr>
        <w:rFonts w:ascii="Symbol" w:hAnsi="Symbol" w:hint="default"/>
      </w:rPr>
    </w:lvl>
    <w:lvl w:ilvl="1" w:tplc="04150003" w:tentative="1">
      <w:start w:val="1"/>
      <w:numFmt w:val="bullet"/>
      <w:lvlText w:val="o"/>
      <w:lvlJc w:val="left"/>
      <w:pPr>
        <w:ind w:left="1510" w:hanging="360"/>
      </w:pPr>
      <w:rPr>
        <w:rFonts w:ascii="Courier New" w:hAnsi="Courier New" w:cs="Courier New" w:hint="default"/>
      </w:rPr>
    </w:lvl>
    <w:lvl w:ilvl="2" w:tplc="04150005" w:tentative="1">
      <w:start w:val="1"/>
      <w:numFmt w:val="bullet"/>
      <w:lvlText w:val=""/>
      <w:lvlJc w:val="left"/>
      <w:pPr>
        <w:ind w:left="2230" w:hanging="360"/>
      </w:pPr>
      <w:rPr>
        <w:rFonts w:ascii="Wingdings" w:hAnsi="Wingdings" w:hint="default"/>
      </w:rPr>
    </w:lvl>
    <w:lvl w:ilvl="3" w:tplc="04150001" w:tentative="1">
      <w:start w:val="1"/>
      <w:numFmt w:val="bullet"/>
      <w:lvlText w:val=""/>
      <w:lvlJc w:val="left"/>
      <w:pPr>
        <w:ind w:left="2950" w:hanging="360"/>
      </w:pPr>
      <w:rPr>
        <w:rFonts w:ascii="Symbol" w:hAnsi="Symbol" w:hint="default"/>
      </w:rPr>
    </w:lvl>
    <w:lvl w:ilvl="4" w:tplc="04150003" w:tentative="1">
      <w:start w:val="1"/>
      <w:numFmt w:val="bullet"/>
      <w:lvlText w:val="o"/>
      <w:lvlJc w:val="left"/>
      <w:pPr>
        <w:ind w:left="3670" w:hanging="360"/>
      </w:pPr>
      <w:rPr>
        <w:rFonts w:ascii="Courier New" w:hAnsi="Courier New" w:cs="Courier New" w:hint="default"/>
      </w:rPr>
    </w:lvl>
    <w:lvl w:ilvl="5" w:tplc="04150005" w:tentative="1">
      <w:start w:val="1"/>
      <w:numFmt w:val="bullet"/>
      <w:lvlText w:val=""/>
      <w:lvlJc w:val="left"/>
      <w:pPr>
        <w:ind w:left="4390" w:hanging="360"/>
      </w:pPr>
      <w:rPr>
        <w:rFonts w:ascii="Wingdings" w:hAnsi="Wingdings" w:hint="default"/>
      </w:rPr>
    </w:lvl>
    <w:lvl w:ilvl="6" w:tplc="04150001" w:tentative="1">
      <w:start w:val="1"/>
      <w:numFmt w:val="bullet"/>
      <w:lvlText w:val=""/>
      <w:lvlJc w:val="left"/>
      <w:pPr>
        <w:ind w:left="5110" w:hanging="360"/>
      </w:pPr>
      <w:rPr>
        <w:rFonts w:ascii="Symbol" w:hAnsi="Symbol" w:hint="default"/>
      </w:rPr>
    </w:lvl>
    <w:lvl w:ilvl="7" w:tplc="04150003" w:tentative="1">
      <w:start w:val="1"/>
      <w:numFmt w:val="bullet"/>
      <w:lvlText w:val="o"/>
      <w:lvlJc w:val="left"/>
      <w:pPr>
        <w:ind w:left="5830" w:hanging="360"/>
      </w:pPr>
      <w:rPr>
        <w:rFonts w:ascii="Courier New" w:hAnsi="Courier New" w:cs="Courier New" w:hint="default"/>
      </w:rPr>
    </w:lvl>
    <w:lvl w:ilvl="8" w:tplc="04150005" w:tentative="1">
      <w:start w:val="1"/>
      <w:numFmt w:val="bullet"/>
      <w:lvlText w:val=""/>
      <w:lvlJc w:val="left"/>
      <w:pPr>
        <w:ind w:left="6550" w:hanging="360"/>
      </w:pPr>
      <w:rPr>
        <w:rFonts w:ascii="Wingdings" w:hAnsi="Wingdings" w:hint="default"/>
      </w:rPr>
    </w:lvl>
  </w:abstractNum>
  <w:abstractNum w:abstractNumId="77" w15:restartNumberingAfterBreak="0">
    <w:nsid w:val="33270CD5"/>
    <w:multiLevelType w:val="hybridMultilevel"/>
    <w:tmpl w:val="F2928AE4"/>
    <w:lvl w:ilvl="0" w:tplc="75E41B42">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78" w15:restartNumberingAfterBreak="0">
    <w:nsid w:val="33B6783B"/>
    <w:multiLevelType w:val="hybridMultilevel"/>
    <w:tmpl w:val="002E553E"/>
    <w:lvl w:ilvl="0" w:tplc="AF84DA30">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79" w15:restartNumberingAfterBreak="0">
    <w:nsid w:val="348040EF"/>
    <w:multiLevelType w:val="hybridMultilevel"/>
    <w:tmpl w:val="B81827D6"/>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0" w15:restartNumberingAfterBreak="0">
    <w:nsid w:val="359260E0"/>
    <w:multiLevelType w:val="hybridMultilevel"/>
    <w:tmpl w:val="92843A86"/>
    <w:lvl w:ilvl="0" w:tplc="04150017">
      <w:start w:val="1"/>
      <w:numFmt w:val="lowerLetter"/>
      <w:lvlText w:val="%1)"/>
      <w:lvlJc w:val="left"/>
      <w:pPr>
        <w:ind w:left="1920" w:hanging="360"/>
      </w:pPr>
    </w:lvl>
    <w:lvl w:ilvl="1" w:tplc="04150019" w:tentative="1">
      <w:start w:val="1"/>
      <w:numFmt w:val="lowerLetter"/>
      <w:lvlText w:val="%2."/>
      <w:lvlJc w:val="left"/>
      <w:pPr>
        <w:ind w:left="2640" w:hanging="360"/>
      </w:pPr>
    </w:lvl>
    <w:lvl w:ilvl="2" w:tplc="0415001B">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81" w15:restartNumberingAfterBreak="0">
    <w:nsid w:val="367859E2"/>
    <w:multiLevelType w:val="hybridMultilevel"/>
    <w:tmpl w:val="C34006A4"/>
    <w:lvl w:ilvl="0" w:tplc="04150011">
      <w:start w:val="1"/>
      <w:numFmt w:val="decimal"/>
      <w:lvlText w:val="%1)"/>
      <w:lvlJc w:val="left"/>
      <w:pPr>
        <w:ind w:left="790" w:hanging="360"/>
      </w:pPr>
    </w:lvl>
    <w:lvl w:ilvl="1" w:tplc="04150019">
      <w:start w:val="1"/>
      <w:numFmt w:val="lowerLetter"/>
      <w:lvlText w:val="%2."/>
      <w:lvlJc w:val="left"/>
      <w:pPr>
        <w:ind w:left="1510" w:hanging="360"/>
      </w:pPr>
    </w:lvl>
    <w:lvl w:ilvl="2" w:tplc="229CFC46">
      <w:start w:val="1"/>
      <w:numFmt w:val="lowerLetter"/>
      <w:lvlText w:val="%3)"/>
      <w:lvlJc w:val="left"/>
      <w:pPr>
        <w:ind w:left="2410" w:hanging="360"/>
      </w:pPr>
      <w:rPr>
        <w:rFonts w:hint="default"/>
      </w:rPr>
    </w:lvl>
    <w:lvl w:ilvl="3" w:tplc="0415000F">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82" w15:restartNumberingAfterBreak="0">
    <w:nsid w:val="37E17B5E"/>
    <w:multiLevelType w:val="hybridMultilevel"/>
    <w:tmpl w:val="3EB65F4C"/>
    <w:lvl w:ilvl="0" w:tplc="12A6BB18">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3" w15:restartNumberingAfterBreak="0">
    <w:nsid w:val="382E7D10"/>
    <w:multiLevelType w:val="hybridMultilevel"/>
    <w:tmpl w:val="5F2EC010"/>
    <w:lvl w:ilvl="0" w:tplc="04150011">
      <w:start w:val="1"/>
      <w:numFmt w:val="decimal"/>
      <w:lvlText w:val="%1)"/>
      <w:lvlJc w:val="left"/>
      <w:pPr>
        <w:ind w:left="1920" w:hanging="360"/>
      </w:p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84" w15:restartNumberingAfterBreak="0">
    <w:nsid w:val="38543F0D"/>
    <w:multiLevelType w:val="hybridMultilevel"/>
    <w:tmpl w:val="28CA4B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8F24A97"/>
    <w:multiLevelType w:val="multilevel"/>
    <w:tmpl w:val="9F24C5F6"/>
    <w:lvl w:ilvl="0">
      <w:start w:val="1"/>
      <w:numFmt w:val="decimal"/>
      <w:lvlText w:val="%1."/>
      <w:lvlJc w:val="left"/>
      <w:pPr>
        <w:ind w:left="360" w:hanging="360"/>
      </w:pPr>
      <w:rPr>
        <w:rFonts w:hint="default"/>
      </w:rPr>
    </w:lvl>
    <w:lvl w:ilvl="1">
      <w:start w:val="1"/>
      <w:numFmt w:val="decimal"/>
      <w:lvlText w:val="%1.%2."/>
      <w:lvlJc w:val="left"/>
      <w:pPr>
        <w:ind w:left="3655" w:hanging="360"/>
      </w:pPr>
      <w:rPr>
        <w:rFonts w:hint="default"/>
      </w:rPr>
    </w:lvl>
    <w:lvl w:ilvl="2">
      <w:start w:val="1"/>
      <w:numFmt w:val="decimal"/>
      <w:lvlText w:val="%1.%2.%3."/>
      <w:lvlJc w:val="left"/>
      <w:pPr>
        <w:ind w:left="7310" w:hanging="720"/>
      </w:pPr>
      <w:rPr>
        <w:rFonts w:hint="default"/>
      </w:rPr>
    </w:lvl>
    <w:lvl w:ilvl="3">
      <w:start w:val="1"/>
      <w:numFmt w:val="decimal"/>
      <w:lvlText w:val="%1.%2.%3.%4."/>
      <w:lvlJc w:val="left"/>
      <w:pPr>
        <w:ind w:left="10605" w:hanging="720"/>
      </w:pPr>
      <w:rPr>
        <w:rFonts w:hint="default"/>
      </w:rPr>
    </w:lvl>
    <w:lvl w:ilvl="4">
      <w:start w:val="1"/>
      <w:numFmt w:val="decimal"/>
      <w:lvlText w:val="%1.%2.%3.%4.%5."/>
      <w:lvlJc w:val="left"/>
      <w:pPr>
        <w:ind w:left="14260" w:hanging="1080"/>
      </w:pPr>
      <w:rPr>
        <w:rFonts w:hint="default"/>
      </w:rPr>
    </w:lvl>
    <w:lvl w:ilvl="5">
      <w:start w:val="1"/>
      <w:numFmt w:val="decimal"/>
      <w:lvlText w:val="%1.%2.%3.%4.%5.%6."/>
      <w:lvlJc w:val="left"/>
      <w:pPr>
        <w:ind w:left="17555" w:hanging="1080"/>
      </w:pPr>
      <w:rPr>
        <w:rFonts w:hint="default"/>
      </w:rPr>
    </w:lvl>
    <w:lvl w:ilvl="6">
      <w:start w:val="1"/>
      <w:numFmt w:val="decimal"/>
      <w:lvlText w:val="%1.%2.%3.%4.%5.%6.%7."/>
      <w:lvlJc w:val="left"/>
      <w:pPr>
        <w:ind w:left="21210" w:hanging="1440"/>
      </w:pPr>
      <w:rPr>
        <w:rFonts w:hint="default"/>
      </w:rPr>
    </w:lvl>
    <w:lvl w:ilvl="7">
      <w:start w:val="1"/>
      <w:numFmt w:val="decimal"/>
      <w:lvlText w:val="%1.%2.%3.%4.%5.%6.%7.%8."/>
      <w:lvlJc w:val="left"/>
      <w:pPr>
        <w:ind w:left="24505" w:hanging="1440"/>
      </w:pPr>
      <w:rPr>
        <w:rFonts w:hint="default"/>
      </w:rPr>
    </w:lvl>
    <w:lvl w:ilvl="8">
      <w:start w:val="1"/>
      <w:numFmt w:val="decimal"/>
      <w:lvlText w:val="%1.%2.%3.%4.%5.%6.%7.%8.%9."/>
      <w:lvlJc w:val="left"/>
      <w:pPr>
        <w:ind w:left="28160" w:hanging="1800"/>
      </w:pPr>
      <w:rPr>
        <w:rFonts w:hint="default"/>
      </w:rPr>
    </w:lvl>
  </w:abstractNum>
  <w:abstractNum w:abstractNumId="86" w15:restartNumberingAfterBreak="0">
    <w:nsid w:val="39064A75"/>
    <w:multiLevelType w:val="hybridMultilevel"/>
    <w:tmpl w:val="A776D47E"/>
    <w:lvl w:ilvl="0" w:tplc="FFFFFFFF">
      <w:start w:val="1"/>
      <w:numFmt w:val="lowerLetter"/>
      <w:lvlText w:val="%1)"/>
      <w:lvlJc w:val="left"/>
      <w:pPr>
        <w:ind w:left="1495" w:hanging="360"/>
      </w:pPr>
    </w:lvl>
    <w:lvl w:ilvl="1" w:tplc="FFFFFFFF">
      <w:start w:val="1"/>
      <w:numFmt w:val="lowerLetter"/>
      <w:lvlText w:val="%2."/>
      <w:lvlJc w:val="left"/>
      <w:pPr>
        <w:ind w:left="2575" w:hanging="360"/>
      </w:pPr>
    </w:lvl>
    <w:lvl w:ilvl="2" w:tplc="FFFFFFFF">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87" w15:restartNumberingAfterBreak="0">
    <w:nsid w:val="391F1EFF"/>
    <w:multiLevelType w:val="hybridMultilevel"/>
    <w:tmpl w:val="CDE2FA46"/>
    <w:lvl w:ilvl="0" w:tplc="F3B2BAAC">
      <w:start w:val="1"/>
      <w:numFmt w:val="lowerLetter"/>
      <w:lvlText w:val="%1)"/>
      <w:lvlJc w:val="left"/>
      <w:pPr>
        <w:ind w:left="1495" w:hanging="360"/>
      </w:pPr>
      <w:rPr>
        <w:rFonts w:asciiTheme="minorHAnsi" w:eastAsia="Times New Roman" w:hAnsiTheme="minorHAnsi" w:cstheme="minorHAnsi" w:hint="default"/>
      </w:rPr>
    </w:lvl>
    <w:lvl w:ilvl="1" w:tplc="04150019">
      <w:start w:val="1"/>
      <w:numFmt w:val="lowerLetter"/>
      <w:lvlText w:val="%2."/>
      <w:lvlJc w:val="left"/>
      <w:pPr>
        <w:ind w:left="2575" w:hanging="360"/>
      </w:pPr>
    </w:lvl>
    <w:lvl w:ilvl="2" w:tplc="0415001B">
      <w:start w:val="1"/>
      <w:numFmt w:val="lowerRoman"/>
      <w:lvlText w:val="%3."/>
      <w:lvlJc w:val="right"/>
      <w:pPr>
        <w:ind w:left="3295" w:hanging="180"/>
      </w:pPr>
    </w:lvl>
    <w:lvl w:ilvl="3" w:tplc="833AE9F4">
      <w:start w:val="1"/>
      <w:numFmt w:val="decimal"/>
      <w:lvlText w:val="%4)"/>
      <w:lvlJc w:val="left"/>
      <w:pPr>
        <w:ind w:left="4015" w:hanging="360"/>
      </w:pPr>
      <w:rPr>
        <w:rFonts w:hint="default"/>
      </w:rPr>
    </w:lvl>
    <w:lvl w:ilvl="4" w:tplc="04150019" w:tentative="1">
      <w:start w:val="1"/>
      <w:numFmt w:val="lowerLetter"/>
      <w:lvlText w:val="%5."/>
      <w:lvlJc w:val="left"/>
      <w:pPr>
        <w:ind w:left="4735" w:hanging="360"/>
      </w:pPr>
    </w:lvl>
    <w:lvl w:ilvl="5" w:tplc="0415001B" w:tentative="1">
      <w:start w:val="1"/>
      <w:numFmt w:val="lowerRoman"/>
      <w:lvlText w:val="%6."/>
      <w:lvlJc w:val="right"/>
      <w:pPr>
        <w:ind w:left="5455" w:hanging="180"/>
      </w:pPr>
    </w:lvl>
    <w:lvl w:ilvl="6" w:tplc="0415000F">
      <w:start w:val="1"/>
      <w:numFmt w:val="decimal"/>
      <w:lvlText w:val="%7."/>
      <w:lvlJc w:val="left"/>
      <w:pPr>
        <w:ind w:left="6175" w:hanging="360"/>
      </w:pPr>
    </w:lvl>
    <w:lvl w:ilvl="7" w:tplc="04150019" w:tentative="1">
      <w:start w:val="1"/>
      <w:numFmt w:val="lowerLetter"/>
      <w:lvlText w:val="%8."/>
      <w:lvlJc w:val="left"/>
      <w:pPr>
        <w:ind w:left="6895" w:hanging="360"/>
      </w:pPr>
    </w:lvl>
    <w:lvl w:ilvl="8" w:tplc="0415001B" w:tentative="1">
      <w:start w:val="1"/>
      <w:numFmt w:val="lowerRoman"/>
      <w:lvlText w:val="%9."/>
      <w:lvlJc w:val="right"/>
      <w:pPr>
        <w:ind w:left="7615" w:hanging="180"/>
      </w:pPr>
    </w:lvl>
  </w:abstractNum>
  <w:abstractNum w:abstractNumId="88" w15:restartNumberingAfterBreak="0">
    <w:nsid w:val="39EB1F77"/>
    <w:multiLevelType w:val="multilevel"/>
    <w:tmpl w:val="BA9A1C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3A6F7645"/>
    <w:multiLevelType w:val="hybridMultilevel"/>
    <w:tmpl w:val="1F6246CA"/>
    <w:lvl w:ilvl="0" w:tplc="756AEA62">
      <w:numFmt w:val="bullet"/>
      <w:lvlText w:val=""/>
      <w:lvlJc w:val="left"/>
      <w:pPr>
        <w:ind w:left="790" w:hanging="360"/>
      </w:pPr>
      <w:rPr>
        <w:rFonts w:ascii="Symbol" w:eastAsia="Symbol" w:hAnsi="Symbol" w:cs="Symbol" w:hint="default"/>
        <w:b w:val="0"/>
        <w:bCs w:val="0"/>
        <w:i w:val="0"/>
        <w:iCs w:val="0"/>
        <w:spacing w:val="0"/>
        <w:w w:val="102"/>
        <w:sz w:val="22"/>
        <w:szCs w:val="22"/>
      </w:rPr>
    </w:lvl>
    <w:lvl w:ilvl="1" w:tplc="04150003" w:tentative="1">
      <w:start w:val="1"/>
      <w:numFmt w:val="bullet"/>
      <w:lvlText w:val="o"/>
      <w:lvlJc w:val="left"/>
      <w:pPr>
        <w:ind w:left="1510" w:hanging="360"/>
      </w:pPr>
      <w:rPr>
        <w:rFonts w:ascii="Courier New" w:hAnsi="Courier New" w:cs="Courier New" w:hint="default"/>
      </w:rPr>
    </w:lvl>
    <w:lvl w:ilvl="2" w:tplc="04150005" w:tentative="1">
      <w:start w:val="1"/>
      <w:numFmt w:val="bullet"/>
      <w:lvlText w:val=""/>
      <w:lvlJc w:val="left"/>
      <w:pPr>
        <w:ind w:left="2230" w:hanging="360"/>
      </w:pPr>
      <w:rPr>
        <w:rFonts w:ascii="Wingdings" w:hAnsi="Wingdings" w:hint="default"/>
      </w:rPr>
    </w:lvl>
    <w:lvl w:ilvl="3" w:tplc="04150001" w:tentative="1">
      <w:start w:val="1"/>
      <w:numFmt w:val="bullet"/>
      <w:lvlText w:val=""/>
      <w:lvlJc w:val="left"/>
      <w:pPr>
        <w:ind w:left="2950" w:hanging="360"/>
      </w:pPr>
      <w:rPr>
        <w:rFonts w:ascii="Symbol" w:hAnsi="Symbol" w:hint="default"/>
      </w:rPr>
    </w:lvl>
    <w:lvl w:ilvl="4" w:tplc="04150003" w:tentative="1">
      <w:start w:val="1"/>
      <w:numFmt w:val="bullet"/>
      <w:lvlText w:val="o"/>
      <w:lvlJc w:val="left"/>
      <w:pPr>
        <w:ind w:left="3670" w:hanging="360"/>
      </w:pPr>
      <w:rPr>
        <w:rFonts w:ascii="Courier New" w:hAnsi="Courier New" w:cs="Courier New" w:hint="default"/>
      </w:rPr>
    </w:lvl>
    <w:lvl w:ilvl="5" w:tplc="04150005" w:tentative="1">
      <w:start w:val="1"/>
      <w:numFmt w:val="bullet"/>
      <w:lvlText w:val=""/>
      <w:lvlJc w:val="left"/>
      <w:pPr>
        <w:ind w:left="4390" w:hanging="360"/>
      </w:pPr>
      <w:rPr>
        <w:rFonts w:ascii="Wingdings" w:hAnsi="Wingdings" w:hint="default"/>
      </w:rPr>
    </w:lvl>
    <w:lvl w:ilvl="6" w:tplc="04150001" w:tentative="1">
      <w:start w:val="1"/>
      <w:numFmt w:val="bullet"/>
      <w:lvlText w:val=""/>
      <w:lvlJc w:val="left"/>
      <w:pPr>
        <w:ind w:left="5110" w:hanging="360"/>
      </w:pPr>
      <w:rPr>
        <w:rFonts w:ascii="Symbol" w:hAnsi="Symbol" w:hint="default"/>
      </w:rPr>
    </w:lvl>
    <w:lvl w:ilvl="7" w:tplc="04150003" w:tentative="1">
      <w:start w:val="1"/>
      <w:numFmt w:val="bullet"/>
      <w:lvlText w:val="o"/>
      <w:lvlJc w:val="left"/>
      <w:pPr>
        <w:ind w:left="5830" w:hanging="360"/>
      </w:pPr>
      <w:rPr>
        <w:rFonts w:ascii="Courier New" w:hAnsi="Courier New" w:cs="Courier New" w:hint="default"/>
      </w:rPr>
    </w:lvl>
    <w:lvl w:ilvl="8" w:tplc="04150005" w:tentative="1">
      <w:start w:val="1"/>
      <w:numFmt w:val="bullet"/>
      <w:lvlText w:val=""/>
      <w:lvlJc w:val="left"/>
      <w:pPr>
        <w:ind w:left="6550" w:hanging="360"/>
      </w:pPr>
      <w:rPr>
        <w:rFonts w:ascii="Wingdings" w:hAnsi="Wingdings" w:hint="default"/>
      </w:rPr>
    </w:lvl>
  </w:abstractNum>
  <w:abstractNum w:abstractNumId="90" w15:restartNumberingAfterBreak="0">
    <w:nsid w:val="3A87064F"/>
    <w:multiLevelType w:val="hybridMultilevel"/>
    <w:tmpl w:val="219E1BF6"/>
    <w:lvl w:ilvl="0" w:tplc="A02EB23C">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91" w15:restartNumberingAfterBreak="0">
    <w:nsid w:val="3CD157D4"/>
    <w:multiLevelType w:val="hybridMultilevel"/>
    <w:tmpl w:val="3648B6EA"/>
    <w:lvl w:ilvl="0" w:tplc="A16063E8">
      <w:start w:val="1"/>
      <w:numFmt w:val="lowerLetter"/>
      <w:lvlText w:val="%1)"/>
      <w:lvlJc w:val="left"/>
      <w:pPr>
        <w:ind w:left="1020" w:hanging="360"/>
      </w:pPr>
    </w:lvl>
    <w:lvl w:ilvl="1" w:tplc="4A225BA6">
      <w:start w:val="1"/>
      <w:numFmt w:val="lowerLetter"/>
      <w:lvlText w:val="%2)"/>
      <w:lvlJc w:val="left"/>
      <w:pPr>
        <w:ind w:left="1020" w:hanging="360"/>
      </w:pPr>
    </w:lvl>
    <w:lvl w:ilvl="2" w:tplc="5BD2FF68">
      <w:start w:val="1"/>
      <w:numFmt w:val="lowerLetter"/>
      <w:lvlText w:val="%3)"/>
      <w:lvlJc w:val="left"/>
      <w:pPr>
        <w:ind w:left="1020" w:hanging="360"/>
      </w:pPr>
    </w:lvl>
    <w:lvl w:ilvl="3" w:tplc="F0F0BF3A">
      <w:start w:val="1"/>
      <w:numFmt w:val="lowerLetter"/>
      <w:lvlText w:val="%4)"/>
      <w:lvlJc w:val="left"/>
      <w:pPr>
        <w:ind w:left="1020" w:hanging="360"/>
      </w:pPr>
    </w:lvl>
    <w:lvl w:ilvl="4" w:tplc="C806470E">
      <w:start w:val="1"/>
      <w:numFmt w:val="lowerLetter"/>
      <w:lvlText w:val="%5)"/>
      <w:lvlJc w:val="left"/>
      <w:pPr>
        <w:ind w:left="1020" w:hanging="360"/>
      </w:pPr>
    </w:lvl>
    <w:lvl w:ilvl="5" w:tplc="6F8607D8">
      <w:start w:val="1"/>
      <w:numFmt w:val="lowerLetter"/>
      <w:lvlText w:val="%6)"/>
      <w:lvlJc w:val="left"/>
      <w:pPr>
        <w:ind w:left="1020" w:hanging="360"/>
      </w:pPr>
    </w:lvl>
    <w:lvl w:ilvl="6" w:tplc="40903AFE">
      <w:start w:val="1"/>
      <w:numFmt w:val="lowerLetter"/>
      <w:lvlText w:val="%7)"/>
      <w:lvlJc w:val="left"/>
      <w:pPr>
        <w:ind w:left="1020" w:hanging="360"/>
      </w:pPr>
    </w:lvl>
    <w:lvl w:ilvl="7" w:tplc="899CA026">
      <w:start w:val="1"/>
      <w:numFmt w:val="lowerLetter"/>
      <w:lvlText w:val="%8)"/>
      <w:lvlJc w:val="left"/>
      <w:pPr>
        <w:ind w:left="1020" w:hanging="360"/>
      </w:pPr>
    </w:lvl>
    <w:lvl w:ilvl="8" w:tplc="82D00050">
      <w:start w:val="1"/>
      <w:numFmt w:val="lowerLetter"/>
      <w:lvlText w:val="%9)"/>
      <w:lvlJc w:val="left"/>
      <w:pPr>
        <w:ind w:left="1020" w:hanging="360"/>
      </w:pPr>
    </w:lvl>
  </w:abstractNum>
  <w:abstractNum w:abstractNumId="92" w15:restartNumberingAfterBreak="0">
    <w:nsid w:val="3DA17AA8"/>
    <w:multiLevelType w:val="hybridMultilevel"/>
    <w:tmpl w:val="56D825A4"/>
    <w:lvl w:ilvl="0" w:tplc="A3F6AA28">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93" w15:restartNumberingAfterBreak="0">
    <w:nsid w:val="3E254305"/>
    <w:multiLevelType w:val="hybridMultilevel"/>
    <w:tmpl w:val="D832B858"/>
    <w:lvl w:ilvl="0" w:tplc="5864618E">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94" w15:restartNumberingAfterBreak="0">
    <w:nsid w:val="3E742478"/>
    <w:multiLevelType w:val="hybridMultilevel"/>
    <w:tmpl w:val="AB5EA86A"/>
    <w:lvl w:ilvl="0" w:tplc="7E3C5EBA">
      <w:start w:val="1"/>
      <w:numFmt w:val="lowerLetter"/>
      <w:lvlText w:val="%1)"/>
      <w:lvlJc w:val="left"/>
      <w:pPr>
        <w:ind w:left="720" w:hanging="360"/>
      </w:pPr>
    </w:lvl>
    <w:lvl w:ilvl="1" w:tplc="767E4038">
      <w:start w:val="1"/>
      <w:numFmt w:val="lowerLetter"/>
      <w:lvlText w:val="%2)"/>
      <w:lvlJc w:val="left"/>
      <w:pPr>
        <w:ind w:left="720" w:hanging="360"/>
      </w:pPr>
    </w:lvl>
    <w:lvl w:ilvl="2" w:tplc="FACABBDC">
      <w:start w:val="1"/>
      <w:numFmt w:val="lowerLetter"/>
      <w:lvlText w:val="%3)"/>
      <w:lvlJc w:val="left"/>
      <w:pPr>
        <w:ind w:left="720" w:hanging="360"/>
      </w:pPr>
    </w:lvl>
    <w:lvl w:ilvl="3" w:tplc="574466BE">
      <w:start w:val="1"/>
      <w:numFmt w:val="lowerLetter"/>
      <w:lvlText w:val="%4)"/>
      <w:lvlJc w:val="left"/>
      <w:pPr>
        <w:ind w:left="720" w:hanging="360"/>
      </w:pPr>
    </w:lvl>
    <w:lvl w:ilvl="4" w:tplc="0D747D12">
      <w:start w:val="1"/>
      <w:numFmt w:val="lowerLetter"/>
      <w:lvlText w:val="%5)"/>
      <w:lvlJc w:val="left"/>
      <w:pPr>
        <w:ind w:left="720" w:hanging="360"/>
      </w:pPr>
    </w:lvl>
    <w:lvl w:ilvl="5" w:tplc="86CE0C72">
      <w:start w:val="1"/>
      <w:numFmt w:val="lowerLetter"/>
      <w:lvlText w:val="%6)"/>
      <w:lvlJc w:val="left"/>
      <w:pPr>
        <w:ind w:left="720" w:hanging="360"/>
      </w:pPr>
    </w:lvl>
    <w:lvl w:ilvl="6" w:tplc="AC34B5F2">
      <w:start w:val="1"/>
      <w:numFmt w:val="lowerLetter"/>
      <w:lvlText w:val="%7)"/>
      <w:lvlJc w:val="left"/>
      <w:pPr>
        <w:ind w:left="720" w:hanging="360"/>
      </w:pPr>
    </w:lvl>
    <w:lvl w:ilvl="7" w:tplc="8688A7F2">
      <w:start w:val="1"/>
      <w:numFmt w:val="lowerLetter"/>
      <w:lvlText w:val="%8)"/>
      <w:lvlJc w:val="left"/>
      <w:pPr>
        <w:ind w:left="720" w:hanging="360"/>
      </w:pPr>
    </w:lvl>
    <w:lvl w:ilvl="8" w:tplc="6C2EAAE2">
      <w:start w:val="1"/>
      <w:numFmt w:val="lowerLetter"/>
      <w:lvlText w:val="%9)"/>
      <w:lvlJc w:val="left"/>
      <w:pPr>
        <w:ind w:left="720" w:hanging="360"/>
      </w:pPr>
    </w:lvl>
  </w:abstractNum>
  <w:abstractNum w:abstractNumId="95" w15:restartNumberingAfterBreak="0">
    <w:nsid w:val="3F9F77A0"/>
    <w:multiLevelType w:val="hybridMultilevel"/>
    <w:tmpl w:val="921A6F26"/>
    <w:lvl w:ilvl="0" w:tplc="7B5865D2">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96" w15:restartNumberingAfterBreak="0">
    <w:nsid w:val="3FE43E35"/>
    <w:multiLevelType w:val="hybridMultilevel"/>
    <w:tmpl w:val="C04A8FBC"/>
    <w:lvl w:ilvl="0" w:tplc="6BF296C6">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97" w15:restartNumberingAfterBreak="0">
    <w:nsid w:val="3FE74573"/>
    <w:multiLevelType w:val="hybridMultilevel"/>
    <w:tmpl w:val="AF92E9D4"/>
    <w:lvl w:ilvl="0" w:tplc="86700D3A">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8" w15:restartNumberingAfterBreak="0">
    <w:nsid w:val="40EE38EB"/>
    <w:multiLevelType w:val="hybridMultilevel"/>
    <w:tmpl w:val="937ED3A6"/>
    <w:lvl w:ilvl="0" w:tplc="362EFB9C">
      <w:start w:val="1"/>
      <w:numFmt w:val="lowerLetter"/>
      <w:lvlText w:val="%1)"/>
      <w:lvlJc w:val="left"/>
      <w:pPr>
        <w:ind w:left="720" w:hanging="360"/>
      </w:pPr>
    </w:lvl>
    <w:lvl w:ilvl="1" w:tplc="2B50FDCA">
      <w:start w:val="1"/>
      <w:numFmt w:val="lowerLetter"/>
      <w:lvlText w:val="%2)"/>
      <w:lvlJc w:val="left"/>
      <w:pPr>
        <w:ind w:left="720" w:hanging="360"/>
      </w:pPr>
    </w:lvl>
    <w:lvl w:ilvl="2" w:tplc="B0E24C08">
      <w:start w:val="1"/>
      <w:numFmt w:val="lowerLetter"/>
      <w:lvlText w:val="%3)"/>
      <w:lvlJc w:val="left"/>
      <w:pPr>
        <w:ind w:left="720" w:hanging="360"/>
      </w:pPr>
    </w:lvl>
    <w:lvl w:ilvl="3" w:tplc="5A80346C">
      <w:start w:val="1"/>
      <w:numFmt w:val="lowerLetter"/>
      <w:lvlText w:val="%4)"/>
      <w:lvlJc w:val="left"/>
      <w:pPr>
        <w:ind w:left="720" w:hanging="360"/>
      </w:pPr>
    </w:lvl>
    <w:lvl w:ilvl="4" w:tplc="6FB61260">
      <w:start w:val="1"/>
      <w:numFmt w:val="lowerLetter"/>
      <w:lvlText w:val="%5)"/>
      <w:lvlJc w:val="left"/>
      <w:pPr>
        <w:ind w:left="720" w:hanging="360"/>
      </w:pPr>
    </w:lvl>
    <w:lvl w:ilvl="5" w:tplc="671CF3D4">
      <w:start w:val="1"/>
      <w:numFmt w:val="lowerLetter"/>
      <w:lvlText w:val="%6)"/>
      <w:lvlJc w:val="left"/>
      <w:pPr>
        <w:ind w:left="720" w:hanging="360"/>
      </w:pPr>
    </w:lvl>
    <w:lvl w:ilvl="6" w:tplc="96862808">
      <w:start w:val="1"/>
      <w:numFmt w:val="lowerLetter"/>
      <w:lvlText w:val="%7)"/>
      <w:lvlJc w:val="left"/>
      <w:pPr>
        <w:ind w:left="720" w:hanging="360"/>
      </w:pPr>
    </w:lvl>
    <w:lvl w:ilvl="7" w:tplc="FFB68E3C">
      <w:start w:val="1"/>
      <w:numFmt w:val="lowerLetter"/>
      <w:lvlText w:val="%8)"/>
      <w:lvlJc w:val="left"/>
      <w:pPr>
        <w:ind w:left="720" w:hanging="360"/>
      </w:pPr>
    </w:lvl>
    <w:lvl w:ilvl="8" w:tplc="10447AD4">
      <w:start w:val="1"/>
      <w:numFmt w:val="lowerLetter"/>
      <w:lvlText w:val="%9)"/>
      <w:lvlJc w:val="left"/>
      <w:pPr>
        <w:ind w:left="720" w:hanging="360"/>
      </w:pPr>
    </w:lvl>
  </w:abstractNum>
  <w:abstractNum w:abstractNumId="99" w15:restartNumberingAfterBreak="0">
    <w:nsid w:val="416E5803"/>
    <w:multiLevelType w:val="multilevel"/>
    <w:tmpl w:val="8744CD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1C910DA"/>
    <w:multiLevelType w:val="hybridMultilevel"/>
    <w:tmpl w:val="866C86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43D1698C"/>
    <w:multiLevelType w:val="hybridMultilevel"/>
    <w:tmpl w:val="597C573A"/>
    <w:lvl w:ilvl="0" w:tplc="1B5AD468">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02" w15:restartNumberingAfterBreak="0">
    <w:nsid w:val="44C15403"/>
    <w:multiLevelType w:val="hybridMultilevel"/>
    <w:tmpl w:val="8138CB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5581035"/>
    <w:multiLevelType w:val="hybridMultilevel"/>
    <w:tmpl w:val="D148445C"/>
    <w:lvl w:ilvl="0" w:tplc="D6D2F828">
      <w:start w:val="1"/>
      <w:numFmt w:val="decimal"/>
      <w:lvlText w:val="%1)"/>
      <w:lvlJc w:val="left"/>
      <w:pPr>
        <w:ind w:left="720" w:hanging="360"/>
      </w:pPr>
    </w:lvl>
    <w:lvl w:ilvl="1" w:tplc="CCE2A6D8">
      <w:start w:val="1"/>
      <w:numFmt w:val="decimal"/>
      <w:lvlText w:val="%2)"/>
      <w:lvlJc w:val="left"/>
      <w:pPr>
        <w:ind w:left="720" w:hanging="360"/>
      </w:pPr>
    </w:lvl>
    <w:lvl w:ilvl="2" w:tplc="2FAE7C04">
      <w:start w:val="1"/>
      <w:numFmt w:val="decimal"/>
      <w:lvlText w:val="%3)"/>
      <w:lvlJc w:val="left"/>
      <w:pPr>
        <w:ind w:left="720" w:hanging="360"/>
      </w:pPr>
    </w:lvl>
    <w:lvl w:ilvl="3" w:tplc="4ADA24BC">
      <w:start w:val="1"/>
      <w:numFmt w:val="decimal"/>
      <w:lvlText w:val="%4)"/>
      <w:lvlJc w:val="left"/>
      <w:pPr>
        <w:ind w:left="720" w:hanging="360"/>
      </w:pPr>
    </w:lvl>
    <w:lvl w:ilvl="4" w:tplc="B134CE96">
      <w:start w:val="1"/>
      <w:numFmt w:val="decimal"/>
      <w:lvlText w:val="%5)"/>
      <w:lvlJc w:val="left"/>
      <w:pPr>
        <w:ind w:left="720" w:hanging="360"/>
      </w:pPr>
    </w:lvl>
    <w:lvl w:ilvl="5" w:tplc="0F046216">
      <w:start w:val="1"/>
      <w:numFmt w:val="decimal"/>
      <w:lvlText w:val="%6)"/>
      <w:lvlJc w:val="left"/>
      <w:pPr>
        <w:ind w:left="720" w:hanging="360"/>
      </w:pPr>
    </w:lvl>
    <w:lvl w:ilvl="6" w:tplc="64D60420">
      <w:start w:val="1"/>
      <w:numFmt w:val="decimal"/>
      <w:lvlText w:val="%7)"/>
      <w:lvlJc w:val="left"/>
      <w:pPr>
        <w:ind w:left="720" w:hanging="360"/>
      </w:pPr>
    </w:lvl>
    <w:lvl w:ilvl="7" w:tplc="A78E8166">
      <w:start w:val="1"/>
      <w:numFmt w:val="decimal"/>
      <w:lvlText w:val="%8)"/>
      <w:lvlJc w:val="left"/>
      <w:pPr>
        <w:ind w:left="720" w:hanging="360"/>
      </w:pPr>
    </w:lvl>
    <w:lvl w:ilvl="8" w:tplc="B016C960">
      <w:start w:val="1"/>
      <w:numFmt w:val="decimal"/>
      <w:lvlText w:val="%9)"/>
      <w:lvlJc w:val="left"/>
      <w:pPr>
        <w:ind w:left="720" w:hanging="360"/>
      </w:pPr>
    </w:lvl>
  </w:abstractNum>
  <w:abstractNum w:abstractNumId="104" w15:restartNumberingAfterBreak="0">
    <w:nsid w:val="46783514"/>
    <w:multiLevelType w:val="hybridMultilevel"/>
    <w:tmpl w:val="4574E9E0"/>
    <w:lvl w:ilvl="0" w:tplc="E5BE4A2E">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05" w15:restartNumberingAfterBreak="0">
    <w:nsid w:val="474141E8"/>
    <w:multiLevelType w:val="hybridMultilevel"/>
    <w:tmpl w:val="5FAA63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74A2AE3"/>
    <w:multiLevelType w:val="multilevel"/>
    <w:tmpl w:val="F9E8F71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47B23E7D"/>
    <w:multiLevelType w:val="hybridMultilevel"/>
    <w:tmpl w:val="32F8AA86"/>
    <w:lvl w:ilvl="0" w:tplc="C8DAEA2C">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08" w15:restartNumberingAfterBreak="0">
    <w:nsid w:val="487B6808"/>
    <w:multiLevelType w:val="hybridMultilevel"/>
    <w:tmpl w:val="AEC2DB5C"/>
    <w:lvl w:ilvl="0" w:tplc="05E6AF24">
      <w:start w:val="1"/>
      <w:numFmt w:val="decimal"/>
      <w:lvlText w:val="%1)"/>
      <w:lvlJc w:val="left"/>
      <w:pPr>
        <w:ind w:left="720" w:hanging="360"/>
      </w:pPr>
    </w:lvl>
    <w:lvl w:ilvl="1" w:tplc="7FCE5E46">
      <w:start w:val="1"/>
      <w:numFmt w:val="decimal"/>
      <w:lvlText w:val="%2)"/>
      <w:lvlJc w:val="left"/>
      <w:pPr>
        <w:ind w:left="720" w:hanging="360"/>
      </w:pPr>
    </w:lvl>
    <w:lvl w:ilvl="2" w:tplc="0122EF90">
      <w:start w:val="1"/>
      <w:numFmt w:val="decimal"/>
      <w:lvlText w:val="%3)"/>
      <w:lvlJc w:val="left"/>
      <w:pPr>
        <w:ind w:left="720" w:hanging="360"/>
      </w:pPr>
    </w:lvl>
    <w:lvl w:ilvl="3" w:tplc="2476306A">
      <w:start w:val="1"/>
      <w:numFmt w:val="decimal"/>
      <w:lvlText w:val="%4)"/>
      <w:lvlJc w:val="left"/>
      <w:pPr>
        <w:ind w:left="720" w:hanging="360"/>
      </w:pPr>
    </w:lvl>
    <w:lvl w:ilvl="4" w:tplc="A3E899B6">
      <w:start w:val="1"/>
      <w:numFmt w:val="decimal"/>
      <w:lvlText w:val="%5)"/>
      <w:lvlJc w:val="left"/>
      <w:pPr>
        <w:ind w:left="720" w:hanging="360"/>
      </w:pPr>
    </w:lvl>
    <w:lvl w:ilvl="5" w:tplc="5EF40D2C">
      <w:start w:val="1"/>
      <w:numFmt w:val="decimal"/>
      <w:lvlText w:val="%6)"/>
      <w:lvlJc w:val="left"/>
      <w:pPr>
        <w:ind w:left="720" w:hanging="360"/>
      </w:pPr>
    </w:lvl>
    <w:lvl w:ilvl="6" w:tplc="A2503E8E">
      <w:start w:val="1"/>
      <w:numFmt w:val="decimal"/>
      <w:lvlText w:val="%7)"/>
      <w:lvlJc w:val="left"/>
      <w:pPr>
        <w:ind w:left="720" w:hanging="360"/>
      </w:pPr>
    </w:lvl>
    <w:lvl w:ilvl="7" w:tplc="1968FE2C">
      <w:start w:val="1"/>
      <w:numFmt w:val="decimal"/>
      <w:lvlText w:val="%8)"/>
      <w:lvlJc w:val="left"/>
      <w:pPr>
        <w:ind w:left="720" w:hanging="360"/>
      </w:pPr>
    </w:lvl>
    <w:lvl w:ilvl="8" w:tplc="78BA14A8">
      <w:start w:val="1"/>
      <w:numFmt w:val="decimal"/>
      <w:lvlText w:val="%9)"/>
      <w:lvlJc w:val="left"/>
      <w:pPr>
        <w:ind w:left="720" w:hanging="360"/>
      </w:pPr>
    </w:lvl>
  </w:abstractNum>
  <w:abstractNum w:abstractNumId="109" w15:restartNumberingAfterBreak="0">
    <w:nsid w:val="49063A6D"/>
    <w:multiLevelType w:val="hybridMultilevel"/>
    <w:tmpl w:val="8F320072"/>
    <w:lvl w:ilvl="0" w:tplc="FFFFFFFF">
      <w:start w:val="1"/>
      <w:numFmt w:val="decimal"/>
      <w:lvlText w:val="%1)"/>
      <w:lvlJc w:val="left"/>
      <w:pPr>
        <w:ind w:left="790" w:hanging="360"/>
      </w:pPr>
    </w:lvl>
    <w:lvl w:ilvl="1" w:tplc="04150011">
      <w:start w:val="1"/>
      <w:numFmt w:val="decimal"/>
      <w:lvlText w:val="%2)"/>
      <w:lvlJc w:val="left"/>
      <w:pPr>
        <w:ind w:left="72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110" w15:restartNumberingAfterBreak="0">
    <w:nsid w:val="494F2CAB"/>
    <w:multiLevelType w:val="hybridMultilevel"/>
    <w:tmpl w:val="A750480E"/>
    <w:lvl w:ilvl="0" w:tplc="11E4DA20">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11" w15:restartNumberingAfterBreak="0">
    <w:nsid w:val="49BA2ED7"/>
    <w:multiLevelType w:val="hybridMultilevel"/>
    <w:tmpl w:val="3D263C78"/>
    <w:lvl w:ilvl="0" w:tplc="04150017">
      <w:start w:val="1"/>
      <w:numFmt w:val="lowerLetter"/>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12" w15:restartNumberingAfterBreak="0">
    <w:nsid w:val="49D24377"/>
    <w:multiLevelType w:val="hybridMultilevel"/>
    <w:tmpl w:val="914A4BE0"/>
    <w:lvl w:ilvl="0" w:tplc="8280041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3" w15:restartNumberingAfterBreak="0">
    <w:nsid w:val="49E1030B"/>
    <w:multiLevelType w:val="hybridMultilevel"/>
    <w:tmpl w:val="33ACC024"/>
    <w:lvl w:ilvl="0" w:tplc="6E82DE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ADD3F8E"/>
    <w:multiLevelType w:val="multilevel"/>
    <w:tmpl w:val="6D7479D0"/>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4BBE6BC3"/>
    <w:multiLevelType w:val="hybridMultilevel"/>
    <w:tmpl w:val="BFE66A44"/>
    <w:lvl w:ilvl="0" w:tplc="AFD043A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6" w15:restartNumberingAfterBreak="0">
    <w:nsid w:val="4BF95A45"/>
    <w:multiLevelType w:val="hybridMultilevel"/>
    <w:tmpl w:val="B7CEFE14"/>
    <w:lvl w:ilvl="0" w:tplc="F0047EAA">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17" w15:restartNumberingAfterBreak="0">
    <w:nsid w:val="4C1C1B97"/>
    <w:multiLevelType w:val="hybridMultilevel"/>
    <w:tmpl w:val="718449AE"/>
    <w:lvl w:ilvl="0" w:tplc="E8DA978E">
      <w:start w:val="1"/>
      <w:numFmt w:val="decimal"/>
      <w:lvlText w:val="%1)"/>
      <w:lvlJc w:val="left"/>
      <w:pPr>
        <w:ind w:left="720" w:hanging="360"/>
      </w:pPr>
    </w:lvl>
    <w:lvl w:ilvl="1" w:tplc="CFB29942">
      <w:start w:val="1"/>
      <w:numFmt w:val="decimal"/>
      <w:lvlText w:val="%2)"/>
      <w:lvlJc w:val="left"/>
      <w:pPr>
        <w:ind w:left="720" w:hanging="360"/>
      </w:pPr>
    </w:lvl>
    <w:lvl w:ilvl="2" w:tplc="EDD6EEAC">
      <w:start w:val="1"/>
      <w:numFmt w:val="decimal"/>
      <w:lvlText w:val="%3)"/>
      <w:lvlJc w:val="left"/>
      <w:pPr>
        <w:ind w:left="720" w:hanging="360"/>
      </w:pPr>
    </w:lvl>
    <w:lvl w:ilvl="3" w:tplc="E5CE8D16">
      <w:start w:val="1"/>
      <w:numFmt w:val="decimal"/>
      <w:lvlText w:val="%4)"/>
      <w:lvlJc w:val="left"/>
      <w:pPr>
        <w:ind w:left="720" w:hanging="360"/>
      </w:pPr>
    </w:lvl>
    <w:lvl w:ilvl="4" w:tplc="30C084F0">
      <w:start w:val="1"/>
      <w:numFmt w:val="decimal"/>
      <w:lvlText w:val="%5)"/>
      <w:lvlJc w:val="left"/>
      <w:pPr>
        <w:ind w:left="720" w:hanging="360"/>
      </w:pPr>
    </w:lvl>
    <w:lvl w:ilvl="5" w:tplc="72883A38">
      <w:start w:val="1"/>
      <w:numFmt w:val="decimal"/>
      <w:lvlText w:val="%6)"/>
      <w:lvlJc w:val="left"/>
      <w:pPr>
        <w:ind w:left="720" w:hanging="360"/>
      </w:pPr>
    </w:lvl>
    <w:lvl w:ilvl="6" w:tplc="F63884B2">
      <w:start w:val="1"/>
      <w:numFmt w:val="decimal"/>
      <w:lvlText w:val="%7)"/>
      <w:lvlJc w:val="left"/>
      <w:pPr>
        <w:ind w:left="720" w:hanging="360"/>
      </w:pPr>
    </w:lvl>
    <w:lvl w:ilvl="7" w:tplc="1A965410">
      <w:start w:val="1"/>
      <w:numFmt w:val="decimal"/>
      <w:lvlText w:val="%8)"/>
      <w:lvlJc w:val="left"/>
      <w:pPr>
        <w:ind w:left="720" w:hanging="360"/>
      </w:pPr>
    </w:lvl>
    <w:lvl w:ilvl="8" w:tplc="509A8B28">
      <w:start w:val="1"/>
      <w:numFmt w:val="decimal"/>
      <w:lvlText w:val="%9)"/>
      <w:lvlJc w:val="left"/>
      <w:pPr>
        <w:ind w:left="720" w:hanging="360"/>
      </w:pPr>
    </w:lvl>
  </w:abstractNum>
  <w:abstractNum w:abstractNumId="118" w15:restartNumberingAfterBreak="0">
    <w:nsid w:val="4CD677EF"/>
    <w:multiLevelType w:val="hybridMultilevel"/>
    <w:tmpl w:val="A0F67AC6"/>
    <w:lvl w:ilvl="0" w:tplc="4A6C9B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CEC3FE6"/>
    <w:multiLevelType w:val="hybridMultilevel"/>
    <w:tmpl w:val="2590742C"/>
    <w:lvl w:ilvl="0" w:tplc="04150017">
      <w:start w:val="1"/>
      <w:numFmt w:val="lowerLetter"/>
      <w:lvlText w:val="%1)"/>
      <w:lvlJc w:val="left"/>
      <w:pPr>
        <w:ind w:left="2251" w:hanging="360"/>
      </w:pPr>
    </w:lvl>
    <w:lvl w:ilvl="1" w:tplc="04150019" w:tentative="1">
      <w:start w:val="1"/>
      <w:numFmt w:val="lowerLetter"/>
      <w:lvlText w:val="%2."/>
      <w:lvlJc w:val="left"/>
      <w:pPr>
        <w:ind w:left="2971" w:hanging="360"/>
      </w:pPr>
    </w:lvl>
    <w:lvl w:ilvl="2" w:tplc="0415001B" w:tentative="1">
      <w:start w:val="1"/>
      <w:numFmt w:val="lowerRoman"/>
      <w:lvlText w:val="%3."/>
      <w:lvlJc w:val="right"/>
      <w:pPr>
        <w:ind w:left="3691" w:hanging="180"/>
      </w:pPr>
    </w:lvl>
    <w:lvl w:ilvl="3" w:tplc="0415000F" w:tentative="1">
      <w:start w:val="1"/>
      <w:numFmt w:val="decimal"/>
      <w:lvlText w:val="%4."/>
      <w:lvlJc w:val="left"/>
      <w:pPr>
        <w:ind w:left="4411" w:hanging="360"/>
      </w:pPr>
    </w:lvl>
    <w:lvl w:ilvl="4" w:tplc="04150019" w:tentative="1">
      <w:start w:val="1"/>
      <w:numFmt w:val="lowerLetter"/>
      <w:lvlText w:val="%5."/>
      <w:lvlJc w:val="left"/>
      <w:pPr>
        <w:ind w:left="5131" w:hanging="360"/>
      </w:pPr>
    </w:lvl>
    <w:lvl w:ilvl="5" w:tplc="0415001B" w:tentative="1">
      <w:start w:val="1"/>
      <w:numFmt w:val="lowerRoman"/>
      <w:lvlText w:val="%6."/>
      <w:lvlJc w:val="right"/>
      <w:pPr>
        <w:ind w:left="5851" w:hanging="180"/>
      </w:pPr>
    </w:lvl>
    <w:lvl w:ilvl="6" w:tplc="0415000F" w:tentative="1">
      <w:start w:val="1"/>
      <w:numFmt w:val="decimal"/>
      <w:lvlText w:val="%7."/>
      <w:lvlJc w:val="left"/>
      <w:pPr>
        <w:ind w:left="6571" w:hanging="360"/>
      </w:pPr>
    </w:lvl>
    <w:lvl w:ilvl="7" w:tplc="04150019" w:tentative="1">
      <w:start w:val="1"/>
      <w:numFmt w:val="lowerLetter"/>
      <w:lvlText w:val="%8."/>
      <w:lvlJc w:val="left"/>
      <w:pPr>
        <w:ind w:left="7291" w:hanging="360"/>
      </w:pPr>
    </w:lvl>
    <w:lvl w:ilvl="8" w:tplc="0415001B" w:tentative="1">
      <w:start w:val="1"/>
      <w:numFmt w:val="lowerRoman"/>
      <w:lvlText w:val="%9."/>
      <w:lvlJc w:val="right"/>
      <w:pPr>
        <w:ind w:left="8011" w:hanging="180"/>
      </w:pPr>
    </w:lvl>
  </w:abstractNum>
  <w:abstractNum w:abstractNumId="120" w15:restartNumberingAfterBreak="0">
    <w:nsid w:val="4D4058E2"/>
    <w:multiLevelType w:val="hybridMultilevel"/>
    <w:tmpl w:val="28824D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E195D39"/>
    <w:multiLevelType w:val="hybridMultilevel"/>
    <w:tmpl w:val="3D72946C"/>
    <w:lvl w:ilvl="0" w:tplc="5B18FCC8">
      <w:start w:val="1"/>
      <w:numFmt w:val="decimal"/>
      <w:lvlText w:val="%1)"/>
      <w:lvlJc w:val="left"/>
      <w:pPr>
        <w:ind w:left="1020" w:hanging="360"/>
      </w:pPr>
    </w:lvl>
    <w:lvl w:ilvl="1" w:tplc="0B7A94A2">
      <w:start w:val="1"/>
      <w:numFmt w:val="decimal"/>
      <w:lvlText w:val="%2)"/>
      <w:lvlJc w:val="left"/>
      <w:pPr>
        <w:ind w:left="1020" w:hanging="360"/>
      </w:pPr>
    </w:lvl>
    <w:lvl w:ilvl="2" w:tplc="82B87248">
      <w:start w:val="1"/>
      <w:numFmt w:val="decimal"/>
      <w:lvlText w:val="%3)"/>
      <w:lvlJc w:val="left"/>
      <w:pPr>
        <w:ind w:left="1020" w:hanging="360"/>
      </w:pPr>
    </w:lvl>
    <w:lvl w:ilvl="3" w:tplc="94CE4BBC">
      <w:start w:val="1"/>
      <w:numFmt w:val="decimal"/>
      <w:lvlText w:val="%4)"/>
      <w:lvlJc w:val="left"/>
      <w:pPr>
        <w:ind w:left="1020" w:hanging="360"/>
      </w:pPr>
    </w:lvl>
    <w:lvl w:ilvl="4" w:tplc="E548829E">
      <w:start w:val="1"/>
      <w:numFmt w:val="decimal"/>
      <w:lvlText w:val="%5)"/>
      <w:lvlJc w:val="left"/>
      <w:pPr>
        <w:ind w:left="1020" w:hanging="360"/>
      </w:pPr>
    </w:lvl>
    <w:lvl w:ilvl="5" w:tplc="6902ECD0">
      <w:start w:val="1"/>
      <w:numFmt w:val="decimal"/>
      <w:lvlText w:val="%6)"/>
      <w:lvlJc w:val="left"/>
      <w:pPr>
        <w:ind w:left="1020" w:hanging="360"/>
      </w:pPr>
    </w:lvl>
    <w:lvl w:ilvl="6" w:tplc="82A2247C">
      <w:start w:val="1"/>
      <w:numFmt w:val="decimal"/>
      <w:lvlText w:val="%7)"/>
      <w:lvlJc w:val="left"/>
      <w:pPr>
        <w:ind w:left="1020" w:hanging="360"/>
      </w:pPr>
    </w:lvl>
    <w:lvl w:ilvl="7" w:tplc="364673F0">
      <w:start w:val="1"/>
      <w:numFmt w:val="decimal"/>
      <w:lvlText w:val="%8)"/>
      <w:lvlJc w:val="left"/>
      <w:pPr>
        <w:ind w:left="1020" w:hanging="360"/>
      </w:pPr>
    </w:lvl>
    <w:lvl w:ilvl="8" w:tplc="60C4B984">
      <w:start w:val="1"/>
      <w:numFmt w:val="decimal"/>
      <w:lvlText w:val="%9)"/>
      <w:lvlJc w:val="left"/>
      <w:pPr>
        <w:ind w:left="1020" w:hanging="360"/>
      </w:pPr>
    </w:lvl>
  </w:abstractNum>
  <w:abstractNum w:abstractNumId="122" w15:restartNumberingAfterBreak="0">
    <w:nsid w:val="4E804FB7"/>
    <w:multiLevelType w:val="hybridMultilevel"/>
    <w:tmpl w:val="02C69ED8"/>
    <w:lvl w:ilvl="0" w:tplc="E7DC7788">
      <w:start w:val="1"/>
      <w:numFmt w:val="lowerLetter"/>
      <w:lvlText w:val="%1)"/>
      <w:lvlJc w:val="left"/>
      <w:pPr>
        <w:ind w:left="550" w:hanging="48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23" w15:restartNumberingAfterBreak="0">
    <w:nsid w:val="4EDA50CD"/>
    <w:multiLevelType w:val="hybridMultilevel"/>
    <w:tmpl w:val="91E688C8"/>
    <w:lvl w:ilvl="0" w:tplc="CEC2A4EC">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24" w15:restartNumberingAfterBreak="0">
    <w:nsid w:val="4FCE5072"/>
    <w:multiLevelType w:val="hybridMultilevel"/>
    <w:tmpl w:val="BB52F072"/>
    <w:lvl w:ilvl="0" w:tplc="0A2A2AEC">
      <w:start w:val="1"/>
      <w:numFmt w:val="lowerLetter"/>
      <w:lvlText w:val="%1)"/>
      <w:lvlJc w:val="left"/>
      <w:pPr>
        <w:ind w:left="720" w:hanging="360"/>
      </w:pPr>
    </w:lvl>
    <w:lvl w:ilvl="1" w:tplc="FBC43714">
      <w:start w:val="1"/>
      <w:numFmt w:val="lowerLetter"/>
      <w:lvlText w:val="%2)"/>
      <w:lvlJc w:val="left"/>
      <w:pPr>
        <w:ind w:left="720" w:hanging="360"/>
      </w:pPr>
    </w:lvl>
    <w:lvl w:ilvl="2" w:tplc="52CA6B32">
      <w:start w:val="1"/>
      <w:numFmt w:val="lowerLetter"/>
      <w:lvlText w:val="%3)"/>
      <w:lvlJc w:val="left"/>
      <w:pPr>
        <w:ind w:left="720" w:hanging="360"/>
      </w:pPr>
    </w:lvl>
    <w:lvl w:ilvl="3" w:tplc="CF08FCF8">
      <w:start w:val="1"/>
      <w:numFmt w:val="lowerLetter"/>
      <w:lvlText w:val="%4)"/>
      <w:lvlJc w:val="left"/>
      <w:pPr>
        <w:ind w:left="720" w:hanging="360"/>
      </w:pPr>
    </w:lvl>
    <w:lvl w:ilvl="4" w:tplc="3E1633A6">
      <w:start w:val="1"/>
      <w:numFmt w:val="lowerLetter"/>
      <w:lvlText w:val="%5)"/>
      <w:lvlJc w:val="left"/>
      <w:pPr>
        <w:ind w:left="720" w:hanging="360"/>
      </w:pPr>
    </w:lvl>
    <w:lvl w:ilvl="5" w:tplc="EA2646EE">
      <w:start w:val="1"/>
      <w:numFmt w:val="lowerLetter"/>
      <w:lvlText w:val="%6)"/>
      <w:lvlJc w:val="left"/>
      <w:pPr>
        <w:ind w:left="720" w:hanging="360"/>
      </w:pPr>
    </w:lvl>
    <w:lvl w:ilvl="6" w:tplc="7090C124">
      <w:start w:val="1"/>
      <w:numFmt w:val="lowerLetter"/>
      <w:lvlText w:val="%7)"/>
      <w:lvlJc w:val="left"/>
      <w:pPr>
        <w:ind w:left="720" w:hanging="360"/>
      </w:pPr>
    </w:lvl>
    <w:lvl w:ilvl="7" w:tplc="2A80B848">
      <w:start w:val="1"/>
      <w:numFmt w:val="lowerLetter"/>
      <w:lvlText w:val="%8)"/>
      <w:lvlJc w:val="left"/>
      <w:pPr>
        <w:ind w:left="720" w:hanging="360"/>
      </w:pPr>
    </w:lvl>
    <w:lvl w:ilvl="8" w:tplc="49769162">
      <w:start w:val="1"/>
      <w:numFmt w:val="lowerLetter"/>
      <w:lvlText w:val="%9)"/>
      <w:lvlJc w:val="left"/>
      <w:pPr>
        <w:ind w:left="720" w:hanging="360"/>
      </w:pPr>
    </w:lvl>
  </w:abstractNum>
  <w:abstractNum w:abstractNumId="125" w15:restartNumberingAfterBreak="0">
    <w:nsid w:val="50115FD8"/>
    <w:multiLevelType w:val="hybridMultilevel"/>
    <w:tmpl w:val="503EAD88"/>
    <w:lvl w:ilvl="0" w:tplc="C8F26098">
      <w:start w:val="1"/>
      <w:numFmt w:val="decimal"/>
      <w:lvlText w:val="%1)"/>
      <w:lvlJc w:val="left"/>
      <w:pPr>
        <w:ind w:left="720" w:hanging="360"/>
      </w:pPr>
    </w:lvl>
    <w:lvl w:ilvl="1" w:tplc="FEEC60CE">
      <w:start w:val="1"/>
      <w:numFmt w:val="decimal"/>
      <w:lvlText w:val="%2)"/>
      <w:lvlJc w:val="left"/>
      <w:pPr>
        <w:ind w:left="720" w:hanging="360"/>
      </w:pPr>
    </w:lvl>
    <w:lvl w:ilvl="2" w:tplc="5A421228">
      <w:start w:val="1"/>
      <w:numFmt w:val="decimal"/>
      <w:lvlText w:val="%3)"/>
      <w:lvlJc w:val="left"/>
      <w:pPr>
        <w:ind w:left="720" w:hanging="360"/>
      </w:pPr>
    </w:lvl>
    <w:lvl w:ilvl="3" w:tplc="ECE6B7D4">
      <w:start w:val="1"/>
      <w:numFmt w:val="decimal"/>
      <w:lvlText w:val="%4)"/>
      <w:lvlJc w:val="left"/>
      <w:pPr>
        <w:ind w:left="720" w:hanging="360"/>
      </w:pPr>
    </w:lvl>
    <w:lvl w:ilvl="4" w:tplc="D6C61370">
      <w:start w:val="1"/>
      <w:numFmt w:val="decimal"/>
      <w:lvlText w:val="%5)"/>
      <w:lvlJc w:val="left"/>
      <w:pPr>
        <w:ind w:left="720" w:hanging="360"/>
      </w:pPr>
    </w:lvl>
    <w:lvl w:ilvl="5" w:tplc="0C5A32B6">
      <w:start w:val="1"/>
      <w:numFmt w:val="decimal"/>
      <w:lvlText w:val="%6)"/>
      <w:lvlJc w:val="left"/>
      <w:pPr>
        <w:ind w:left="720" w:hanging="360"/>
      </w:pPr>
    </w:lvl>
    <w:lvl w:ilvl="6" w:tplc="BC9E95CC">
      <w:start w:val="1"/>
      <w:numFmt w:val="decimal"/>
      <w:lvlText w:val="%7)"/>
      <w:lvlJc w:val="left"/>
      <w:pPr>
        <w:ind w:left="720" w:hanging="360"/>
      </w:pPr>
    </w:lvl>
    <w:lvl w:ilvl="7" w:tplc="19C62DB4">
      <w:start w:val="1"/>
      <w:numFmt w:val="decimal"/>
      <w:lvlText w:val="%8)"/>
      <w:lvlJc w:val="left"/>
      <w:pPr>
        <w:ind w:left="720" w:hanging="360"/>
      </w:pPr>
    </w:lvl>
    <w:lvl w:ilvl="8" w:tplc="DC926942">
      <w:start w:val="1"/>
      <w:numFmt w:val="decimal"/>
      <w:lvlText w:val="%9)"/>
      <w:lvlJc w:val="left"/>
      <w:pPr>
        <w:ind w:left="720" w:hanging="360"/>
      </w:pPr>
    </w:lvl>
  </w:abstractNum>
  <w:abstractNum w:abstractNumId="126" w15:restartNumberingAfterBreak="0">
    <w:nsid w:val="50B277E3"/>
    <w:multiLevelType w:val="hybridMultilevel"/>
    <w:tmpl w:val="6B2A9970"/>
    <w:lvl w:ilvl="0" w:tplc="3080E45E">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27" w15:restartNumberingAfterBreak="0">
    <w:nsid w:val="50F80697"/>
    <w:multiLevelType w:val="hybridMultilevel"/>
    <w:tmpl w:val="0C2C51C2"/>
    <w:lvl w:ilvl="0" w:tplc="FFFFFFFF">
      <w:start w:val="1"/>
      <w:numFmt w:val="lowerLetter"/>
      <w:lvlText w:val="%1)"/>
      <w:lvlJc w:val="left"/>
      <w:pPr>
        <w:ind w:left="430" w:hanging="360"/>
      </w:pPr>
      <w:rPr>
        <w:rFonts w:hint="default"/>
      </w:rPr>
    </w:lvl>
    <w:lvl w:ilvl="1" w:tplc="FFFFFFFF">
      <w:start w:val="1"/>
      <w:numFmt w:val="decimal"/>
      <w:lvlText w:val="%2)"/>
      <w:lvlJc w:val="left"/>
      <w:pPr>
        <w:ind w:left="1150" w:hanging="360"/>
      </w:pPr>
      <w:rPr>
        <w:rFonts w:hint="default"/>
      </w:rPr>
    </w:lvl>
    <w:lvl w:ilvl="2" w:tplc="FFFFFFFF" w:tentative="1">
      <w:start w:val="1"/>
      <w:numFmt w:val="lowerRoman"/>
      <w:lvlText w:val="%3."/>
      <w:lvlJc w:val="right"/>
      <w:pPr>
        <w:ind w:left="1870" w:hanging="180"/>
      </w:pPr>
    </w:lvl>
    <w:lvl w:ilvl="3" w:tplc="FFFFFFFF" w:tentative="1">
      <w:start w:val="1"/>
      <w:numFmt w:val="decimal"/>
      <w:lvlText w:val="%4."/>
      <w:lvlJc w:val="left"/>
      <w:pPr>
        <w:ind w:left="2590" w:hanging="360"/>
      </w:pPr>
    </w:lvl>
    <w:lvl w:ilvl="4" w:tplc="FFFFFFFF" w:tentative="1">
      <w:start w:val="1"/>
      <w:numFmt w:val="lowerLetter"/>
      <w:lvlText w:val="%5."/>
      <w:lvlJc w:val="left"/>
      <w:pPr>
        <w:ind w:left="3310" w:hanging="360"/>
      </w:pPr>
    </w:lvl>
    <w:lvl w:ilvl="5" w:tplc="FFFFFFFF" w:tentative="1">
      <w:start w:val="1"/>
      <w:numFmt w:val="lowerRoman"/>
      <w:lvlText w:val="%6."/>
      <w:lvlJc w:val="right"/>
      <w:pPr>
        <w:ind w:left="4030" w:hanging="180"/>
      </w:pPr>
    </w:lvl>
    <w:lvl w:ilvl="6" w:tplc="FFFFFFFF" w:tentative="1">
      <w:start w:val="1"/>
      <w:numFmt w:val="decimal"/>
      <w:lvlText w:val="%7."/>
      <w:lvlJc w:val="left"/>
      <w:pPr>
        <w:ind w:left="4750" w:hanging="360"/>
      </w:pPr>
    </w:lvl>
    <w:lvl w:ilvl="7" w:tplc="FFFFFFFF" w:tentative="1">
      <w:start w:val="1"/>
      <w:numFmt w:val="lowerLetter"/>
      <w:lvlText w:val="%8."/>
      <w:lvlJc w:val="left"/>
      <w:pPr>
        <w:ind w:left="5470" w:hanging="360"/>
      </w:pPr>
    </w:lvl>
    <w:lvl w:ilvl="8" w:tplc="FFFFFFFF">
      <w:start w:val="1"/>
      <w:numFmt w:val="lowerRoman"/>
      <w:lvlText w:val="%9."/>
      <w:lvlJc w:val="right"/>
      <w:pPr>
        <w:ind w:left="6190" w:hanging="180"/>
      </w:pPr>
    </w:lvl>
  </w:abstractNum>
  <w:abstractNum w:abstractNumId="128" w15:restartNumberingAfterBreak="0">
    <w:nsid w:val="518071A9"/>
    <w:multiLevelType w:val="multilevel"/>
    <w:tmpl w:val="1DB4FADE"/>
    <w:lvl w:ilvl="0">
      <w:start w:val="2"/>
      <w:numFmt w:val="decimal"/>
      <w:lvlText w:val="%1"/>
      <w:lvlJc w:val="left"/>
      <w:pPr>
        <w:ind w:left="360" w:hanging="360"/>
      </w:pPr>
      <w:rPr>
        <w:rFonts w:hint="default"/>
      </w:rPr>
    </w:lvl>
    <w:lvl w:ilvl="1">
      <w:start w:val="1"/>
      <w:numFmt w:val="decimal"/>
      <w:lvlText w:val="%1.%2"/>
      <w:lvlJc w:val="left"/>
      <w:pPr>
        <w:ind w:left="2935" w:hanging="360"/>
      </w:pPr>
      <w:rPr>
        <w:rFonts w:hint="default"/>
      </w:rPr>
    </w:lvl>
    <w:lvl w:ilvl="2">
      <w:start w:val="1"/>
      <w:numFmt w:val="decimal"/>
      <w:lvlText w:val="%1.%2.%3"/>
      <w:lvlJc w:val="left"/>
      <w:pPr>
        <w:ind w:left="5870" w:hanging="720"/>
      </w:pPr>
      <w:rPr>
        <w:rFonts w:hint="default"/>
      </w:rPr>
    </w:lvl>
    <w:lvl w:ilvl="3">
      <w:start w:val="1"/>
      <w:numFmt w:val="decimal"/>
      <w:lvlText w:val="%1.%2.%3.%4"/>
      <w:lvlJc w:val="left"/>
      <w:pPr>
        <w:ind w:left="8445" w:hanging="720"/>
      </w:pPr>
      <w:rPr>
        <w:rFonts w:hint="default"/>
      </w:rPr>
    </w:lvl>
    <w:lvl w:ilvl="4">
      <w:start w:val="1"/>
      <w:numFmt w:val="decimal"/>
      <w:lvlText w:val="%1.%2.%3.%4.%5"/>
      <w:lvlJc w:val="left"/>
      <w:pPr>
        <w:ind w:left="11380" w:hanging="1080"/>
      </w:pPr>
      <w:rPr>
        <w:rFonts w:hint="default"/>
      </w:rPr>
    </w:lvl>
    <w:lvl w:ilvl="5">
      <w:start w:val="1"/>
      <w:numFmt w:val="decimal"/>
      <w:lvlText w:val="%1.%2.%3.%4.%5.%6"/>
      <w:lvlJc w:val="left"/>
      <w:pPr>
        <w:ind w:left="13955" w:hanging="1080"/>
      </w:pPr>
      <w:rPr>
        <w:rFonts w:hint="default"/>
      </w:rPr>
    </w:lvl>
    <w:lvl w:ilvl="6">
      <w:start w:val="1"/>
      <w:numFmt w:val="decimal"/>
      <w:lvlText w:val="%1.%2.%3.%4.%5.%6.%7"/>
      <w:lvlJc w:val="left"/>
      <w:pPr>
        <w:ind w:left="16890" w:hanging="1440"/>
      </w:pPr>
      <w:rPr>
        <w:rFonts w:hint="default"/>
      </w:rPr>
    </w:lvl>
    <w:lvl w:ilvl="7">
      <w:start w:val="1"/>
      <w:numFmt w:val="decimal"/>
      <w:lvlText w:val="%1.%2.%3.%4.%5.%6.%7.%8"/>
      <w:lvlJc w:val="left"/>
      <w:pPr>
        <w:ind w:left="19465" w:hanging="1440"/>
      </w:pPr>
      <w:rPr>
        <w:rFonts w:hint="default"/>
      </w:rPr>
    </w:lvl>
    <w:lvl w:ilvl="8">
      <w:start w:val="1"/>
      <w:numFmt w:val="decimal"/>
      <w:lvlText w:val="%1.%2.%3.%4.%5.%6.%7.%8.%9"/>
      <w:lvlJc w:val="left"/>
      <w:pPr>
        <w:ind w:left="22400" w:hanging="1800"/>
      </w:pPr>
      <w:rPr>
        <w:rFonts w:hint="default"/>
      </w:rPr>
    </w:lvl>
  </w:abstractNum>
  <w:abstractNum w:abstractNumId="129" w15:restartNumberingAfterBreak="0">
    <w:nsid w:val="527B03C7"/>
    <w:multiLevelType w:val="hybridMultilevel"/>
    <w:tmpl w:val="A3C8B876"/>
    <w:lvl w:ilvl="0" w:tplc="3F34FAC0">
      <w:start w:val="1"/>
      <w:numFmt w:val="lowerLetter"/>
      <w:lvlText w:val="%1)"/>
      <w:lvlJc w:val="left"/>
      <w:pPr>
        <w:ind w:left="2203"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30" w15:restartNumberingAfterBreak="0">
    <w:nsid w:val="52CD41F2"/>
    <w:multiLevelType w:val="hybridMultilevel"/>
    <w:tmpl w:val="FD8A2E2A"/>
    <w:lvl w:ilvl="0" w:tplc="5950BBFA">
      <w:start w:val="1"/>
      <w:numFmt w:val="lowerLetter"/>
      <w:pStyle w:val="a"/>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2DE4A90"/>
    <w:multiLevelType w:val="hybridMultilevel"/>
    <w:tmpl w:val="8CA053B8"/>
    <w:lvl w:ilvl="0" w:tplc="04150001">
      <w:start w:val="1"/>
      <w:numFmt w:val="bullet"/>
      <w:lvlText w:val=""/>
      <w:lvlJc w:val="left"/>
      <w:pPr>
        <w:ind w:left="2648" w:hanging="360"/>
      </w:pPr>
      <w:rPr>
        <w:rFonts w:ascii="Symbol" w:hAnsi="Symbol" w:hint="default"/>
      </w:rPr>
    </w:lvl>
    <w:lvl w:ilvl="1" w:tplc="04150003" w:tentative="1">
      <w:start w:val="1"/>
      <w:numFmt w:val="bullet"/>
      <w:lvlText w:val="o"/>
      <w:lvlJc w:val="left"/>
      <w:pPr>
        <w:ind w:left="3368" w:hanging="360"/>
      </w:pPr>
      <w:rPr>
        <w:rFonts w:ascii="Courier New" w:hAnsi="Courier New" w:cs="Courier New" w:hint="default"/>
      </w:rPr>
    </w:lvl>
    <w:lvl w:ilvl="2" w:tplc="04150005" w:tentative="1">
      <w:start w:val="1"/>
      <w:numFmt w:val="bullet"/>
      <w:lvlText w:val=""/>
      <w:lvlJc w:val="left"/>
      <w:pPr>
        <w:ind w:left="4088" w:hanging="360"/>
      </w:pPr>
      <w:rPr>
        <w:rFonts w:ascii="Wingdings" w:hAnsi="Wingdings" w:hint="default"/>
      </w:rPr>
    </w:lvl>
    <w:lvl w:ilvl="3" w:tplc="04150001" w:tentative="1">
      <w:start w:val="1"/>
      <w:numFmt w:val="bullet"/>
      <w:lvlText w:val=""/>
      <w:lvlJc w:val="left"/>
      <w:pPr>
        <w:ind w:left="4808" w:hanging="360"/>
      </w:pPr>
      <w:rPr>
        <w:rFonts w:ascii="Symbol" w:hAnsi="Symbol" w:hint="default"/>
      </w:rPr>
    </w:lvl>
    <w:lvl w:ilvl="4" w:tplc="04150003" w:tentative="1">
      <w:start w:val="1"/>
      <w:numFmt w:val="bullet"/>
      <w:lvlText w:val="o"/>
      <w:lvlJc w:val="left"/>
      <w:pPr>
        <w:ind w:left="5528" w:hanging="360"/>
      </w:pPr>
      <w:rPr>
        <w:rFonts w:ascii="Courier New" w:hAnsi="Courier New" w:cs="Courier New" w:hint="default"/>
      </w:rPr>
    </w:lvl>
    <w:lvl w:ilvl="5" w:tplc="04150005" w:tentative="1">
      <w:start w:val="1"/>
      <w:numFmt w:val="bullet"/>
      <w:lvlText w:val=""/>
      <w:lvlJc w:val="left"/>
      <w:pPr>
        <w:ind w:left="6248" w:hanging="360"/>
      </w:pPr>
      <w:rPr>
        <w:rFonts w:ascii="Wingdings" w:hAnsi="Wingdings" w:hint="default"/>
      </w:rPr>
    </w:lvl>
    <w:lvl w:ilvl="6" w:tplc="04150001" w:tentative="1">
      <w:start w:val="1"/>
      <w:numFmt w:val="bullet"/>
      <w:lvlText w:val=""/>
      <w:lvlJc w:val="left"/>
      <w:pPr>
        <w:ind w:left="6968" w:hanging="360"/>
      </w:pPr>
      <w:rPr>
        <w:rFonts w:ascii="Symbol" w:hAnsi="Symbol" w:hint="default"/>
      </w:rPr>
    </w:lvl>
    <w:lvl w:ilvl="7" w:tplc="04150003" w:tentative="1">
      <w:start w:val="1"/>
      <w:numFmt w:val="bullet"/>
      <w:lvlText w:val="o"/>
      <w:lvlJc w:val="left"/>
      <w:pPr>
        <w:ind w:left="7688" w:hanging="360"/>
      </w:pPr>
      <w:rPr>
        <w:rFonts w:ascii="Courier New" w:hAnsi="Courier New" w:cs="Courier New" w:hint="default"/>
      </w:rPr>
    </w:lvl>
    <w:lvl w:ilvl="8" w:tplc="04150005" w:tentative="1">
      <w:start w:val="1"/>
      <w:numFmt w:val="bullet"/>
      <w:lvlText w:val=""/>
      <w:lvlJc w:val="left"/>
      <w:pPr>
        <w:ind w:left="8408" w:hanging="360"/>
      </w:pPr>
      <w:rPr>
        <w:rFonts w:ascii="Wingdings" w:hAnsi="Wingdings" w:hint="default"/>
      </w:rPr>
    </w:lvl>
  </w:abstractNum>
  <w:abstractNum w:abstractNumId="132" w15:restartNumberingAfterBreak="0">
    <w:nsid w:val="53DD05E3"/>
    <w:multiLevelType w:val="hybridMultilevel"/>
    <w:tmpl w:val="A600E072"/>
    <w:lvl w:ilvl="0" w:tplc="4942CD40">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33" w15:restartNumberingAfterBreak="0">
    <w:nsid w:val="541F6269"/>
    <w:multiLevelType w:val="hybridMultilevel"/>
    <w:tmpl w:val="31F4A926"/>
    <w:lvl w:ilvl="0" w:tplc="BDACE6B4">
      <w:start w:val="1"/>
      <w:numFmt w:val="decimal"/>
      <w:lvlText w:val="%1)"/>
      <w:lvlJc w:val="left"/>
      <w:pPr>
        <w:ind w:left="720" w:hanging="360"/>
      </w:pPr>
    </w:lvl>
    <w:lvl w:ilvl="1" w:tplc="443E8DA8">
      <w:start w:val="1"/>
      <w:numFmt w:val="decimal"/>
      <w:lvlText w:val="%2)"/>
      <w:lvlJc w:val="left"/>
      <w:pPr>
        <w:ind w:left="720" w:hanging="360"/>
      </w:pPr>
    </w:lvl>
    <w:lvl w:ilvl="2" w:tplc="EA3495D0">
      <w:start w:val="1"/>
      <w:numFmt w:val="decimal"/>
      <w:lvlText w:val="%3)"/>
      <w:lvlJc w:val="left"/>
      <w:pPr>
        <w:ind w:left="720" w:hanging="360"/>
      </w:pPr>
    </w:lvl>
    <w:lvl w:ilvl="3" w:tplc="FAA077F2">
      <w:start w:val="1"/>
      <w:numFmt w:val="decimal"/>
      <w:lvlText w:val="%4)"/>
      <w:lvlJc w:val="left"/>
      <w:pPr>
        <w:ind w:left="720" w:hanging="360"/>
      </w:pPr>
    </w:lvl>
    <w:lvl w:ilvl="4" w:tplc="06125928">
      <w:start w:val="1"/>
      <w:numFmt w:val="decimal"/>
      <w:lvlText w:val="%5)"/>
      <w:lvlJc w:val="left"/>
      <w:pPr>
        <w:ind w:left="720" w:hanging="360"/>
      </w:pPr>
    </w:lvl>
    <w:lvl w:ilvl="5" w:tplc="A97A2844">
      <w:start w:val="1"/>
      <w:numFmt w:val="decimal"/>
      <w:lvlText w:val="%6)"/>
      <w:lvlJc w:val="left"/>
      <w:pPr>
        <w:ind w:left="720" w:hanging="360"/>
      </w:pPr>
    </w:lvl>
    <w:lvl w:ilvl="6" w:tplc="01C402D8">
      <w:start w:val="1"/>
      <w:numFmt w:val="decimal"/>
      <w:lvlText w:val="%7)"/>
      <w:lvlJc w:val="left"/>
      <w:pPr>
        <w:ind w:left="720" w:hanging="360"/>
      </w:pPr>
    </w:lvl>
    <w:lvl w:ilvl="7" w:tplc="6B58A786">
      <w:start w:val="1"/>
      <w:numFmt w:val="decimal"/>
      <w:lvlText w:val="%8)"/>
      <w:lvlJc w:val="left"/>
      <w:pPr>
        <w:ind w:left="720" w:hanging="360"/>
      </w:pPr>
    </w:lvl>
    <w:lvl w:ilvl="8" w:tplc="671AE9C4">
      <w:start w:val="1"/>
      <w:numFmt w:val="decimal"/>
      <w:lvlText w:val="%9)"/>
      <w:lvlJc w:val="left"/>
      <w:pPr>
        <w:ind w:left="720" w:hanging="360"/>
      </w:pPr>
    </w:lvl>
  </w:abstractNum>
  <w:abstractNum w:abstractNumId="134" w15:restartNumberingAfterBreak="0">
    <w:nsid w:val="54F16367"/>
    <w:multiLevelType w:val="hybridMultilevel"/>
    <w:tmpl w:val="4FFE24F2"/>
    <w:lvl w:ilvl="0" w:tplc="0212CB80">
      <w:start w:val="1"/>
      <w:numFmt w:val="decimal"/>
      <w:pStyle w:val="Nagwek8"/>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35" w15:restartNumberingAfterBreak="0">
    <w:nsid w:val="55556510"/>
    <w:multiLevelType w:val="hybridMultilevel"/>
    <w:tmpl w:val="D4464042"/>
    <w:lvl w:ilvl="0" w:tplc="6F3E319E">
      <w:start w:val="1"/>
      <w:numFmt w:val="lowerLetter"/>
      <w:pStyle w:val="a2"/>
      <w:lvlText w:val="%1)"/>
      <w:lvlJc w:val="left"/>
      <w:pPr>
        <w:ind w:left="1381"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36" w15:restartNumberingAfterBreak="0">
    <w:nsid w:val="55654424"/>
    <w:multiLevelType w:val="hybridMultilevel"/>
    <w:tmpl w:val="D518A1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5957579"/>
    <w:multiLevelType w:val="hybridMultilevel"/>
    <w:tmpl w:val="3828B302"/>
    <w:lvl w:ilvl="0" w:tplc="CA3E3EAA">
      <w:start w:val="1"/>
      <w:numFmt w:val="decimal"/>
      <w:lvlText w:val="%1)"/>
      <w:lvlJc w:val="left"/>
      <w:pPr>
        <w:ind w:left="1488"/>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C16CDF02">
      <w:start w:val="1"/>
      <w:numFmt w:val="lowerLetter"/>
      <w:lvlText w:val="%2"/>
      <w:lvlJc w:val="left"/>
      <w:pPr>
        <w:ind w:left="2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49EE8">
      <w:start w:val="1"/>
      <w:numFmt w:val="lowerRoman"/>
      <w:lvlText w:val="%3"/>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0ADE4">
      <w:start w:val="1"/>
      <w:numFmt w:val="decimal"/>
      <w:lvlText w:val="%4"/>
      <w:lvlJc w:val="left"/>
      <w:pPr>
        <w:ind w:left="3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182ECE">
      <w:start w:val="1"/>
      <w:numFmt w:val="lowerLetter"/>
      <w:lvlText w:val="%5"/>
      <w:lvlJc w:val="left"/>
      <w:pPr>
        <w:ind w:left="4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E8E34">
      <w:start w:val="1"/>
      <w:numFmt w:val="lowerRoman"/>
      <w:lvlText w:val="%6"/>
      <w:lvlJc w:val="left"/>
      <w:pPr>
        <w:ind w:left="5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206580">
      <w:start w:val="1"/>
      <w:numFmt w:val="decimal"/>
      <w:lvlText w:val="%7"/>
      <w:lvlJc w:val="left"/>
      <w:pPr>
        <w:ind w:left="5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81F34">
      <w:start w:val="1"/>
      <w:numFmt w:val="lowerLetter"/>
      <w:lvlText w:val="%8"/>
      <w:lvlJc w:val="left"/>
      <w:pPr>
        <w:ind w:left="6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E6AE4">
      <w:start w:val="1"/>
      <w:numFmt w:val="lowerRoman"/>
      <w:lvlText w:val="%9"/>
      <w:lvlJc w:val="left"/>
      <w:pPr>
        <w:ind w:left="7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56B654EE"/>
    <w:multiLevelType w:val="hybridMultilevel"/>
    <w:tmpl w:val="E9BECA24"/>
    <w:lvl w:ilvl="0" w:tplc="861C6E4E">
      <w:start w:val="1"/>
      <w:numFmt w:val="lowerRoman"/>
      <w:lvlText w:val="%1)"/>
      <w:lvlJc w:val="right"/>
      <w:pPr>
        <w:ind w:left="720" w:hanging="360"/>
      </w:pPr>
    </w:lvl>
    <w:lvl w:ilvl="1" w:tplc="31CA860C">
      <w:start w:val="1"/>
      <w:numFmt w:val="lowerRoman"/>
      <w:lvlText w:val="%2)"/>
      <w:lvlJc w:val="right"/>
      <w:pPr>
        <w:ind w:left="720" w:hanging="360"/>
      </w:pPr>
    </w:lvl>
    <w:lvl w:ilvl="2" w:tplc="21EE0AFE">
      <w:start w:val="1"/>
      <w:numFmt w:val="lowerRoman"/>
      <w:lvlText w:val="%3)"/>
      <w:lvlJc w:val="right"/>
      <w:pPr>
        <w:ind w:left="720" w:hanging="360"/>
      </w:pPr>
    </w:lvl>
    <w:lvl w:ilvl="3" w:tplc="20C0D9BE">
      <w:start w:val="1"/>
      <w:numFmt w:val="lowerRoman"/>
      <w:lvlText w:val="%4)"/>
      <w:lvlJc w:val="right"/>
      <w:pPr>
        <w:ind w:left="720" w:hanging="360"/>
      </w:pPr>
    </w:lvl>
    <w:lvl w:ilvl="4" w:tplc="05A6F9C0">
      <w:start w:val="1"/>
      <w:numFmt w:val="lowerRoman"/>
      <w:lvlText w:val="%5)"/>
      <w:lvlJc w:val="right"/>
      <w:pPr>
        <w:ind w:left="720" w:hanging="360"/>
      </w:pPr>
    </w:lvl>
    <w:lvl w:ilvl="5" w:tplc="047664E2">
      <w:start w:val="1"/>
      <w:numFmt w:val="lowerRoman"/>
      <w:lvlText w:val="%6)"/>
      <w:lvlJc w:val="right"/>
      <w:pPr>
        <w:ind w:left="720" w:hanging="360"/>
      </w:pPr>
    </w:lvl>
    <w:lvl w:ilvl="6" w:tplc="9692EF6C">
      <w:start w:val="1"/>
      <w:numFmt w:val="lowerRoman"/>
      <w:lvlText w:val="%7)"/>
      <w:lvlJc w:val="right"/>
      <w:pPr>
        <w:ind w:left="720" w:hanging="360"/>
      </w:pPr>
    </w:lvl>
    <w:lvl w:ilvl="7" w:tplc="9958443C">
      <w:start w:val="1"/>
      <w:numFmt w:val="lowerRoman"/>
      <w:lvlText w:val="%8)"/>
      <w:lvlJc w:val="right"/>
      <w:pPr>
        <w:ind w:left="720" w:hanging="360"/>
      </w:pPr>
    </w:lvl>
    <w:lvl w:ilvl="8" w:tplc="10D2A472">
      <w:start w:val="1"/>
      <w:numFmt w:val="lowerRoman"/>
      <w:lvlText w:val="%9)"/>
      <w:lvlJc w:val="right"/>
      <w:pPr>
        <w:ind w:left="720" w:hanging="360"/>
      </w:pPr>
    </w:lvl>
  </w:abstractNum>
  <w:abstractNum w:abstractNumId="139" w15:restartNumberingAfterBreak="0">
    <w:nsid w:val="56EF672B"/>
    <w:multiLevelType w:val="hybridMultilevel"/>
    <w:tmpl w:val="48D8ED0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0" w15:restartNumberingAfterBreak="0">
    <w:nsid w:val="56F52ACF"/>
    <w:multiLevelType w:val="hybridMultilevel"/>
    <w:tmpl w:val="1C369A26"/>
    <w:lvl w:ilvl="0" w:tplc="DB1EA128">
      <w:numFmt w:val="bullet"/>
      <w:lvlText w:val="–"/>
      <w:lvlJc w:val="left"/>
      <w:pPr>
        <w:ind w:left="720" w:hanging="360"/>
      </w:pPr>
      <w:rPr>
        <w:rFonts w:ascii="Times New Roman" w:eastAsia="Times New Roman" w:hAnsi="Times New Roman" w:cs="Times New Roman" w:hint="default"/>
        <w:b w:val="0"/>
        <w:bCs w:val="0"/>
        <w:i w:val="0"/>
        <w:iCs w:val="0"/>
        <w:spacing w:val="0"/>
        <w:w w:val="102"/>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7121597"/>
    <w:multiLevelType w:val="hybridMultilevel"/>
    <w:tmpl w:val="5D3638C8"/>
    <w:lvl w:ilvl="0" w:tplc="5AFAA806">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42" w15:restartNumberingAfterBreak="0">
    <w:nsid w:val="572F75C7"/>
    <w:multiLevelType w:val="hybridMultilevel"/>
    <w:tmpl w:val="61487220"/>
    <w:lvl w:ilvl="0" w:tplc="04150017">
      <w:start w:val="1"/>
      <w:numFmt w:val="lowerLetter"/>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43" w15:restartNumberingAfterBreak="0">
    <w:nsid w:val="57983114"/>
    <w:multiLevelType w:val="multilevel"/>
    <w:tmpl w:val="2E6A0A7E"/>
    <w:lvl w:ilvl="0">
      <w:start w:val="1"/>
      <w:numFmt w:val="decimal"/>
      <w:lvlText w:val="%1)"/>
      <w:lvlJc w:val="left"/>
      <w:pPr>
        <w:tabs>
          <w:tab w:val="num" w:pos="1531"/>
        </w:tabs>
        <w:ind w:left="1928" w:hanging="397"/>
      </w:pPr>
      <w:rPr>
        <w:rFonts w:hint="default"/>
        <w:b w:val="0"/>
        <w:i w:val="0"/>
        <w:sz w:val="24"/>
      </w:rPr>
    </w:lvl>
    <w:lvl w:ilvl="1">
      <w:start w:val="1"/>
      <w:numFmt w:val="lowerLetter"/>
      <w:pStyle w:val="1przedab"/>
      <w:lvlText w:val="%1%2)"/>
      <w:lvlJc w:val="left"/>
      <w:pPr>
        <w:ind w:left="1928" w:hanging="397"/>
      </w:pPr>
      <w:rPr>
        <w:rFonts w:ascii="Times New Roman" w:hAnsi="Times New Roman" w:hint="default"/>
        <w:b w:val="0"/>
        <w:i w:val="0"/>
        <w:sz w:val="24"/>
      </w:rPr>
    </w:lvl>
    <w:lvl w:ilvl="2">
      <w:start w:val="1"/>
      <w:numFmt w:val="decimal"/>
      <w:lvlText w:val="%1.%2.%3."/>
      <w:lvlJc w:val="left"/>
      <w:pPr>
        <w:ind w:left="1531" w:hanging="1531"/>
      </w:pPr>
      <w:rPr>
        <w:rFonts w:ascii="Times New Roman" w:hAnsi="Times New Roman" w:hint="default"/>
        <w:sz w:val="24"/>
      </w:rPr>
    </w:lvl>
    <w:lvl w:ilvl="3">
      <w:start w:val="1"/>
      <w:numFmt w:val="decimal"/>
      <w:lvlText w:val="%1.%2.%3.%4."/>
      <w:lvlJc w:val="left"/>
      <w:pPr>
        <w:ind w:left="1531" w:hanging="1531"/>
      </w:pPr>
      <w:rPr>
        <w:rFonts w:ascii="Times New Roman" w:hAnsi="Times New Roman" w:hint="default"/>
        <w:sz w:val="24"/>
      </w:rPr>
    </w:lvl>
    <w:lvl w:ilvl="4">
      <w:start w:val="1"/>
      <w:numFmt w:val="decimal"/>
      <w:lvlText w:val="%1.%2.%3.%4.%5"/>
      <w:lvlJc w:val="left"/>
      <w:pPr>
        <w:ind w:left="1531" w:hanging="1531"/>
      </w:pPr>
      <w:rPr>
        <w:rFonts w:ascii="Times New Roman" w:hAnsi="Times New Roman" w:hint="default"/>
        <w:sz w:val="24"/>
      </w:rPr>
    </w:lvl>
    <w:lvl w:ilvl="5">
      <w:start w:val="1"/>
      <w:numFmt w:val="decimal"/>
      <w:lvlText w:val="%1.%2.%3.%4.%5.%6."/>
      <w:lvlJc w:val="left"/>
      <w:pPr>
        <w:ind w:left="1531" w:hanging="1531"/>
      </w:pPr>
      <w:rPr>
        <w:rFonts w:ascii="Times New Roman" w:hAnsi="Times New Roman" w:hint="default"/>
        <w:sz w:val="24"/>
      </w:rPr>
    </w:lvl>
    <w:lvl w:ilvl="6">
      <w:start w:val="1"/>
      <w:numFmt w:val="decimal"/>
      <w:lvlText w:val="%1.%7"/>
      <w:lvlJc w:val="left"/>
      <w:pPr>
        <w:ind w:left="1531" w:hanging="1531"/>
      </w:pPr>
      <w:rPr>
        <w:rFonts w:ascii="Times New Roman" w:hAnsi="Times New Roman" w:hint="default"/>
        <w:b w:val="0"/>
        <w:i w:val="0"/>
        <w:sz w:val="24"/>
      </w:rPr>
    </w:lvl>
    <w:lvl w:ilvl="7">
      <w:start w:val="1"/>
      <w:numFmt w:val="lowerLetter"/>
      <w:lvlText w:val="%8)"/>
      <w:lvlJc w:val="left"/>
      <w:pPr>
        <w:ind w:left="1928" w:hanging="397"/>
      </w:pPr>
      <w:rPr>
        <w:rFonts w:ascii="Times New Roman" w:hAnsi="Times New Roman" w:hint="default"/>
        <w:sz w:val="24"/>
      </w:rPr>
    </w:lvl>
    <w:lvl w:ilvl="8">
      <w:start w:val="1"/>
      <w:numFmt w:val="lowerRoman"/>
      <w:lvlText w:val="%9."/>
      <w:lvlJc w:val="left"/>
      <w:pPr>
        <w:ind w:left="22780" w:hanging="360"/>
      </w:pPr>
      <w:rPr>
        <w:rFonts w:hint="default"/>
      </w:rPr>
    </w:lvl>
  </w:abstractNum>
  <w:abstractNum w:abstractNumId="144" w15:restartNumberingAfterBreak="0">
    <w:nsid w:val="57BE6673"/>
    <w:multiLevelType w:val="hybridMultilevel"/>
    <w:tmpl w:val="2DC43370"/>
    <w:lvl w:ilvl="0" w:tplc="4A6C9B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7FE7D5A"/>
    <w:multiLevelType w:val="hybridMultilevel"/>
    <w:tmpl w:val="4EEE776E"/>
    <w:lvl w:ilvl="0" w:tplc="04150017">
      <w:start w:val="1"/>
      <w:numFmt w:val="lowerLetter"/>
      <w:lvlText w:val="%1)"/>
      <w:lvlJc w:val="left"/>
      <w:pPr>
        <w:ind w:left="1495" w:hanging="360"/>
      </w:pPr>
    </w:lvl>
    <w:lvl w:ilvl="1" w:tplc="FFFFFFFF">
      <w:start w:val="1"/>
      <w:numFmt w:val="lowerLetter"/>
      <w:lvlText w:val="%2."/>
      <w:lvlJc w:val="left"/>
      <w:pPr>
        <w:ind w:left="2575" w:hanging="360"/>
      </w:pPr>
    </w:lvl>
    <w:lvl w:ilvl="2" w:tplc="FFFFFFFF" w:tentative="1">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146" w15:restartNumberingAfterBreak="0">
    <w:nsid w:val="58B60F34"/>
    <w:multiLevelType w:val="hybridMultilevel"/>
    <w:tmpl w:val="FFEE1662"/>
    <w:lvl w:ilvl="0" w:tplc="2FCAC9AC">
      <w:start w:val="1"/>
      <w:numFmt w:val="decimal"/>
      <w:lvlText w:val="%1)"/>
      <w:lvlJc w:val="left"/>
      <w:pPr>
        <w:ind w:left="1020" w:hanging="360"/>
      </w:pPr>
    </w:lvl>
    <w:lvl w:ilvl="1" w:tplc="3FF4DF00">
      <w:start w:val="1"/>
      <w:numFmt w:val="decimal"/>
      <w:lvlText w:val="%2)"/>
      <w:lvlJc w:val="left"/>
      <w:pPr>
        <w:ind w:left="1020" w:hanging="360"/>
      </w:pPr>
    </w:lvl>
    <w:lvl w:ilvl="2" w:tplc="AF8E6DC0">
      <w:start w:val="1"/>
      <w:numFmt w:val="decimal"/>
      <w:lvlText w:val="%3)"/>
      <w:lvlJc w:val="left"/>
      <w:pPr>
        <w:ind w:left="1020" w:hanging="360"/>
      </w:pPr>
    </w:lvl>
    <w:lvl w:ilvl="3" w:tplc="B9928430">
      <w:start w:val="1"/>
      <w:numFmt w:val="decimal"/>
      <w:lvlText w:val="%4)"/>
      <w:lvlJc w:val="left"/>
      <w:pPr>
        <w:ind w:left="1020" w:hanging="360"/>
      </w:pPr>
    </w:lvl>
    <w:lvl w:ilvl="4" w:tplc="98D6B50A">
      <w:start w:val="1"/>
      <w:numFmt w:val="decimal"/>
      <w:lvlText w:val="%5)"/>
      <w:lvlJc w:val="left"/>
      <w:pPr>
        <w:ind w:left="1020" w:hanging="360"/>
      </w:pPr>
    </w:lvl>
    <w:lvl w:ilvl="5" w:tplc="F3EC2722">
      <w:start w:val="1"/>
      <w:numFmt w:val="decimal"/>
      <w:lvlText w:val="%6)"/>
      <w:lvlJc w:val="left"/>
      <w:pPr>
        <w:ind w:left="1020" w:hanging="360"/>
      </w:pPr>
    </w:lvl>
    <w:lvl w:ilvl="6" w:tplc="AD0A0BF6">
      <w:start w:val="1"/>
      <w:numFmt w:val="decimal"/>
      <w:lvlText w:val="%7)"/>
      <w:lvlJc w:val="left"/>
      <w:pPr>
        <w:ind w:left="1020" w:hanging="360"/>
      </w:pPr>
    </w:lvl>
    <w:lvl w:ilvl="7" w:tplc="4FBE927E">
      <w:start w:val="1"/>
      <w:numFmt w:val="decimal"/>
      <w:lvlText w:val="%8)"/>
      <w:lvlJc w:val="left"/>
      <w:pPr>
        <w:ind w:left="1020" w:hanging="360"/>
      </w:pPr>
    </w:lvl>
    <w:lvl w:ilvl="8" w:tplc="71EC0494">
      <w:start w:val="1"/>
      <w:numFmt w:val="decimal"/>
      <w:lvlText w:val="%9)"/>
      <w:lvlJc w:val="left"/>
      <w:pPr>
        <w:ind w:left="1020" w:hanging="360"/>
      </w:pPr>
    </w:lvl>
  </w:abstractNum>
  <w:abstractNum w:abstractNumId="147" w15:restartNumberingAfterBreak="0">
    <w:nsid w:val="5A1D62D7"/>
    <w:multiLevelType w:val="hybridMultilevel"/>
    <w:tmpl w:val="F9D61AA6"/>
    <w:lvl w:ilvl="0" w:tplc="C28CF05C">
      <w:start w:val="1"/>
      <w:numFmt w:val="decimal"/>
      <w:pStyle w:val="pierwszy"/>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A2E6A7D"/>
    <w:multiLevelType w:val="multilevel"/>
    <w:tmpl w:val="0422D2B6"/>
    <w:lvl w:ilvl="0">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2"/>
      <w:numFmt w:val="decimal"/>
      <w:lvlRestart w:val="0"/>
      <w:lvlText w:val="%1.%2.%3."/>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A4A0D14"/>
    <w:multiLevelType w:val="hybridMultilevel"/>
    <w:tmpl w:val="E0AE01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BB45BE2"/>
    <w:multiLevelType w:val="hybridMultilevel"/>
    <w:tmpl w:val="1646CEB8"/>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04150017">
      <w:start w:val="1"/>
      <w:numFmt w:val="lowerLetter"/>
      <w:lvlText w:val="%8)"/>
      <w:lvlJc w:val="left"/>
      <w:pPr>
        <w:ind w:left="790" w:hanging="360"/>
      </w:pPr>
    </w:lvl>
    <w:lvl w:ilvl="8" w:tplc="FFFFFFFF" w:tentative="1">
      <w:start w:val="1"/>
      <w:numFmt w:val="lowerRoman"/>
      <w:lvlText w:val="%9."/>
      <w:lvlJc w:val="right"/>
      <w:pPr>
        <w:ind w:left="7614" w:hanging="180"/>
      </w:pPr>
    </w:lvl>
  </w:abstractNum>
  <w:abstractNum w:abstractNumId="151" w15:restartNumberingAfterBreak="0">
    <w:nsid w:val="5C5907BA"/>
    <w:multiLevelType w:val="hybridMultilevel"/>
    <w:tmpl w:val="221E4D10"/>
    <w:lvl w:ilvl="0" w:tplc="D110F7F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CCA774D"/>
    <w:multiLevelType w:val="hybridMultilevel"/>
    <w:tmpl w:val="522A680A"/>
    <w:lvl w:ilvl="0" w:tplc="7756B34E">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53" w15:restartNumberingAfterBreak="0">
    <w:nsid w:val="5D363AF6"/>
    <w:multiLevelType w:val="hybridMultilevel"/>
    <w:tmpl w:val="867482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E291CFC"/>
    <w:multiLevelType w:val="hybridMultilevel"/>
    <w:tmpl w:val="BF20DE1E"/>
    <w:lvl w:ilvl="0" w:tplc="A682682C">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55" w15:restartNumberingAfterBreak="0">
    <w:nsid w:val="613A4011"/>
    <w:multiLevelType w:val="hybridMultilevel"/>
    <w:tmpl w:val="2AAA0050"/>
    <w:lvl w:ilvl="0" w:tplc="58C03AE2">
      <w:start w:val="1"/>
      <w:numFmt w:val="decimal"/>
      <w:lvlText w:val="%1)"/>
      <w:lvlJc w:val="left"/>
      <w:pPr>
        <w:ind w:left="720" w:hanging="360"/>
      </w:pPr>
    </w:lvl>
    <w:lvl w:ilvl="1" w:tplc="7C9E3A5A">
      <w:start w:val="1"/>
      <w:numFmt w:val="decimal"/>
      <w:lvlText w:val="%2)"/>
      <w:lvlJc w:val="left"/>
      <w:pPr>
        <w:ind w:left="720" w:hanging="360"/>
      </w:pPr>
    </w:lvl>
    <w:lvl w:ilvl="2" w:tplc="DD546628">
      <w:start w:val="1"/>
      <w:numFmt w:val="decimal"/>
      <w:lvlText w:val="%3)"/>
      <w:lvlJc w:val="left"/>
      <w:pPr>
        <w:ind w:left="720" w:hanging="360"/>
      </w:pPr>
    </w:lvl>
    <w:lvl w:ilvl="3" w:tplc="6CE2937A">
      <w:start w:val="1"/>
      <w:numFmt w:val="decimal"/>
      <w:lvlText w:val="%4)"/>
      <w:lvlJc w:val="left"/>
      <w:pPr>
        <w:ind w:left="720" w:hanging="360"/>
      </w:pPr>
    </w:lvl>
    <w:lvl w:ilvl="4" w:tplc="2BC0F002">
      <w:start w:val="1"/>
      <w:numFmt w:val="decimal"/>
      <w:lvlText w:val="%5)"/>
      <w:lvlJc w:val="left"/>
      <w:pPr>
        <w:ind w:left="720" w:hanging="360"/>
      </w:pPr>
    </w:lvl>
    <w:lvl w:ilvl="5" w:tplc="0268C6FC">
      <w:start w:val="1"/>
      <w:numFmt w:val="decimal"/>
      <w:lvlText w:val="%6)"/>
      <w:lvlJc w:val="left"/>
      <w:pPr>
        <w:ind w:left="720" w:hanging="360"/>
      </w:pPr>
    </w:lvl>
    <w:lvl w:ilvl="6" w:tplc="67048978">
      <w:start w:val="1"/>
      <w:numFmt w:val="decimal"/>
      <w:lvlText w:val="%7)"/>
      <w:lvlJc w:val="left"/>
      <w:pPr>
        <w:ind w:left="720" w:hanging="360"/>
      </w:pPr>
    </w:lvl>
    <w:lvl w:ilvl="7" w:tplc="252A3876">
      <w:start w:val="1"/>
      <w:numFmt w:val="decimal"/>
      <w:lvlText w:val="%8)"/>
      <w:lvlJc w:val="left"/>
      <w:pPr>
        <w:ind w:left="720" w:hanging="360"/>
      </w:pPr>
    </w:lvl>
    <w:lvl w:ilvl="8" w:tplc="685E468A">
      <w:start w:val="1"/>
      <w:numFmt w:val="decimal"/>
      <w:lvlText w:val="%9)"/>
      <w:lvlJc w:val="left"/>
      <w:pPr>
        <w:ind w:left="720" w:hanging="360"/>
      </w:pPr>
    </w:lvl>
  </w:abstractNum>
  <w:abstractNum w:abstractNumId="156" w15:restartNumberingAfterBreak="0">
    <w:nsid w:val="61B3511F"/>
    <w:multiLevelType w:val="hybridMultilevel"/>
    <w:tmpl w:val="D74AF522"/>
    <w:lvl w:ilvl="0" w:tplc="DDC8CC72">
      <w:start w:val="1"/>
      <w:numFmt w:val="decimal"/>
      <w:lvlText w:val="%1)"/>
      <w:lvlJc w:val="left"/>
      <w:pPr>
        <w:ind w:left="720" w:hanging="360"/>
      </w:pPr>
    </w:lvl>
    <w:lvl w:ilvl="1" w:tplc="C95AFAC4">
      <w:start w:val="1"/>
      <w:numFmt w:val="decimal"/>
      <w:lvlText w:val="%2)"/>
      <w:lvlJc w:val="left"/>
      <w:pPr>
        <w:ind w:left="720" w:hanging="360"/>
      </w:pPr>
    </w:lvl>
    <w:lvl w:ilvl="2" w:tplc="C4A8162C">
      <w:start w:val="1"/>
      <w:numFmt w:val="decimal"/>
      <w:lvlText w:val="%3)"/>
      <w:lvlJc w:val="left"/>
      <w:pPr>
        <w:ind w:left="720" w:hanging="360"/>
      </w:pPr>
    </w:lvl>
    <w:lvl w:ilvl="3" w:tplc="E5F4741A">
      <w:start w:val="1"/>
      <w:numFmt w:val="decimal"/>
      <w:lvlText w:val="%4)"/>
      <w:lvlJc w:val="left"/>
      <w:pPr>
        <w:ind w:left="720" w:hanging="360"/>
      </w:pPr>
    </w:lvl>
    <w:lvl w:ilvl="4" w:tplc="72EE88FE">
      <w:start w:val="1"/>
      <w:numFmt w:val="decimal"/>
      <w:lvlText w:val="%5)"/>
      <w:lvlJc w:val="left"/>
      <w:pPr>
        <w:ind w:left="720" w:hanging="360"/>
      </w:pPr>
    </w:lvl>
    <w:lvl w:ilvl="5" w:tplc="DB6C4492">
      <w:start w:val="1"/>
      <w:numFmt w:val="decimal"/>
      <w:lvlText w:val="%6)"/>
      <w:lvlJc w:val="left"/>
      <w:pPr>
        <w:ind w:left="720" w:hanging="360"/>
      </w:pPr>
    </w:lvl>
    <w:lvl w:ilvl="6" w:tplc="024C55B0">
      <w:start w:val="1"/>
      <w:numFmt w:val="decimal"/>
      <w:lvlText w:val="%7)"/>
      <w:lvlJc w:val="left"/>
      <w:pPr>
        <w:ind w:left="720" w:hanging="360"/>
      </w:pPr>
    </w:lvl>
    <w:lvl w:ilvl="7" w:tplc="A0928D94">
      <w:start w:val="1"/>
      <w:numFmt w:val="decimal"/>
      <w:lvlText w:val="%8)"/>
      <w:lvlJc w:val="left"/>
      <w:pPr>
        <w:ind w:left="720" w:hanging="360"/>
      </w:pPr>
    </w:lvl>
    <w:lvl w:ilvl="8" w:tplc="C8C25C06">
      <w:start w:val="1"/>
      <w:numFmt w:val="decimal"/>
      <w:lvlText w:val="%9)"/>
      <w:lvlJc w:val="left"/>
      <w:pPr>
        <w:ind w:left="720" w:hanging="360"/>
      </w:pPr>
    </w:lvl>
  </w:abstractNum>
  <w:abstractNum w:abstractNumId="157" w15:restartNumberingAfterBreak="0">
    <w:nsid w:val="624F43AA"/>
    <w:multiLevelType w:val="hybridMultilevel"/>
    <w:tmpl w:val="3E0EFE16"/>
    <w:lvl w:ilvl="0" w:tplc="82486C40">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58" w15:restartNumberingAfterBreak="0">
    <w:nsid w:val="629E1C2B"/>
    <w:multiLevelType w:val="hybridMultilevel"/>
    <w:tmpl w:val="9C469FFE"/>
    <w:lvl w:ilvl="0" w:tplc="51C0B932">
      <w:start w:val="1"/>
      <w:numFmt w:val="decimal"/>
      <w:lvlText w:val="%1)"/>
      <w:lvlJc w:val="left"/>
      <w:pPr>
        <w:ind w:left="720" w:hanging="360"/>
      </w:pPr>
    </w:lvl>
    <w:lvl w:ilvl="1" w:tplc="3A925ADA">
      <w:start w:val="1"/>
      <w:numFmt w:val="decimal"/>
      <w:lvlText w:val="%2)"/>
      <w:lvlJc w:val="left"/>
      <w:pPr>
        <w:ind w:left="720" w:hanging="360"/>
      </w:pPr>
    </w:lvl>
    <w:lvl w:ilvl="2" w:tplc="C7F0F86E">
      <w:start w:val="1"/>
      <w:numFmt w:val="decimal"/>
      <w:lvlText w:val="%3)"/>
      <w:lvlJc w:val="left"/>
      <w:pPr>
        <w:ind w:left="720" w:hanging="360"/>
      </w:pPr>
    </w:lvl>
    <w:lvl w:ilvl="3" w:tplc="3188B1FE">
      <w:start w:val="1"/>
      <w:numFmt w:val="decimal"/>
      <w:lvlText w:val="%4)"/>
      <w:lvlJc w:val="left"/>
      <w:pPr>
        <w:ind w:left="720" w:hanging="360"/>
      </w:pPr>
    </w:lvl>
    <w:lvl w:ilvl="4" w:tplc="D9704FB2">
      <w:start w:val="1"/>
      <w:numFmt w:val="decimal"/>
      <w:lvlText w:val="%5)"/>
      <w:lvlJc w:val="left"/>
      <w:pPr>
        <w:ind w:left="720" w:hanging="360"/>
      </w:pPr>
    </w:lvl>
    <w:lvl w:ilvl="5" w:tplc="CD581E86">
      <w:start w:val="1"/>
      <w:numFmt w:val="decimal"/>
      <w:lvlText w:val="%6)"/>
      <w:lvlJc w:val="left"/>
      <w:pPr>
        <w:ind w:left="720" w:hanging="360"/>
      </w:pPr>
    </w:lvl>
    <w:lvl w:ilvl="6" w:tplc="66D8DB28">
      <w:start w:val="1"/>
      <w:numFmt w:val="decimal"/>
      <w:lvlText w:val="%7)"/>
      <w:lvlJc w:val="left"/>
      <w:pPr>
        <w:ind w:left="720" w:hanging="360"/>
      </w:pPr>
    </w:lvl>
    <w:lvl w:ilvl="7" w:tplc="330CA41C">
      <w:start w:val="1"/>
      <w:numFmt w:val="decimal"/>
      <w:lvlText w:val="%8)"/>
      <w:lvlJc w:val="left"/>
      <w:pPr>
        <w:ind w:left="720" w:hanging="360"/>
      </w:pPr>
    </w:lvl>
    <w:lvl w:ilvl="8" w:tplc="63681CDA">
      <w:start w:val="1"/>
      <w:numFmt w:val="decimal"/>
      <w:lvlText w:val="%9)"/>
      <w:lvlJc w:val="left"/>
      <w:pPr>
        <w:ind w:left="720" w:hanging="360"/>
      </w:pPr>
    </w:lvl>
  </w:abstractNum>
  <w:abstractNum w:abstractNumId="159" w15:restartNumberingAfterBreak="0">
    <w:nsid w:val="633B2D4F"/>
    <w:multiLevelType w:val="hybridMultilevel"/>
    <w:tmpl w:val="CA0E3570"/>
    <w:lvl w:ilvl="0" w:tplc="833AE9F4">
      <w:start w:val="1"/>
      <w:numFmt w:val="decimal"/>
      <w:lvlText w:val="%1)"/>
      <w:lvlJc w:val="left"/>
      <w:pPr>
        <w:ind w:left="401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41B2B14"/>
    <w:multiLevelType w:val="hybridMultilevel"/>
    <w:tmpl w:val="B5364C64"/>
    <w:lvl w:ilvl="0" w:tplc="756AEA62">
      <w:numFmt w:val="bullet"/>
      <w:lvlText w:val=""/>
      <w:lvlJc w:val="left"/>
      <w:pPr>
        <w:ind w:left="720" w:hanging="360"/>
      </w:pPr>
      <w:rPr>
        <w:rFonts w:ascii="Symbol" w:eastAsia="Symbol" w:hAnsi="Symbol" w:cs="Symbol" w:hint="default"/>
        <w:b w:val="0"/>
        <w:bCs w:val="0"/>
        <w:i w:val="0"/>
        <w:iCs w:val="0"/>
        <w:spacing w:val="0"/>
        <w:w w:val="102"/>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504117C"/>
    <w:multiLevelType w:val="hybridMultilevel"/>
    <w:tmpl w:val="05062C70"/>
    <w:lvl w:ilvl="0" w:tplc="04150017">
      <w:start w:val="1"/>
      <w:numFmt w:val="lowerLetter"/>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62" w15:restartNumberingAfterBreak="0">
    <w:nsid w:val="658B5913"/>
    <w:multiLevelType w:val="hybridMultilevel"/>
    <w:tmpl w:val="DE2A6BF4"/>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63" w15:restartNumberingAfterBreak="0">
    <w:nsid w:val="671A244C"/>
    <w:multiLevelType w:val="multilevel"/>
    <w:tmpl w:val="ED34A9A2"/>
    <w:lvl w:ilvl="0">
      <w:start w:val="1"/>
      <w:numFmt w:val="upperLetter"/>
      <w:lvlText w:val="%1."/>
      <w:lvlJc w:val="left"/>
      <w:pPr>
        <w:ind w:left="1134" w:hanging="1134"/>
      </w:pPr>
      <w:rPr>
        <w:rFonts w:asciiTheme="minorHAnsi" w:hAnsiTheme="minorHAnsi" w:cstheme="minorHAnsi" w:hint="default"/>
        <w:b/>
        <w:sz w:val="20"/>
        <w:szCs w:val="16"/>
      </w:rPr>
    </w:lvl>
    <w:lvl w:ilvl="1">
      <w:start w:val="1"/>
      <w:numFmt w:val="decimal"/>
      <w:pStyle w:val="ANagwek2"/>
      <w:lvlText w:val="%1.%2."/>
      <w:lvlJc w:val="left"/>
      <w:pPr>
        <w:ind w:left="1191" w:hanging="1191"/>
      </w:pPr>
      <w:rPr>
        <w:rFonts w:asciiTheme="minorHAnsi" w:hAnsiTheme="minorHAnsi" w:cstheme="minorHAnsi" w:hint="default"/>
        <w:b w:val="0"/>
        <w:bCs w:val="0"/>
        <w:sz w:val="20"/>
        <w:szCs w:val="16"/>
      </w:rPr>
    </w:lvl>
    <w:lvl w:ilvl="2">
      <w:start w:val="1"/>
      <w:numFmt w:val="decimal"/>
      <w:pStyle w:val="ANagwek3"/>
      <w:lvlText w:val="%1.%2.%3."/>
      <w:lvlJc w:val="left"/>
      <w:pPr>
        <w:ind w:left="1531" w:hanging="1531"/>
      </w:pPr>
      <w:rPr>
        <w:rFonts w:asciiTheme="minorHAnsi" w:hAnsiTheme="minorHAnsi" w:cstheme="minorHAnsi" w:hint="default"/>
        <w:sz w:val="20"/>
        <w:szCs w:val="16"/>
      </w:rPr>
    </w:lvl>
    <w:lvl w:ilvl="3">
      <w:start w:val="1"/>
      <w:numFmt w:val="decimal"/>
      <w:pStyle w:val="ANagwek4"/>
      <w:lvlText w:val="%1.%2.%3.%4."/>
      <w:lvlJc w:val="left"/>
      <w:pPr>
        <w:ind w:left="1531" w:hanging="1531"/>
      </w:pPr>
      <w:rPr>
        <w:rFonts w:asciiTheme="minorHAnsi" w:hAnsiTheme="minorHAnsi" w:cstheme="minorHAnsi" w:hint="default"/>
        <w:sz w:val="20"/>
        <w:szCs w:val="20"/>
      </w:rPr>
    </w:lvl>
    <w:lvl w:ilvl="4">
      <w:start w:val="1"/>
      <w:numFmt w:val="decimal"/>
      <w:pStyle w:val="ANagwek5"/>
      <w:lvlText w:val="%1.%2.%3.%4.%5"/>
      <w:lvlJc w:val="left"/>
      <w:pPr>
        <w:ind w:left="1531" w:hanging="1531"/>
      </w:pPr>
      <w:rPr>
        <w:rFonts w:asciiTheme="minorHAnsi" w:hAnsiTheme="minorHAnsi" w:cstheme="minorHAnsi" w:hint="default"/>
        <w:sz w:val="20"/>
        <w:szCs w:val="20"/>
      </w:rPr>
    </w:lvl>
    <w:lvl w:ilvl="5">
      <w:start w:val="1"/>
      <w:numFmt w:val="decimal"/>
      <w:lvlText w:val="%1.%2.%3.%4.%5.%6."/>
      <w:lvlJc w:val="left"/>
      <w:pPr>
        <w:ind w:left="1531" w:hanging="1531"/>
      </w:pPr>
      <w:rPr>
        <w:rFonts w:ascii="Times New Roman" w:hAnsi="Times New Roman" w:hint="default"/>
        <w:sz w:val="24"/>
      </w:rPr>
    </w:lvl>
    <w:lvl w:ilvl="6">
      <w:start w:val="1"/>
      <w:numFmt w:val="decimal"/>
      <w:pStyle w:val="ANagwek7"/>
      <w:lvlText w:val="%1.%7"/>
      <w:lvlJc w:val="left"/>
      <w:pPr>
        <w:ind w:left="1531" w:hanging="1531"/>
      </w:pPr>
      <w:rPr>
        <w:rFonts w:ascii="Times New Roman" w:hAnsi="Times New Roman" w:hint="default"/>
        <w:b w:val="0"/>
        <w:i w:val="0"/>
        <w:sz w:val="24"/>
      </w:rPr>
    </w:lvl>
    <w:lvl w:ilvl="7">
      <w:start w:val="1"/>
      <w:numFmt w:val="lowerLetter"/>
      <w:lvlText w:val="%8)"/>
      <w:lvlJc w:val="left"/>
      <w:pPr>
        <w:ind w:left="1928" w:hanging="397"/>
      </w:pPr>
      <w:rPr>
        <w:rFonts w:asciiTheme="minorHAnsi" w:hAnsiTheme="minorHAnsi" w:cstheme="minorHAnsi" w:hint="default"/>
        <w:sz w:val="20"/>
        <w:szCs w:val="20"/>
      </w:rPr>
    </w:lvl>
    <w:lvl w:ilvl="8">
      <w:start w:val="1"/>
      <w:numFmt w:val="lowerRoman"/>
      <w:lvlText w:val="%9."/>
      <w:lvlJc w:val="left"/>
      <w:pPr>
        <w:ind w:left="22780" w:hanging="360"/>
      </w:pPr>
      <w:rPr>
        <w:rFonts w:hint="default"/>
      </w:rPr>
    </w:lvl>
  </w:abstractNum>
  <w:abstractNum w:abstractNumId="164" w15:restartNumberingAfterBreak="0">
    <w:nsid w:val="671C6C8F"/>
    <w:multiLevelType w:val="hybridMultilevel"/>
    <w:tmpl w:val="5E9C062A"/>
    <w:lvl w:ilvl="0" w:tplc="7FE4CDB2">
      <w:start w:val="1"/>
      <w:numFmt w:val="lowerRoman"/>
      <w:pStyle w:val="i"/>
      <w:lvlText w:val="(%1)"/>
      <w:lvlJc w:val="left"/>
      <w:pPr>
        <w:ind w:left="2648" w:hanging="360"/>
      </w:pPr>
      <w:rPr>
        <w:rFonts w:ascii="Times New Roman" w:hAnsi="Times New Roman" w:hint="default"/>
        <w:b w:val="0"/>
        <w:i w:val="0"/>
        <w:sz w:val="24"/>
      </w:rPr>
    </w:lvl>
    <w:lvl w:ilvl="1" w:tplc="BE487B68">
      <w:start w:val="1"/>
      <w:numFmt w:val="decimal"/>
      <w:lvlText w:val="%2)"/>
      <w:lvlJc w:val="left"/>
      <w:pPr>
        <w:ind w:left="3368" w:hanging="360"/>
      </w:pPr>
      <w:rPr>
        <w:rFonts w:hint="default"/>
      </w:rPr>
    </w:lvl>
    <w:lvl w:ilvl="2" w:tplc="0415001B" w:tentative="1">
      <w:start w:val="1"/>
      <w:numFmt w:val="lowerRoman"/>
      <w:lvlText w:val="%3."/>
      <w:lvlJc w:val="right"/>
      <w:pPr>
        <w:ind w:left="4088" w:hanging="180"/>
      </w:pPr>
    </w:lvl>
    <w:lvl w:ilvl="3" w:tplc="0415000F" w:tentative="1">
      <w:start w:val="1"/>
      <w:numFmt w:val="decimal"/>
      <w:lvlText w:val="%4."/>
      <w:lvlJc w:val="left"/>
      <w:pPr>
        <w:ind w:left="4808" w:hanging="360"/>
      </w:pPr>
    </w:lvl>
    <w:lvl w:ilvl="4" w:tplc="04150019" w:tentative="1">
      <w:start w:val="1"/>
      <w:numFmt w:val="lowerLetter"/>
      <w:lvlText w:val="%5."/>
      <w:lvlJc w:val="left"/>
      <w:pPr>
        <w:ind w:left="5528" w:hanging="360"/>
      </w:pPr>
    </w:lvl>
    <w:lvl w:ilvl="5" w:tplc="0415001B" w:tentative="1">
      <w:start w:val="1"/>
      <w:numFmt w:val="lowerRoman"/>
      <w:lvlText w:val="%6."/>
      <w:lvlJc w:val="right"/>
      <w:pPr>
        <w:ind w:left="6248" w:hanging="180"/>
      </w:pPr>
    </w:lvl>
    <w:lvl w:ilvl="6" w:tplc="0415000F" w:tentative="1">
      <w:start w:val="1"/>
      <w:numFmt w:val="decimal"/>
      <w:lvlText w:val="%7."/>
      <w:lvlJc w:val="left"/>
      <w:pPr>
        <w:ind w:left="6968" w:hanging="360"/>
      </w:pPr>
    </w:lvl>
    <w:lvl w:ilvl="7" w:tplc="04150019" w:tentative="1">
      <w:start w:val="1"/>
      <w:numFmt w:val="lowerLetter"/>
      <w:lvlText w:val="%8."/>
      <w:lvlJc w:val="left"/>
      <w:pPr>
        <w:ind w:left="7688" w:hanging="360"/>
      </w:pPr>
    </w:lvl>
    <w:lvl w:ilvl="8" w:tplc="0415001B" w:tentative="1">
      <w:start w:val="1"/>
      <w:numFmt w:val="lowerRoman"/>
      <w:lvlText w:val="%9."/>
      <w:lvlJc w:val="right"/>
      <w:pPr>
        <w:ind w:left="8408" w:hanging="180"/>
      </w:pPr>
    </w:lvl>
  </w:abstractNum>
  <w:abstractNum w:abstractNumId="165" w15:restartNumberingAfterBreak="0">
    <w:nsid w:val="684A3850"/>
    <w:multiLevelType w:val="hybridMultilevel"/>
    <w:tmpl w:val="2F1C91D6"/>
    <w:lvl w:ilvl="0" w:tplc="501233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68B52984"/>
    <w:multiLevelType w:val="hybridMultilevel"/>
    <w:tmpl w:val="8C46FEE6"/>
    <w:lvl w:ilvl="0" w:tplc="451E069A">
      <w:start w:val="1"/>
      <w:numFmt w:val="bullet"/>
      <w:pStyle w:val="kropka"/>
      <w:lvlText w:val=""/>
      <w:lvlJc w:val="left"/>
      <w:pPr>
        <w:ind w:left="790" w:hanging="360"/>
      </w:pPr>
      <w:rPr>
        <w:rFonts w:ascii="Symbol" w:hAnsi="Symbol" w:hint="default"/>
      </w:rPr>
    </w:lvl>
    <w:lvl w:ilvl="1" w:tplc="04150003" w:tentative="1">
      <w:start w:val="1"/>
      <w:numFmt w:val="bullet"/>
      <w:lvlText w:val="o"/>
      <w:lvlJc w:val="left"/>
      <w:pPr>
        <w:ind w:left="1510" w:hanging="360"/>
      </w:pPr>
      <w:rPr>
        <w:rFonts w:ascii="Courier New" w:hAnsi="Courier New" w:cs="Courier New" w:hint="default"/>
      </w:rPr>
    </w:lvl>
    <w:lvl w:ilvl="2" w:tplc="04150005">
      <w:start w:val="1"/>
      <w:numFmt w:val="bullet"/>
      <w:lvlText w:val=""/>
      <w:lvlJc w:val="left"/>
      <w:pPr>
        <w:ind w:left="2230" w:hanging="360"/>
      </w:pPr>
      <w:rPr>
        <w:rFonts w:ascii="Wingdings" w:hAnsi="Wingdings" w:hint="default"/>
      </w:rPr>
    </w:lvl>
    <w:lvl w:ilvl="3" w:tplc="04150001" w:tentative="1">
      <w:start w:val="1"/>
      <w:numFmt w:val="bullet"/>
      <w:lvlText w:val=""/>
      <w:lvlJc w:val="left"/>
      <w:pPr>
        <w:ind w:left="2950" w:hanging="360"/>
      </w:pPr>
      <w:rPr>
        <w:rFonts w:ascii="Symbol" w:hAnsi="Symbol" w:hint="default"/>
      </w:rPr>
    </w:lvl>
    <w:lvl w:ilvl="4" w:tplc="04150003" w:tentative="1">
      <w:start w:val="1"/>
      <w:numFmt w:val="bullet"/>
      <w:lvlText w:val="o"/>
      <w:lvlJc w:val="left"/>
      <w:pPr>
        <w:ind w:left="3670" w:hanging="360"/>
      </w:pPr>
      <w:rPr>
        <w:rFonts w:ascii="Courier New" w:hAnsi="Courier New" w:cs="Courier New" w:hint="default"/>
      </w:rPr>
    </w:lvl>
    <w:lvl w:ilvl="5" w:tplc="04150005" w:tentative="1">
      <w:start w:val="1"/>
      <w:numFmt w:val="bullet"/>
      <w:lvlText w:val=""/>
      <w:lvlJc w:val="left"/>
      <w:pPr>
        <w:ind w:left="4390" w:hanging="360"/>
      </w:pPr>
      <w:rPr>
        <w:rFonts w:ascii="Wingdings" w:hAnsi="Wingdings" w:hint="default"/>
      </w:rPr>
    </w:lvl>
    <w:lvl w:ilvl="6" w:tplc="04150001" w:tentative="1">
      <w:start w:val="1"/>
      <w:numFmt w:val="bullet"/>
      <w:lvlText w:val=""/>
      <w:lvlJc w:val="left"/>
      <w:pPr>
        <w:ind w:left="5110" w:hanging="360"/>
      </w:pPr>
      <w:rPr>
        <w:rFonts w:ascii="Symbol" w:hAnsi="Symbol" w:hint="default"/>
      </w:rPr>
    </w:lvl>
    <w:lvl w:ilvl="7" w:tplc="04150003" w:tentative="1">
      <w:start w:val="1"/>
      <w:numFmt w:val="bullet"/>
      <w:lvlText w:val="o"/>
      <w:lvlJc w:val="left"/>
      <w:pPr>
        <w:ind w:left="5830" w:hanging="360"/>
      </w:pPr>
      <w:rPr>
        <w:rFonts w:ascii="Courier New" w:hAnsi="Courier New" w:cs="Courier New" w:hint="default"/>
      </w:rPr>
    </w:lvl>
    <w:lvl w:ilvl="8" w:tplc="04150005" w:tentative="1">
      <w:start w:val="1"/>
      <w:numFmt w:val="bullet"/>
      <w:lvlText w:val=""/>
      <w:lvlJc w:val="left"/>
      <w:pPr>
        <w:ind w:left="6550" w:hanging="360"/>
      </w:pPr>
      <w:rPr>
        <w:rFonts w:ascii="Wingdings" w:hAnsi="Wingdings" w:hint="default"/>
      </w:rPr>
    </w:lvl>
  </w:abstractNum>
  <w:abstractNum w:abstractNumId="167" w15:restartNumberingAfterBreak="0">
    <w:nsid w:val="69DF6753"/>
    <w:multiLevelType w:val="hybridMultilevel"/>
    <w:tmpl w:val="76DA29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756AEA62">
      <w:numFmt w:val="bullet"/>
      <w:lvlText w:val=""/>
      <w:lvlJc w:val="left"/>
      <w:pPr>
        <w:ind w:left="2160" w:hanging="360"/>
      </w:pPr>
      <w:rPr>
        <w:rFonts w:ascii="Symbol" w:eastAsia="Symbol" w:hAnsi="Symbol" w:cs="Symbol" w:hint="default"/>
        <w:b w:val="0"/>
        <w:bCs w:val="0"/>
        <w:i w:val="0"/>
        <w:iCs w:val="0"/>
        <w:spacing w:val="0"/>
        <w:w w:val="102"/>
        <w:sz w:val="22"/>
        <w:szCs w:val="22"/>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6B671D80"/>
    <w:multiLevelType w:val="hybridMultilevel"/>
    <w:tmpl w:val="CCF8EFDC"/>
    <w:lvl w:ilvl="0" w:tplc="04150011">
      <w:start w:val="1"/>
      <w:numFmt w:val="decimal"/>
      <w:lvlText w:val="%1)"/>
      <w:lvlJc w:val="left"/>
      <w:pPr>
        <w:ind w:left="1891" w:hanging="360"/>
      </w:pPr>
    </w:lvl>
    <w:lvl w:ilvl="1" w:tplc="FFFFFFFF" w:tentative="1">
      <w:start w:val="1"/>
      <w:numFmt w:val="lowerLetter"/>
      <w:lvlText w:val="%2."/>
      <w:lvlJc w:val="left"/>
      <w:pPr>
        <w:ind w:left="151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169" w15:restartNumberingAfterBreak="0">
    <w:nsid w:val="6B696B15"/>
    <w:multiLevelType w:val="hybridMultilevel"/>
    <w:tmpl w:val="A53A3D82"/>
    <w:lvl w:ilvl="0" w:tplc="1A0C9E34">
      <w:start w:val="1"/>
      <w:numFmt w:val="decimal"/>
      <w:lvlText w:val="%1)"/>
      <w:lvlJc w:val="left"/>
      <w:pPr>
        <w:ind w:left="1020" w:hanging="360"/>
      </w:pPr>
    </w:lvl>
    <w:lvl w:ilvl="1" w:tplc="CD18AD50">
      <w:start w:val="1"/>
      <w:numFmt w:val="decimal"/>
      <w:lvlText w:val="%2)"/>
      <w:lvlJc w:val="left"/>
      <w:pPr>
        <w:ind w:left="1020" w:hanging="360"/>
      </w:pPr>
    </w:lvl>
    <w:lvl w:ilvl="2" w:tplc="52E4470E">
      <w:start w:val="1"/>
      <w:numFmt w:val="decimal"/>
      <w:lvlText w:val="%3)"/>
      <w:lvlJc w:val="left"/>
      <w:pPr>
        <w:ind w:left="1020" w:hanging="360"/>
      </w:pPr>
    </w:lvl>
    <w:lvl w:ilvl="3" w:tplc="60BA3E00">
      <w:start w:val="1"/>
      <w:numFmt w:val="decimal"/>
      <w:lvlText w:val="%4)"/>
      <w:lvlJc w:val="left"/>
      <w:pPr>
        <w:ind w:left="1020" w:hanging="360"/>
      </w:pPr>
    </w:lvl>
    <w:lvl w:ilvl="4" w:tplc="106A1E6E">
      <w:start w:val="1"/>
      <w:numFmt w:val="decimal"/>
      <w:lvlText w:val="%5)"/>
      <w:lvlJc w:val="left"/>
      <w:pPr>
        <w:ind w:left="1020" w:hanging="360"/>
      </w:pPr>
    </w:lvl>
    <w:lvl w:ilvl="5" w:tplc="B1CEE0AA">
      <w:start w:val="1"/>
      <w:numFmt w:val="decimal"/>
      <w:lvlText w:val="%6)"/>
      <w:lvlJc w:val="left"/>
      <w:pPr>
        <w:ind w:left="1020" w:hanging="360"/>
      </w:pPr>
    </w:lvl>
    <w:lvl w:ilvl="6" w:tplc="6E680450">
      <w:start w:val="1"/>
      <w:numFmt w:val="decimal"/>
      <w:lvlText w:val="%7)"/>
      <w:lvlJc w:val="left"/>
      <w:pPr>
        <w:ind w:left="1020" w:hanging="360"/>
      </w:pPr>
    </w:lvl>
    <w:lvl w:ilvl="7" w:tplc="CD606784">
      <w:start w:val="1"/>
      <w:numFmt w:val="decimal"/>
      <w:lvlText w:val="%8)"/>
      <w:lvlJc w:val="left"/>
      <w:pPr>
        <w:ind w:left="1020" w:hanging="360"/>
      </w:pPr>
    </w:lvl>
    <w:lvl w:ilvl="8" w:tplc="B380D390">
      <w:start w:val="1"/>
      <w:numFmt w:val="decimal"/>
      <w:lvlText w:val="%9)"/>
      <w:lvlJc w:val="left"/>
      <w:pPr>
        <w:ind w:left="1020" w:hanging="360"/>
      </w:pPr>
    </w:lvl>
  </w:abstractNum>
  <w:abstractNum w:abstractNumId="170" w15:restartNumberingAfterBreak="0">
    <w:nsid w:val="6D011D75"/>
    <w:multiLevelType w:val="hybridMultilevel"/>
    <w:tmpl w:val="6CE8893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1" w15:restartNumberingAfterBreak="0">
    <w:nsid w:val="6DDD0847"/>
    <w:multiLevelType w:val="hybridMultilevel"/>
    <w:tmpl w:val="386016FA"/>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6E0A4D28"/>
    <w:multiLevelType w:val="hybridMultilevel"/>
    <w:tmpl w:val="94B8BA9E"/>
    <w:lvl w:ilvl="0" w:tplc="34169EF6">
      <w:numFmt w:val="bullet"/>
      <w:lvlText w:val=""/>
      <w:lvlJc w:val="left"/>
      <w:pPr>
        <w:ind w:left="720" w:hanging="360"/>
      </w:pPr>
      <w:rPr>
        <w:rFonts w:ascii="Symbol" w:eastAsia="Symbol" w:hAnsi="Symbol" w:cs="Symbol" w:hint="default"/>
        <w:b w:val="0"/>
        <w:bCs w:val="0"/>
        <w:i w:val="0"/>
        <w:iCs w:val="0"/>
        <w:spacing w:val="0"/>
        <w:w w:val="102"/>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6E2677E2"/>
    <w:multiLevelType w:val="hybridMultilevel"/>
    <w:tmpl w:val="C08AF25C"/>
    <w:lvl w:ilvl="0" w:tplc="FFFFFFFF">
      <w:start w:val="1"/>
      <w:numFmt w:val="decimal"/>
      <w:lvlText w:val="%1)"/>
      <w:lvlJc w:val="left"/>
      <w:pPr>
        <w:ind w:left="790" w:hanging="360"/>
      </w:pPr>
    </w:lvl>
    <w:lvl w:ilvl="1" w:tplc="04150011">
      <w:start w:val="1"/>
      <w:numFmt w:val="decimal"/>
      <w:lvlText w:val="%2)"/>
      <w:lvlJc w:val="left"/>
      <w:pPr>
        <w:ind w:left="720" w:hanging="360"/>
      </w:pPr>
    </w:lvl>
    <w:lvl w:ilvl="2" w:tplc="FFFFFFFF" w:tentative="1">
      <w:start w:val="1"/>
      <w:numFmt w:val="lowerRoman"/>
      <w:lvlText w:val="%3."/>
      <w:lvlJc w:val="right"/>
      <w:pPr>
        <w:ind w:left="2230" w:hanging="180"/>
      </w:pPr>
    </w:lvl>
    <w:lvl w:ilvl="3" w:tplc="FFFFFFFF" w:tentative="1">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174" w15:restartNumberingAfterBreak="0">
    <w:nsid w:val="6E69700A"/>
    <w:multiLevelType w:val="hybridMultilevel"/>
    <w:tmpl w:val="24A091E0"/>
    <w:lvl w:ilvl="0" w:tplc="D77410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D2DAC4">
      <w:start w:val="1"/>
      <w:numFmt w:val="lowerLetter"/>
      <w:lvlText w:val="%2)"/>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E07C4C">
      <w:start w:val="1"/>
      <w:numFmt w:val="lowerRoman"/>
      <w:lvlText w:val="%3"/>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7CC232">
      <w:start w:val="1"/>
      <w:numFmt w:val="decimal"/>
      <w:lvlText w:val="%4"/>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9C52B0">
      <w:start w:val="1"/>
      <w:numFmt w:val="lowerLetter"/>
      <w:lvlText w:val="%5"/>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360ED2">
      <w:start w:val="1"/>
      <w:numFmt w:val="lowerRoman"/>
      <w:lvlText w:val="%6"/>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98DF30">
      <w:start w:val="1"/>
      <w:numFmt w:val="decimal"/>
      <w:lvlText w:val="%7"/>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D619DC">
      <w:start w:val="1"/>
      <w:numFmt w:val="lowerLetter"/>
      <w:lvlText w:val="%8"/>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721F6E">
      <w:start w:val="1"/>
      <w:numFmt w:val="lowerRoman"/>
      <w:lvlText w:val="%9"/>
      <w:lvlJc w:val="left"/>
      <w:pPr>
        <w:ind w:left="6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F2361C1"/>
    <w:multiLevelType w:val="hybridMultilevel"/>
    <w:tmpl w:val="6792BE1C"/>
    <w:lvl w:ilvl="0" w:tplc="21807B8E">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76" w15:restartNumberingAfterBreak="0">
    <w:nsid w:val="6FD3403A"/>
    <w:multiLevelType w:val="hybridMultilevel"/>
    <w:tmpl w:val="F3907C2C"/>
    <w:lvl w:ilvl="0" w:tplc="778A5C4A">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77" w15:restartNumberingAfterBreak="0">
    <w:nsid w:val="70E70EA9"/>
    <w:multiLevelType w:val="hybridMultilevel"/>
    <w:tmpl w:val="BB263B1E"/>
    <w:lvl w:ilvl="0" w:tplc="4F5E3760">
      <w:start w:val="1"/>
      <w:numFmt w:val="upp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78" w15:restartNumberingAfterBreak="0">
    <w:nsid w:val="71290E35"/>
    <w:multiLevelType w:val="hybridMultilevel"/>
    <w:tmpl w:val="944C8D06"/>
    <w:lvl w:ilvl="0" w:tplc="04150017">
      <w:start w:val="1"/>
      <w:numFmt w:val="lowerLetter"/>
      <w:lvlText w:val="%1)"/>
      <w:lvlJc w:val="left"/>
      <w:pPr>
        <w:ind w:left="2251" w:hanging="360"/>
      </w:pPr>
    </w:lvl>
    <w:lvl w:ilvl="1" w:tplc="04150019" w:tentative="1">
      <w:start w:val="1"/>
      <w:numFmt w:val="lowerLetter"/>
      <w:lvlText w:val="%2."/>
      <w:lvlJc w:val="left"/>
      <w:pPr>
        <w:ind w:left="2971" w:hanging="360"/>
      </w:pPr>
    </w:lvl>
    <w:lvl w:ilvl="2" w:tplc="0415001B" w:tentative="1">
      <w:start w:val="1"/>
      <w:numFmt w:val="lowerRoman"/>
      <w:lvlText w:val="%3."/>
      <w:lvlJc w:val="right"/>
      <w:pPr>
        <w:ind w:left="3691" w:hanging="180"/>
      </w:pPr>
    </w:lvl>
    <w:lvl w:ilvl="3" w:tplc="0415000F" w:tentative="1">
      <w:start w:val="1"/>
      <w:numFmt w:val="decimal"/>
      <w:lvlText w:val="%4."/>
      <w:lvlJc w:val="left"/>
      <w:pPr>
        <w:ind w:left="4411" w:hanging="360"/>
      </w:pPr>
    </w:lvl>
    <w:lvl w:ilvl="4" w:tplc="04150019" w:tentative="1">
      <w:start w:val="1"/>
      <w:numFmt w:val="lowerLetter"/>
      <w:lvlText w:val="%5."/>
      <w:lvlJc w:val="left"/>
      <w:pPr>
        <w:ind w:left="5131" w:hanging="360"/>
      </w:pPr>
    </w:lvl>
    <w:lvl w:ilvl="5" w:tplc="0415001B" w:tentative="1">
      <w:start w:val="1"/>
      <w:numFmt w:val="lowerRoman"/>
      <w:lvlText w:val="%6."/>
      <w:lvlJc w:val="right"/>
      <w:pPr>
        <w:ind w:left="5851" w:hanging="180"/>
      </w:pPr>
    </w:lvl>
    <w:lvl w:ilvl="6" w:tplc="0415000F" w:tentative="1">
      <w:start w:val="1"/>
      <w:numFmt w:val="decimal"/>
      <w:lvlText w:val="%7."/>
      <w:lvlJc w:val="left"/>
      <w:pPr>
        <w:ind w:left="6571" w:hanging="360"/>
      </w:pPr>
    </w:lvl>
    <w:lvl w:ilvl="7" w:tplc="04150019" w:tentative="1">
      <w:start w:val="1"/>
      <w:numFmt w:val="lowerLetter"/>
      <w:lvlText w:val="%8."/>
      <w:lvlJc w:val="left"/>
      <w:pPr>
        <w:ind w:left="7291" w:hanging="360"/>
      </w:pPr>
    </w:lvl>
    <w:lvl w:ilvl="8" w:tplc="0415001B" w:tentative="1">
      <w:start w:val="1"/>
      <w:numFmt w:val="lowerRoman"/>
      <w:lvlText w:val="%9."/>
      <w:lvlJc w:val="right"/>
      <w:pPr>
        <w:ind w:left="8011" w:hanging="180"/>
      </w:pPr>
    </w:lvl>
  </w:abstractNum>
  <w:abstractNum w:abstractNumId="179" w15:restartNumberingAfterBreak="0">
    <w:nsid w:val="726E45FE"/>
    <w:multiLevelType w:val="hybridMultilevel"/>
    <w:tmpl w:val="E44614BE"/>
    <w:lvl w:ilvl="0" w:tplc="230E1CD0">
      <w:start w:val="1"/>
      <w:numFmt w:val="decimal"/>
      <w:lvlText w:val="%1)"/>
      <w:lvlJc w:val="left"/>
      <w:pPr>
        <w:ind w:left="1020" w:hanging="360"/>
      </w:pPr>
    </w:lvl>
    <w:lvl w:ilvl="1" w:tplc="9710ED5A">
      <w:start w:val="1"/>
      <w:numFmt w:val="decimal"/>
      <w:lvlText w:val="%2)"/>
      <w:lvlJc w:val="left"/>
      <w:pPr>
        <w:ind w:left="1020" w:hanging="360"/>
      </w:pPr>
    </w:lvl>
    <w:lvl w:ilvl="2" w:tplc="31889352">
      <w:start w:val="1"/>
      <w:numFmt w:val="decimal"/>
      <w:lvlText w:val="%3)"/>
      <w:lvlJc w:val="left"/>
      <w:pPr>
        <w:ind w:left="1020" w:hanging="360"/>
      </w:pPr>
    </w:lvl>
    <w:lvl w:ilvl="3" w:tplc="3F0ABC7A">
      <w:start w:val="1"/>
      <w:numFmt w:val="decimal"/>
      <w:lvlText w:val="%4)"/>
      <w:lvlJc w:val="left"/>
      <w:pPr>
        <w:ind w:left="1020" w:hanging="360"/>
      </w:pPr>
    </w:lvl>
    <w:lvl w:ilvl="4" w:tplc="19563A8C">
      <w:start w:val="1"/>
      <w:numFmt w:val="decimal"/>
      <w:lvlText w:val="%5)"/>
      <w:lvlJc w:val="left"/>
      <w:pPr>
        <w:ind w:left="1020" w:hanging="360"/>
      </w:pPr>
    </w:lvl>
    <w:lvl w:ilvl="5" w:tplc="644C55E8">
      <w:start w:val="1"/>
      <w:numFmt w:val="decimal"/>
      <w:lvlText w:val="%6)"/>
      <w:lvlJc w:val="left"/>
      <w:pPr>
        <w:ind w:left="1020" w:hanging="360"/>
      </w:pPr>
    </w:lvl>
    <w:lvl w:ilvl="6" w:tplc="0742BA46">
      <w:start w:val="1"/>
      <w:numFmt w:val="decimal"/>
      <w:lvlText w:val="%7)"/>
      <w:lvlJc w:val="left"/>
      <w:pPr>
        <w:ind w:left="1020" w:hanging="360"/>
      </w:pPr>
    </w:lvl>
    <w:lvl w:ilvl="7" w:tplc="848A03FA">
      <w:start w:val="1"/>
      <w:numFmt w:val="decimal"/>
      <w:lvlText w:val="%8)"/>
      <w:lvlJc w:val="left"/>
      <w:pPr>
        <w:ind w:left="1020" w:hanging="360"/>
      </w:pPr>
    </w:lvl>
    <w:lvl w:ilvl="8" w:tplc="CBB6A200">
      <w:start w:val="1"/>
      <w:numFmt w:val="decimal"/>
      <w:lvlText w:val="%9)"/>
      <w:lvlJc w:val="left"/>
      <w:pPr>
        <w:ind w:left="1020" w:hanging="360"/>
      </w:pPr>
    </w:lvl>
  </w:abstractNum>
  <w:abstractNum w:abstractNumId="180" w15:restartNumberingAfterBreak="0">
    <w:nsid w:val="72CC46CE"/>
    <w:multiLevelType w:val="hybridMultilevel"/>
    <w:tmpl w:val="1FE873C4"/>
    <w:lvl w:ilvl="0" w:tplc="8C80B3B0">
      <w:start w:val="1"/>
      <w:numFmt w:val="decimal"/>
      <w:pStyle w:val="1przed"/>
      <w:lvlText w:val="%1)"/>
      <w:lvlJc w:val="left"/>
      <w:pPr>
        <w:ind w:left="1891" w:hanging="360"/>
      </w:pPr>
    </w:lvl>
    <w:lvl w:ilvl="1" w:tplc="04150019">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81" w15:restartNumberingAfterBreak="0">
    <w:nsid w:val="745C3E89"/>
    <w:multiLevelType w:val="hybridMultilevel"/>
    <w:tmpl w:val="182222CC"/>
    <w:lvl w:ilvl="0" w:tplc="C5A87BB4">
      <w:start w:val="1"/>
      <w:numFmt w:val="upperLetter"/>
      <w:pStyle w:val="Atabela"/>
      <w:lvlText w:val="%1."/>
      <w:lvlJc w:val="left"/>
      <w:pPr>
        <w:ind w:left="777"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82" w15:restartNumberingAfterBreak="0">
    <w:nsid w:val="745C3F3F"/>
    <w:multiLevelType w:val="hybridMultilevel"/>
    <w:tmpl w:val="0BECB320"/>
    <w:lvl w:ilvl="0" w:tplc="4A6C9B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74D56428"/>
    <w:multiLevelType w:val="hybridMultilevel"/>
    <w:tmpl w:val="62E8BEA0"/>
    <w:lvl w:ilvl="0" w:tplc="41244C5A">
      <w:start w:val="1"/>
      <w:numFmt w:val="lowerLetter"/>
      <w:lvlText w:val="6%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5744207"/>
    <w:multiLevelType w:val="hybridMultilevel"/>
    <w:tmpl w:val="8A4E38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7DA26BD"/>
    <w:multiLevelType w:val="hybridMultilevel"/>
    <w:tmpl w:val="9B56A7D2"/>
    <w:lvl w:ilvl="0" w:tplc="DB1EA128">
      <w:numFmt w:val="bullet"/>
      <w:lvlText w:val="–"/>
      <w:lvlJc w:val="left"/>
      <w:pPr>
        <w:ind w:left="720" w:hanging="360"/>
      </w:pPr>
      <w:rPr>
        <w:rFonts w:ascii="Times New Roman" w:eastAsia="Times New Roman" w:hAnsi="Times New Roman" w:cs="Times New Roman" w:hint="default"/>
        <w:b w:val="0"/>
        <w:bCs w:val="0"/>
        <w:i w:val="0"/>
        <w:iCs w:val="0"/>
        <w:spacing w:val="0"/>
        <w:w w:val="102"/>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9EC3165"/>
    <w:multiLevelType w:val="hybridMultilevel"/>
    <w:tmpl w:val="497C9672"/>
    <w:lvl w:ilvl="0" w:tplc="DB1EA128">
      <w:numFmt w:val="bullet"/>
      <w:lvlText w:val="–"/>
      <w:lvlJc w:val="left"/>
      <w:pPr>
        <w:ind w:left="720" w:hanging="360"/>
      </w:pPr>
      <w:rPr>
        <w:rFonts w:ascii="Times New Roman" w:eastAsia="Times New Roman" w:hAnsi="Times New Roman" w:cs="Times New Roman" w:hint="default"/>
        <w:b w:val="0"/>
        <w:bCs w:val="0"/>
        <w:i w:val="0"/>
        <w:iCs w:val="0"/>
        <w:spacing w:val="0"/>
        <w:w w:val="102"/>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A1970D8"/>
    <w:multiLevelType w:val="hybridMultilevel"/>
    <w:tmpl w:val="E0B8B28A"/>
    <w:lvl w:ilvl="0" w:tplc="4A6C9B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A8F2413"/>
    <w:multiLevelType w:val="hybridMultilevel"/>
    <w:tmpl w:val="5F1AFF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AE57546"/>
    <w:multiLevelType w:val="hybridMultilevel"/>
    <w:tmpl w:val="BC12ADF4"/>
    <w:lvl w:ilvl="0" w:tplc="4A6C9B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AE73C28"/>
    <w:multiLevelType w:val="hybridMultilevel"/>
    <w:tmpl w:val="409AD662"/>
    <w:lvl w:ilvl="0" w:tplc="977E65C8">
      <w:start w:val="1"/>
      <w:numFmt w:val="lowerLetter"/>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91" w15:restartNumberingAfterBreak="0">
    <w:nsid w:val="7B7932AD"/>
    <w:multiLevelType w:val="hybridMultilevel"/>
    <w:tmpl w:val="8BC8EF8C"/>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92" w15:restartNumberingAfterBreak="0">
    <w:nsid w:val="7B9F50B1"/>
    <w:multiLevelType w:val="hybridMultilevel"/>
    <w:tmpl w:val="B6EA9F08"/>
    <w:lvl w:ilvl="0" w:tplc="69DCB810">
      <w:start w:val="1"/>
      <w:numFmt w:val="lowerLetter"/>
      <w:lvlText w:val="%1)"/>
      <w:lvlJc w:val="left"/>
      <w:pPr>
        <w:ind w:left="720" w:hanging="360"/>
      </w:pPr>
    </w:lvl>
    <w:lvl w:ilvl="1" w:tplc="DE283E64">
      <w:start w:val="1"/>
      <w:numFmt w:val="lowerLetter"/>
      <w:lvlText w:val="%2)"/>
      <w:lvlJc w:val="left"/>
      <w:pPr>
        <w:ind w:left="720" w:hanging="360"/>
      </w:pPr>
    </w:lvl>
    <w:lvl w:ilvl="2" w:tplc="09A0A936">
      <w:start w:val="1"/>
      <w:numFmt w:val="lowerLetter"/>
      <w:lvlText w:val="%3)"/>
      <w:lvlJc w:val="left"/>
      <w:pPr>
        <w:ind w:left="720" w:hanging="360"/>
      </w:pPr>
    </w:lvl>
    <w:lvl w:ilvl="3" w:tplc="0CCAF924">
      <w:start w:val="1"/>
      <w:numFmt w:val="lowerLetter"/>
      <w:lvlText w:val="%4)"/>
      <w:lvlJc w:val="left"/>
      <w:pPr>
        <w:ind w:left="720" w:hanging="360"/>
      </w:pPr>
    </w:lvl>
    <w:lvl w:ilvl="4" w:tplc="8B5CAEC6">
      <w:start w:val="1"/>
      <w:numFmt w:val="lowerLetter"/>
      <w:lvlText w:val="%5)"/>
      <w:lvlJc w:val="left"/>
      <w:pPr>
        <w:ind w:left="720" w:hanging="360"/>
      </w:pPr>
    </w:lvl>
    <w:lvl w:ilvl="5" w:tplc="78A8303A">
      <w:start w:val="1"/>
      <w:numFmt w:val="lowerLetter"/>
      <w:lvlText w:val="%6)"/>
      <w:lvlJc w:val="left"/>
      <w:pPr>
        <w:ind w:left="720" w:hanging="360"/>
      </w:pPr>
    </w:lvl>
    <w:lvl w:ilvl="6" w:tplc="9EC68C26">
      <w:start w:val="1"/>
      <w:numFmt w:val="lowerLetter"/>
      <w:lvlText w:val="%7)"/>
      <w:lvlJc w:val="left"/>
      <w:pPr>
        <w:ind w:left="720" w:hanging="360"/>
      </w:pPr>
    </w:lvl>
    <w:lvl w:ilvl="7" w:tplc="FA3EE73E">
      <w:start w:val="1"/>
      <w:numFmt w:val="lowerLetter"/>
      <w:lvlText w:val="%8)"/>
      <w:lvlJc w:val="left"/>
      <w:pPr>
        <w:ind w:left="720" w:hanging="360"/>
      </w:pPr>
    </w:lvl>
    <w:lvl w:ilvl="8" w:tplc="BFCA46E2">
      <w:start w:val="1"/>
      <w:numFmt w:val="lowerLetter"/>
      <w:lvlText w:val="%9)"/>
      <w:lvlJc w:val="left"/>
      <w:pPr>
        <w:ind w:left="720" w:hanging="360"/>
      </w:pPr>
    </w:lvl>
  </w:abstractNum>
  <w:abstractNum w:abstractNumId="193" w15:restartNumberingAfterBreak="0">
    <w:nsid w:val="7CEB0A9A"/>
    <w:multiLevelType w:val="hybridMultilevel"/>
    <w:tmpl w:val="05746B9E"/>
    <w:lvl w:ilvl="0" w:tplc="4D10C996">
      <w:start w:val="1"/>
      <w:numFmt w:val="decimal"/>
      <w:lvlText w:val="%1)"/>
      <w:lvlJc w:val="left"/>
      <w:pPr>
        <w:ind w:left="430" w:hanging="360"/>
      </w:pPr>
      <w:rPr>
        <w:rFonts w:hint="default"/>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194" w15:restartNumberingAfterBreak="0">
    <w:nsid w:val="7D126510"/>
    <w:multiLevelType w:val="hybridMultilevel"/>
    <w:tmpl w:val="C34006A4"/>
    <w:lvl w:ilvl="0" w:tplc="FFFFFFFF">
      <w:start w:val="1"/>
      <w:numFmt w:val="decimal"/>
      <w:lvlText w:val="%1)"/>
      <w:lvlJc w:val="left"/>
      <w:pPr>
        <w:ind w:left="790" w:hanging="360"/>
      </w:pPr>
    </w:lvl>
    <w:lvl w:ilvl="1" w:tplc="FFFFFFFF">
      <w:start w:val="1"/>
      <w:numFmt w:val="lowerLetter"/>
      <w:lvlText w:val="%2."/>
      <w:lvlJc w:val="left"/>
      <w:pPr>
        <w:ind w:left="1510" w:hanging="360"/>
      </w:pPr>
    </w:lvl>
    <w:lvl w:ilvl="2" w:tplc="FFFFFFFF">
      <w:start w:val="1"/>
      <w:numFmt w:val="lowerLetter"/>
      <w:lvlText w:val="%3)"/>
      <w:lvlJc w:val="left"/>
      <w:pPr>
        <w:ind w:left="2410" w:hanging="360"/>
      </w:pPr>
      <w:rPr>
        <w:rFonts w:hint="default"/>
      </w:rPr>
    </w:lvl>
    <w:lvl w:ilvl="3" w:tplc="FFFFFFFF">
      <w:start w:val="1"/>
      <w:numFmt w:val="decimal"/>
      <w:lvlText w:val="%4."/>
      <w:lvlJc w:val="left"/>
      <w:pPr>
        <w:ind w:left="2950" w:hanging="360"/>
      </w:pPr>
    </w:lvl>
    <w:lvl w:ilvl="4" w:tplc="FFFFFFFF" w:tentative="1">
      <w:start w:val="1"/>
      <w:numFmt w:val="lowerLetter"/>
      <w:lvlText w:val="%5."/>
      <w:lvlJc w:val="left"/>
      <w:pPr>
        <w:ind w:left="3670" w:hanging="360"/>
      </w:pPr>
    </w:lvl>
    <w:lvl w:ilvl="5" w:tplc="FFFFFFFF" w:tentative="1">
      <w:start w:val="1"/>
      <w:numFmt w:val="lowerRoman"/>
      <w:lvlText w:val="%6."/>
      <w:lvlJc w:val="right"/>
      <w:pPr>
        <w:ind w:left="4390" w:hanging="180"/>
      </w:pPr>
    </w:lvl>
    <w:lvl w:ilvl="6" w:tplc="FFFFFFFF" w:tentative="1">
      <w:start w:val="1"/>
      <w:numFmt w:val="decimal"/>
      <w:lvlText w:val="%7."/>
      <w:lvlJc w:val="left"/>
      <w:pPr>
        <w:ind w:left="5110" w:hanging="360"/>
      </w:pPr>
    </w:lvl>
    <w:lvl w:ilvl="7" w:tplc="FFFFFFFF" w:tentative="1">
      <w:start w:val="1"/>
      <w:numFmt w:val="lowerLetter"/>
      <w:lvlText w:val="%8."/>
      <w:lvlJc w:val="left"/>
      <w:pPr>
        <w:ind w:left="5830" w:hanging="360"/>
      </w:pPr>
    </w:lvl>
    <w:lvl w:ilvl="8" w:tplc="FFFFFFFF" w:tentative="1">
      <w:start w:val="1"/>
      <w:numFmt w:val="lowerRoman"/>
      <w:lvlText w:val="%9."/>
      <w:lvlJc w:val="right"/>
      <w:pPr>
        <w:ind w:left="6550" w:hanging="180"/>
      </w:pPr>
    </w:lvl>
  </w:abstractNum>
  <w:abstractNum w:abstractNumId="195" w15:restartNumberingAfterBreak="0">
    <w:nsid w:val="7D347B0A"/>
    <w:multiLevelType w:val="multilevel"/>
    <w:tmpl w:val="1DB4FADE"/>
    <w:lvl w:ilvl="0">
      <w:start w:val="2"/>
      <w:numFmt w:val="decimal"/>
      <w:lvlText w:val="%1"/>
      <w:lvlJc w:val="left"/>
      <w:pPr>
        <w:ind w:left="360" w:hanging="360"/>
      </w:pPr>
      <w:rPr>
        <w:rFonts w:hint="default"/>
      </w:rPr>
    </w:lvl>
    <w:lvl w:ilvl="1">
      <w:start w:val="1"/>
      <w:numFmt w:val="decimal"/>
      <w:lvlText w:val="%1.%2"/>
      <w:lvlJc w:val="left"/>
      <w:pPr>
        <w:ind w:left="2935" w:hanging="360"/>
      </w:pPr>
      <w:rPr>
        <w:rFonts w:hint="default"/>
      </w:rPr>
    </w:lvl>
    <w:lvl w:ilvl="2">
      <w:start w:val="1"/>
      <w:numFmt w:val="decimal"/>
      <w:lvlText w:val="%1.%2.%3"/>
      <w:lvlJc w:val="left"/>
      <w:pPr>
        <w:ind w:left="5870" w:hanging="720"/>
      </w:pPr>
      <w:rPr>
        <w:rFonts w:hint="default"/>
      </w:rPr>
    </w:lvl>
    <w:lvl w:ilvl="3">
      <w:start w:val="1"/>
      <w:numFmt w:val="decimal"/>
      <w:lvlText w:val="%1.%2.%3.%4"/>
      <w:lvlJc w:val="left"/>
      <w:pPr>
        <w:ind w:left="8445" w:hanging="720"/>
      </w:pPr>
      <w:rPr>
        <w:rFonts w:hint="default"/>
      </w:rPr>
    </w:lvl>
    <w:lvl w:ilvl="4">
      <w:start w:val="1"/>
      <w:numFmt w:val="decimal"/>
      <w:lvlText w:val="%1.%2.%3.%4.%5"/>
      <w:lvlJc w:val="left"/>
      <w:pPr>
        <w:ind w:left="11380" w:hanging="1080"/>
      </w:pPr>
      <w:rPr>
        <w:rFonts w:hint="default"/>
      </w:rPr>
    </w:lvl>
    <w:lvl w:ilvl="5">
      <w:start w:val="1"/>
      <w:numFmt w:val="decimal"/>
      <w:lvlText w:val="%1.%2.%3.%4.%5.%6"/>
      <w:lvlJc w:val="left"/>
      <w:pPr>
        <w:ind w:left="13955" w:hanging="1080"/>
      </w:pPr>
      <w:rPr>
        <w:rFonts w:hint="default"/>
      </w:rPr>
    </w:lvl>
    <w:lvl w:ilvl="6">
      <w:start w:val="1"/>
      <w:numFmt w:val="decimal"/>
      <w:lvlText w:val="%1.%2.%3.%4.%5.%6.%7"/>
      <w:lvlJc w:val="left"/>
      <w:pPr>
        <w:ind w:left="16890" w:hanging="1440"/>
      </w:pPr>
      <w:rPr>
        <w:rFonts w:hint="default"/>
      </w:rPr>
    </w:lvl>
    <w:lvl w:ilvl="7">
      <w:start w:val="1"/>
      <w:numFmt w:val="decimal"/>
      <w:lvlText w:val="%1.%2.%3.%4.%5.%6.%7.%8"/>
      <w:lvlJc w:val="left"/>
      <w:pPr>
        <w:ind w:left="19465" w:hanging="1440"/>
      </w:pPr>
      <w:rPr>
        <w:rFonts w:hint="default"/>
      </w:rPr>
    </w:lvl>
    <w:lvl w:ilvl="8">
      <w:start w:val="1"/>
      <w:numFmt w:val="decimal"/>
      <w:lvlText w:val="%1.%2.%3.%4.%5.%6.%7.%8.%9"/>
      <w:lvlJc w:val="left"/>
      <w:pPr>
        <w:ind w:left="22400" w:hanging="1800"/>
      </w:pPr>
      <w:rPr>
        <w:rFonts w:hint="default"/>
      </w:rPr>
    </w:lvl>
  </w:abstractNum>
  <w:abstractNum w:abstractNumId="196" w15:restartNumberingAfterBreak="0">
    <w:nsid w:val="7E457AC7"/>
    <w:multiLevelType w:val="hybridMultilevel"/>
    <w:tmpl w:val="D048E9D2"/>
    <w:lvl w:ilvl="0" w:tplc="04150017">
      <w:start w:val="1"/>
      <w:numFmt w:val="lowerLetter"/>
      <w:lvlText w:val="%1)"/>
      <w:lvlJc w:val="left"/>
      <w:pPr>
        <w:ind w:left="2251" w:hanging="360"/>
      </w:pPr>
    </w:lvl>
    <w:lvl w:ilvl="1" w:tplc="04150019" w:tentative="1">
      <w:start w:val="1"/>
      <w:numFmt w:val="lowerLetter"/>
      <w:lvlText w:val="%2."/>
      <w:lvlJc w:val="left"/>
      <w:pPr>
        <w:ind w:left="2971" w:hanging="360"/>
      </w:pPr>
    </w:lvl>
    <w:lvl w:ilvl="2" w:tplc="0415001B" w:tentative="1">
      <w:start w:val="1"/>
      <w:numFmt w:val="lowerRoman"/>
      <w:lvlText w:val="%3."/>
      <w:lvlJc w:val="right"/>
      <w:pPr>
        <w:ind w:left="3691" w:hanging="180"/>
      </w:pPr>
    </w:lvl>
    <w:lvl w:ilvl="3" w:tplc="0415000F" w:tentative="1">
      <w:start w:val="1"/>
      <w:numFmt w:val="decimal"/>
      <w:lvlText w:val="%4."/>
      <w:lvlJc w:val="left"/>
      <w:pPr>
        <w:ind w:left="4411" w:hanging="360"/>
      </w:pPr>
    </w:lvl>
    <w:lvl w:ilvl="4" w:tplc="04150019" w:tentative="1">
      <w:start w:val="1"/>
      <w:numFmt w:val="lowerLetter"/>
      <w:lvlText w:val="%5."/>
      <w:lvlJc w:val="left"/>
      <w:pPr>
        <w:ind w:left="5131" w:hanging="360"/>
      </w:pPr>
    </w:lvl>
    <w:lvl w:ilvl="5" w:tplc="0415001B" w:tentative="1">
      <w:start w:val="1"/>
      <w:numFmt w:val="lowerRoman"/>
      <w:lvlText w:val="%6."/>
      <w:lvlJc w:val="right"/>
      <w:pPr>
        <w:ind w:left="5851" w:hanging="180"/>
      </w:pPr>
    </w:lvl>
    <w:lvl w:ilvl="6" w:tplc="0415000F" w:tentative="1">
      <w:start w:val="1"/>
      <w:numFmt w:val="decimal"/>
      <w:lvlText w:val="%7."/>
      <w:lvlJc w:val="left"/>
      <w:pPr>
        <w:ind w:left="6571" w:hanging="360"/>
      </w:pPr>
    </w:lvl>
    <w:lvl w:ilvl="7" w:tplc="04150019" w:tentative="1">
      <w:start w:val="1"/>
      <w:numFmt w:val="lowerLetter"/>
      <w:lvlText w:val="%8."/>
      <w:lvlJc w:val="left"/>
      <w:pPr>
        <w:ind w:left="7291" w:hanging="360"/>
      </w:pPr>
    </w:lvl>
    <w:lvl w:ilvl="8" w:tplc="0415001B" w:tentative="1">
      <w:start w:val="1"/>
      <w:numFmt w:val="lowerRoman"/>
      <w:lvlText w:val="%9."/>
      <w:lvlJc w:val="right"/>
      <w:pPr>
        <w:ind w:left="8011" w:hanging="180"/>
      </w:pPr>
    </w:lvl>
  </w:abstractNum>
  <w:abstractNum w:abstractNumId="197" w15:restartNumberingAfterBreak="0">
    <w:nsid w:val="7E6B2300"/>
    <w:multiLevelType w:val="hybridMultilevel"/>
    <w:tmpl w:val="D7E8621A"/>
    <w:lvl w:ilvl="0" w:tplc="FFFFFFFF">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04150011">
      <w:start w:val="1"/>
      <w:numFmt w:val="decimal"/>
      <w:lvlText w:val="%4)"/>
      <w:lvlJc w:val="left"/>
      <w:pPr>
        <w:ind w:left="720"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8" w15:restartNumberingAfterBreak="0">
    <w:nsid w:val="7E7659BD"/>
    <w:multiLevelType w:val="hybridMultilevel"/>
    <w:tmpl w:val="FC480574"/>
    <w:lvl w:ilvl="0" w:tplc="96CA3A92">
      <w:start w:val="1"/>
      <w:numFmt w:val="decimal"/>
      <w:lvlText w:val="%1)"/>
      <w:lvlJc w:val="left"/>
      <w:pPr>
        <w:ind w:left="1020" w:hanging="360"/>
      </w:pPr>
    </w:lvl>
    <w:lvl w:ilvl="1" w:tplc="7D3836CA">
      <w:start w:val="1"/>
      <w:numFmt w:val="decimal"/>
      <w:lvlText w:val="%2)"/>
      <w:lvlJc w:val="left"/>
      <w:pPr>
        <w:ind w:left="1020" w:hanging="360"/>
      </w:pPr>
    </w:lvl>
    <w:lvl w:ilvl="2" w:tplc="7354FB36">
      <w:start w:val="1"/>
      <w:numFmt w:val="decimal"/>
      <w:lvlText w:val="%3)"/>
      <w:lvlJc w:val="left"/>
      <w:pPr>
        <w:ind w:left="1020" w:hanging="360"/>
      </w:pPr>
    </w:lvl>
    <w:lvl w:ilvl="3" w:tplc="132E1750">
      <w:start w:val="1"/>
      <w:numFmt w:val="decimal"/>
      <w:lvlText w:val="%4)"/>
      <w:lvlJc w:val="left"/>
      <w:pPr>
        <w:ind w:left="1020" w:hanging="360"/>
      </w:pPr>
    </w:lvl>
    <w:lvl w:ilvl="4" w:tplc="B926797A">
      <w:start w:val="1"/>
      <w:numFmt w:val="decimal"/>
      <w:lvlText w:val="%5)"/>
      <w:lvlJc w:val="left"/>
      <w:pPr>
        <w:ind w:left="1020" w:hanging="360"/>
      </w:pPr>
    </w:lvl>
    <w:lvl w:ilvl="5" w:tplc="D1B6D666">
      <w:start w:val="1"/>
      <w:numFmt w:val="decimal"/>
      <w:lvlText w:val="%6)"/>
      <w:lvlJc w:val="left"/>
      <w:pPr>
        <w:ind w:left="1020" w:hanging="360"/>
      </w:pPr>
    </w:lvl>
    <w:lvl w:ilvl="6" w:tplc="896ECC66">
      <w:start w:val="1"/>
      <w:numFmt w:val="decimal"/>
      <w:lvlText w:val="%7)"/>
      <w:lvlJc w:val="left"/>
      <w:pPr>
        <w:ind w:left="1020" w:hanging="360"/>
      </w:pPr>
    </w:lvl>
    <w:lvl w:ilvl="7" w:tplc="0896C6F2">
      <w:start w:val="1"/>
      <w:numFmt w:val="decimal"/>
      <w:lvlText w:val="%8)"/>
      <w:lvlJc w:val="left"/>
      <w:pPr>
        <w:ind w:left="1020" w:hanging="360"/>
      </w:pPr>
    </w:lvl>
    <w:lvl w:ilvl="8" w:tplc="E8CA40F8">
      <w:start w:val="1"/>
      <w:numFmt w:val="decimal"/>
      <w:lvlText w:val="%9)"/>
      <w:lvlJc w:val="left"/>
      <w:pPr>
        <w:ind w:left="1020" w:hanging="360"/>
      </w:pPr>
    </w:lvl>
  </w:abstractNum>
  <w:abstractNum w:abstractNumId="199" w15:restartNumberingAfterBreak="0">
    <w:nsid w:val="7EF54263"/>
    <w:multiLevelType w:val="hybridMultilevel"/>
    <w:tmpl w:val="FF8EB5B2"/>
    <w:lvl w:ilvl="0" w:tplc="1E2E2D00">
      <w:start w:val="1"/>
      <w:numFmt w:val="lowerLetter"/>
      <w:lvlText w:val="%1)"/>
      <w:lvlJc w:val="left"/>
      <w:pPr>
        <w:ind w:left="720" w:hanging="360"/>
      </w:pPr>
    </w:lvl>
    <w:lvl w:ilvl="1" w:tplc="B55072A4">
      <w:start w:val="1"/>
      <w:numFmt w:val="lowerLetter"/>
      <w:lvlText w:val="%2)"/>
      <w:lvlJc w:val="left"/>
      <w:pPr>
        <w:ind w:left="720" w:hanging="360"/>
      </w:pPr>
    </w:lvl>
    <w:lvl w:ilvl="2" w:tplc="8DC8CD3A">
      <w:start w:val="1"/>
      <w:numFmt w:val="lowerLetter"/>
      <w:lvlText w:val="%3)"/>
      <w:lvlJc w:val="left"/>
      <w:pPr>
        <w:ind w:left="720" w:hanging="360"/>
      </w:pPr>
    </w:lvl>
    <w:lvl w:ilvl="3" w:tplc="CD9453BC">
      <w:start w:val="1"/>
      <w:numFmt w:val="lowerLetter"/>
      <w:lvlText w:val="%4)"/>
      <w:lvlJc w:val="left"/>
      <w:pPr>
        <w:ind w:left="720" w:hanging="360"/>
      </w:pPr>
    </w:lvl>
    <w:lvl w:ilvl="4" w:tplc="CAA25226">
      <w:start w:val="1"/>
      <w:numFmt w:val="lowerLetter"/>
      <w:lvlText w:val="%5)"/>
      <w:lvlJc w:val="left"/>
      <w:pPr>
        <w:ind w:left="720" w:hanging="360"/>
      </w:pPr>
    </w:lvl>
    <w:lvl w:ilvl="5" w:tplc="D53CEC84">
      <w:start w:val="1"/>
      <w:numFmt w:val="lowerLetter"/>
      <w:lvlText w:val="%6)"/>
      <w:lvlJc w:val="left"/>
      <w:pPr>
        <w:ind w:left="720" w:hanging="360"/>
      </w:pPr>
    </w:lvl>
    <w:lvl w:ilvl="6" w:tplc="023E7A06">
      <w:start w:val="1"/>
      <w:numFmt w:val="lowerLetter"/>
      <w:lvlText w:val="%7)"/>
      <w:lvlJc w:val="left"/>
      <w:pPr>
        <w:ind w:left="720" w:hanging="360"/>
      </w:pPr>
    </w:lvl>
    <w:lvl w:ilvl="7" w:tplc="BA3E5BA8">
      <w:start w:val="1"/>
      <w:numFmt w:val="lowerLetter"/>
      <w:lvlText w:val="%8)"/>
      <w:lvlJc w:val="left"/>
      <w:pPr>
        <w:ind w:left="720" w:hanging="360"/>
      </w:pPr>
    </w:lvl>
    <w:lvl w:ilvl="8" w:tplc="D4E25E2E">
      <w:start w:val="1"/>
      <w:numFmt w:val="lowerLetter"/>
      <w:lvlText w:val="%9)"/>
      <w:lvlJc w:val="left"/>
      <w:pPr>
        <w:ind w:left="720" w:hanging="360"/>
      </w:pPr>
    </w:lvl>
  </w:abstractNum>
  <w:num w:numId="1" w16cid:durableId="133185227">
    <w:abstractNumId w:val="21"/>
  </w:num>
  <w:num w:numId="2" w16cid:durableId="126897676">
    <w:abstractNumId w:val="180"/>
  </w:num>
  <w:num w:numId="3" w16cid:durableId="270360476">
    <w:abstractNumId w:val="129"/>
  </w:num>
  <w:num w:numId="4" w16cid:durableId="1272860355">
    <w:abstractNumId w:val="180"/>
    <w:lvlOverride w:ilvl="0">
      <w:startOverride w:val="1"/>
    </w:lvlOverride>
  </w:num>
  <w:num w:numId="5" w16cid:durableId="1999765563">
    <w:abstractNumId w:val="180"/>
    <w:lvlOverride w:ilvl="0">
      <w:startOverride w:val="1"/>
    </w:lvlOverride>
  </w:num>
  <w:num w:numId="6" w16cid:durableId="788740456">
    <w:abstractNumId w:val="180"/>
    <w:lvlOverride w:ilvl="0">
      <w:startOverride w:val="1"/>
    </w:lvlOverride>
  </w:num>
  <w:num w:numId="7" w16cid:durableId="82646773">
    <w:abstractNumId w:val="180"/>
    <w:lvlOverride w:ilvl="0">
      <w:startOverride w:val="1"/>
    </w:lvlOverride>
  </w:num>
  <w:num w:numId="8" w16cid:durableId="2102330241">
    <w:abstractNumId w:val="129"/>
    <w:lvlOverride w:ilvl="0">
      <w:startOverride w:val="1"/>
    </w:lvlOverride>
  </w:num>
  <w:num w:numId="9" w16cid:durableId="550115447">
    <w:abstractNumId w:val="180"/>
    <w:lvlOverride w:ilvl="0">
      <w:startOverride w:val="1"/>
    </w:lvlOverride>
  </w:num>
  <w:num w:numId="10" w16cid:durableId="1435055100">
    <w:abstractNumId w:val="87"/>
  </w:num>
  <w:num w:numId="11" w16cid:durableId="1585186913">
    <w:abstractNumId w:val="87"/>
    <w:lvlOverride w:ilvl="0">
      <w:startOverride w:val="1"/>
    </w:lvlOverride>
  </w:num>
  <w:num w:numId="12" w16cid:durableId="1317221881">
    <w:abstractNumId w:val="180"/>
    <w:lvlOverride w:ilvl="0">
      <w:startOverride w:val="1"/>
    </w:lvlOverride>
  </w:num>
  <w:num w:numId="13" w16cid:durableId="1378045267">
    <w:abstractNumId w:val="67"/>
  </w:num>
  <w:num w:numId="14" w16cid:durableId="435752203">
    <w:abstractNumId w:val="180"/>
    <w:lvlOverride w:ilvl="0">
      <w:startOverride w:val="1"/>
    </w:lvlOverride>
  </w:num>
  <w:num w:numId="15" w16cid:durableId="1113093847">
    <w:abstractNumId w:val="180"/>
    <w:lvlOverride w:ilvl="0">
      <w:startOverride w:val="1"/>
    </w:lvlOverride>
  </w:num>
  <w:num w:numId="16" w16cid:durableId="1427000405">
    <w:abstractNumId w:val="180"/>
    <w:lvlOverride w:ilvl="0">
      <w:startOverride w:val="1"/>
    </w:lvlOverride>
  </w:num>
  <w:num w:numId="17" w16cid:durableId="221526822">
    <w:abstractNumId w:val="180"/>
    <w:lvlOverride w:ilvl="0">
      <w:startOverride w:val="1"/>
    </w:lvlOverride>
  </w:num>
  <w:num w:numId="18" w16cid:durableId="1983806405">
    <w:abstractNumId w:val="180"/>
    <w:lvlOverride w:ilvl="0">
      <w:startOverride w:val="1"/>
    </w:lvlOverride>
  </w:num>
  <w:num w:numId="19" w16cid:durableId="1834372554">
    <w:abstractNumId w:val="180"/>
    <w:lvlOverride w:ilvl="0">
      <w:startOverride w:val="1"/>
    </w:lvlOverride>
  </w:num>
  <w:num w:numId="20" w16cid:durableId="87238109">
    <w:abstractNumId w:val="180"/>
    <w:lvlOverride w:ilvl="0">
      <w:startOverride w:val="1"/>
    </w:lvlOverride>
  </w:num>
  <w:num w:numId="21" w16cid:durableId="236088814">
    <w:abstractNumId w:val="180"/>
    <w:lvlOverride w:ilvl="0">
      <w:startOverride w:val="1"/>
    </w:lvlOverride>
  </w:num>
  <w:num w:numId="22" w16cid:durableId="1257978688">
    <w:abstractNumId w:val="180"/>
    <w:lvlOverride w:ilvl="0">
      <w:startOverride w:val="1"/>
    </w:lvlOverride>
  </w:num>
  <w:num w:numId="23" w16cid:durableId="389111700">
    <w:abstractNumId w:val="180"/>
    <w:lvlOverride w:ilvl="0">
      <w:startOverride w:val="1"/>
    </w:lvlOverride>
  </w:num>
  <w:num w:numId="24" w16cid:durableId="125586537">
    <w:abstractNumId w:val="87"/>
    <w:lvlOverride w:ilvl="0">
      <w:startOverride w:val="1"/>
    </w:lvlOverride>
  </w:num>
  <w:num w:numId="25" w16cid:durableId="1154106271">
    <w:abstractNumId w:val="87"/>
    <w:lvlOverride w:ilvl="0">
      <w:startOverride w:val="1"/>
    </w:lvlOverride>
  </w:num>
  <w:num w:numId="26" w16cid:durableId="205990616">
    <w:abstractNumId w:val="87"/>
    <w:lvlOverride w:ilvl="0">
      <w:startOverride w:val="1"/>
    </w:lvlOverride>
  </w:num>
  <w:num w:numId="27" w16cid:durableId="283006330">
    <w:abstractNumId w:val="87"/>
    <w:lvlOverride w:ilvl="0">
      <w:startOverride w:val="1"/>
    </w:lvlOverride>
  </w:num>
  <w:num w:numId="28" w16cid:durableId="670641975">
    <w:abstractNumId w:val="180"/>
    <w:lvlOverride w:ilvl="0">
      <w:startOverride w:val="1"/>
    </w:lvlOverride>
  </w:num>
  <w:num w:numId="29" w16cid:durableId="431364647">
    <w:abstractNumId w:val="87"/>
    <w:lvlOverride w:ilvl="0">
      <w:startOverride w:val="1"/>
    </w:lvlOverride>
  </w:num>
  <w:num w:numId="30" w16cid:durableId="656953772">
    <w:abstractNumId w:val="180"/>
    <w:lvlOverride w:ilvl="0">
      <w:startOverride w:val="1"/>
    </w:lvlOverride>
  </w:num>
  <w:num w:numId="31" w16cid:durableId="1366439728">
    <w:abstractNumId w:val="180"/>
    <w:lvlOverride w:ilvl="0">
      <w:startOverride w:val="1"/>
    </w:lvlOverride>
  </w:num>
  <w:num w:numId="32" w16cid:durableId="1104112537">
    <w:abstractNumId w:val="180"/>
    <w:lvlOverride w:ilvl="0">
      <w:startOverride w:val="1"/>
    </w:lvlOverride>
  </w:num>
  <w:num w:numId="33" w16cid:durableId="182061206">
    <w:abstractNumId w:val="180"/>
    <w:lvlOverride w:ilvl="0">
      <w:startOverride w:val="1"/>
    </w:lvlOverride>
  </w:num>
  <w:num w:numId="34" w16cid:durableId="74983878">
    <w:abstractNumId w:val="180"/>
    <w:lvlOverride w:ilvl="0">
      <w:startOverride w:val="1"/>
    </w:lvlOverride>
  </w:num>
  <w:num w:numId="35" w16cid:durableId="1094864816">
    <w:abstractNumId w:val="180"/>
    <w:lvlOverride w:ilvl="0">
      <w:startOverride w:val="1"/>
    </w:lvlOverride>
  </w:num>
  <w:num w:numId="36" w16cid:durableId="1379164104">
    <w:abstractNumId w:val="180"/>
    <w:lvlOverride w:ilvl="0">
      <w:startOverride w:val="1"/>
    </w:lvlOverride>
  </w:num>
  <w:num w:numId="37" w16cid:durableId="1770589424">
    <w:abstractNumId w:val="180"/>
    <w:lvlOverride w:ilvl="0">
      <w:startOverride w:val="1"/>
    </w:lvlOverride>
  </w:num>
  <w:num w:numId="38" w16cid:durableId="1031958190">
    <w:abstractNumId w:val="180"/>
    <w:lvlOverride w:ilvl="0">
      <w:startOverride w:val="1"/>
    </w:lvlOverride>
  </w:num>
  <w:num w:numId="39" w16cid:durableId="1026324986">
    <w:abstractNumId w:val="180"/>
    <w:lvlOverride w:ilvl="0">
      <w:startOverride w:val="1"/>
    </w:lvlOverride>
  </w:num>
  <w:num w:numId="40" w16cid:durableId="1152409131">
    <w:abstractNumId w:val="180"/>
    <w:lvlOverride w:ilvl="0">
      <w:startOverride w:val="1"/>
    </w:lvlOverride>
  </w:num>
  <w:num w:numId="41" w16cid:durableId="1826704959">
    <w:abstractNumId w:val="180"/>
    <w:lvlOverride w:ilvl="0">
      <w:startOverride w:val="1"/>
    </w:lvlOverride>
  </w:num>
  <w:num w:numId="42" w16cid:durableId="1869222066">
    <w:abstractNumId w:val="87"/>
    <w:lvlOverride w:ilvl="0">
      <w:startOverride w:val="1"/>
    </w:lvlOverride>
  </w:num>
  <w:num w:numId="43" w16cid:durableId="55592202">
    <w:abstractNumId w:val="166"/>
  </w:num>
  <w:num w:numId="44" w16cid:durableId="661933147">
    <w:abstractNumId w:val="87"/>
    <w:lvlOverride w:ilvl="0">
      <w:startOverride w:val="1"/>
    </w:lvlOverride>
  </w:num>
  <w:num w:numId="45" w16cid:durableId="682633806">
    <w:abstractNumId w:val="87"/>
    <w:lvlOverride w:ilvl="0">
      <w:startOverride w:val="1"/>
    </w:lvlOverride>
  </w:num>
  <w:num w:numId="46" w16cid:durableId="1442214994">
    <w:abstractNumId w:val="87"/>
    <w:lvlOverride w:ilvl="0">
      <w:startOverride w:val="1"/>
    </w:lvlOverride>
  </w:num>
  <w:num w:numId="47" w16cid:durableId="2025939741">
    <w:abstractNumId w:val="87"/>
    <w:lvlOverride w:ilvl="0">
      <w:startOverride w:val="1"/>
    </w:lvlOverride>
  </w:num>
  <w:num w:numId="48" w16cid:durableId="203369610">
    <w:abstractNumId w:val="87"/>
    <w:lvlOverride w:ilvl="0">
      <w:startOverride w:val="1"/>
    </w:lvlOverride>
  </w:num>
  <w:num w:numId="49" w16cid:durableId="1186211507">
    <w:abstractNumId w:val="87"/>
    <w:lvlOverride w:ilvl="0">
      <w:startOverride w:val="1"/>
    </w:lvlOverride>
  </w:num>
  <w:num w:numId="50" w16cid:durableId="931429919">
    <w:abstractNumId w:val="87"/>
    <w:lvlOverride w:ilvl="0">
      <w:startOverride w:val="1"/>
    </w:lvlOverride>
  </w:num>
  <w:num w:numId="51" w16cid:durableId="1716277669">
    <w:abstractNumId w:val="87"/>
    <w:lvlOverride w:ilvl="0">
      <w:startOverride w:val="1"/>
    </w:lvlOverride>
  </w:num>
  <w:num w:numId="52" w16cid:durableId="1408066610">
    <w:abstractNumId w:val="87"/>
    <w:lvlOverride w:ilvl="0">
      <w:startOverride w:val="1"/>
    </w:lvlOverride>
  </w:num>
  <w:num w:numId="53" w16cid:durableId="1029725662">
    <w:abstractNumId w:val="87"/>
    <w:lvlOverride w:ilvl="0">
      <w:startOverride w:val="1"/>
    </w:lvlOverride>
  </w:num>
  <w:num w:numId="54" w16cid:durableId="796605585">
    <w:abstractNumId w:val="87"/>
    <w:lvlOverride w:ilvl="0">
      <w:startOverride w:val="1"/>
    </w:lvlOverride>
  </w:num>
  <w:num w:numId="55" w16cid:durableId="1777022015">
    <w:abstractNumId w:val="87"/>
    <w:lvlOverride w:ilvl="0">
      <w:startOverride w:val="1"/>
    </w:lvlOverride>
  </w:num>
  <w:num w:numId="56" w16cid:durableId="2131898099">
    <w:abstractNumId w:val="87"/>
    <w:lvlOverride w:ilvl="0">
      <w:startOverride w:val="1"/>
    </w:lvlOverride>
  </w:num>
  <w:num w:numId="57" w16cid:durableId="427388210">
    <w:abstractNumId w:val="87"/>
    <w:lvlOverride w:ilvl="0">
      <w:startOverride w:val="1"/>
    </w:lvlOverride>
  </w:num>
  <w:num w:numId="58" w16cid:durableId="1022975526">
    <w:abstractNumId w:val="87"/>
    <w:lvlOverride w:ilvl="0">
      <w:startOverride w:val="1"/>
    </w:lvlOverride>
  </w:num>
  <w:num w:numId="59" w16cid:durableId="69498753">
    <w:abstractNumId w:val="87"/>
    <w:lvlOverride w:ilvl="0">
      <w:startOverride w:val="1"/>
    </w:lvlOverride>
  </w:num>
  <w:num w:numId="60" w16cid:durableId="1479954373">
    <w:abstractNumId w:val="87"/>
    <w:lvlOverride w:ilvl="0">
      <w:startOverride w:val="1"/>
    </w:lvlOverride>
  </w:num>
  <w:num w:numId="61" w16cid:durableId="1390110568">
    <w:abstractNumId w:val="87"/>
    <w:lvlOverride w:ilvl="0">
      <w:startOverride w:val="1"/>
    </w:lvlOverride>
  </w:num>
  <w:num w:numId="62" w16cid:durableId="481434062">
    <w:abstractNumId w:val="87"/>
    <w:lvlOverride w:ilvl="0">
      <w:startOverride w:val="1"/>
    </w:lvlOverride>
  </w:num>
  <w:num w:numId="63" w16cid:durableId="440490912">
    <w:abstractNumId w:val="87"/>
    <w:lvlOverride w:ilvl="0">
      <w:startOverride w:val="1"/>
    </w:lvlOverride>
  </w:num>
  <w:num w:numId="64" w16cid:durableId="244918377">
    <w:abstractNumId w:val="87"/>
    <w:lvlOverride w:ilvl="0">
      <w:startOverride w:val="1"/>
    </w:lvlOverride>
  </w:num>
  <w:num w:numId="65" w16cid:durableId="516430877">
    <w:abstractNumId w:val="87"/>
    <w:lvlOverride w:ilvl="0">
      <w:startOverride w:val="1"/>
    </w:lvlOverride>
  </w:num>
  <w:num w:numId="66" w16cid:durableId="326443780">
    <w:abstractNumId w:val="87"/>
    <w:lvlOverride w:ilvl="0">
      <w:startOverride w:val="1"/>
    </w:lvlOverride>
  </w:num>
  <w:num w:numId="67" w16cid:durableId="1915116875">
    <w:abstractNumId w:val="87"/>
    <w:lvlOverride w:ilvl="0">
      <w:startOverride w:val="1"/>
    </w:lvlOverride>
  </w:num>
  <w:num w:numId="68" w16cid:durableId="1958639444">
    <w:abstractNumId w:val="87"/>
    <w:lvlOverride w:ilvl="0">
      <w:startOverride w:val="1"/>
    </w:lvlOverride>
  </w:num>
  <w:num w:numId="69" w16cid:durableId="733747080">
    <w:abstractNumId w:val="87"/>
    <w:lvlOverride w:ilvl="0">
      <w:startOverride w:val="1"/>
    </w:lvlOverride>
  </w:num>
  <w:num w:numId="70" w16cid:durableId="1377120514">
    <w:abstractNumId w:val="87"/>
    <w:lvlOverride w:ilvl="0">
      <w:startOverride w:val="1"/>
    </w:lvlOverride>
  </w:num>
  <w:num w:numId="71" w16cid:durableId="1052844036">
    <w:abstractNumId w:val="87"/>
    <w:lvlOverride w:ilvl="0">
      <w:startOverride w:val="1"/>
    </w:lvlOverride>
  </w:num>
  <w:num w:numId="72" w16cid:durableId="2052072360">
    <w:abstractNumId w:val="87"/>
    <w:lvlOverride w:ilvl="0">
      <w:startOverride w:val="1"/>
    </w:lvlOverride>
  </w:num>
  <w:num w:numId="73" w16cid:durableId="11809476">
    <w:abstractNumId w:val="87"/>
    <w:lvlOverride w:ilvl="0">
      <w:startOverride w:val="1"/>
    </w:lvlOverride>
  </w:num>
  <w:num w:numId="74" w16cid:durableId="33043734">
    <w:abstractNumId w:val="87"/>
    <w:lvlOverride w:ilvl="0">
      <w:startOverride w:val="1"/>
    </w:lvlOverride>
  </w:num>
  <w:num w:numId="75" w16cid:durableId="2023512622">
    <w:abstractNumId w:val="164"/>
  </w:num>
  <w:num w:numId="76" w16cid:durableId="803230155">
    <w:abstractNumId w:val="0"/>
  </w:num>
  <w:num w:numId="77" w16cid:durableId="1431004040">
    <w:abstractNumId w:val="87"/>
    <w:lvlOverride w:ilvl="0">
      <w:startOverride w:val="1"/>
    </w:lvlOverride>
  </w:num>
  <w:num w:numId="78" w16cid:durableId="930158919">
    <w:abstractNumId w:val="87"/>
    <w:lvlOverride w:ilvl="0">
      <w:startOverride w:val="1"/>
    </w:lvlOverride>
  </w:num>
  <w:num w:numId="79" w16cid:durableId="1334331500">
    <w:abstractNumId w:val="87"/>
    <w:lvlOverride w:ilvl="0">
      <w:startOverride w:val="1"/>
    </w:lvlOverride>
  </w:num>
  <w:num w:numId="80" w16cid:durableId="367072475">
    <w:abstractNumId w:val="87"/>
    <w:lvlOverride w:ilvl="0">
      <w:startOverride w:val="1"/>
    </w:lvlOverride>
  </w:num>
  <w:num w:numId="81" w16cid:durableId="1411544000">
    <w:abstractNumId w:val="87"/>
    <w:lvlOverride w:ilvl="0">
      <w:startOverride w:val="1"/>
    </w:lvlOverride>
  </w:num>
  <w:num w:numId="82" w16cid:durableId="1276131893">
    <w:abstractNumId w:val="87"/>
    <w:lvlOverride w:ilvl="0">
      <w:startOverride w:val="1"/>
    </w:lvlOverride>
  </w:num>
  <w:num w:numId="83" w16cid:durableId="520360166">
    <w:abstractNumId w:val="87"/>
    <w:lvlOverride w:ilvl="0">
      <w:startOverride w:val="1"/>
    </w:lvlOverride>
  </w:num>
  <w:num w:numId="84" w16cid:durableId="443116319">
    <w:abstractNumId w:val="87"/>
    <w:lvlOverride w:ilvl="0">
      <w:startOverride w:val="1"/>
    </w:lvlOverride>
  </w:num>
  <w:num w:numId="85" w16cid:durableId="1624917146">
    <w:abstractNumId w:val="163"/>
  </w:num>
  <w:num w:numId="86" w16cid:durableId="220336211">
    <w:abstractNumId w:val="87"/>
    <w:lvlOverride w:ilvl="0">
      <w:startOverride w:val="1"/>
    </w:lvlOverride>
  </w:num>
  <w:num w:numId="87" w16cid:durableId="916285229">
    <w:abstractNumId w:val="87"/>
    <w:lvlOverride w:ilvl="0">
      <w:startOverride w:val="1"/>
    </w:lvlOverride>
  </w:num>
  <w:num w:numId="88" w16cid:durableId="304970424">
    <w:abstractNumId w:val="87"/>
    <w:lvlOverride w:ilvl="0">
      <w:startOverride w:val="1"/>
    </w:lvlOverride>
  </w:num>
  <w:num w:numId="89" w16cid:durableId="1670981165">
    <w:abstractNumId w:val="87"/>
    <w:lvlOverride w:ilvl="0">
      <w:startOverride w:val="1"/>
    </w:lvlOverride>
  </w:num>
  <w:num w:numId="90" w16cid:durableId="1806510267">
    <w:abstractNumId w:val="87"/>
    <w:lvlOverride w:ilvl="0">
      <w:startOverride w:val="1"/>
    </w:lvlOverride>
  </w:num>
  <w:num w:numId="91" w16cid:durableId="1869219507">
    <w:abstractNumId w:val="87"/>
    <w:lvlOverride w:ilvl="0">
      <w:startOverride w:val="1"/>
    </w:lvlOverride>
  </w:num>
  <w:num w:numId="92" w16cid:durableId="609775696">
    <w:abstractNumId w:val="87"/>
    <w:lvlOverride w:ilvl="0">
      <w:startOverride w:val="1"/>
    </w:lvlOverride>
  </w:num>
  <w:num w:numId="93" w16cid:durableId="843397908">
    <w:abstractNumId w:val="87"/>
    <w:lvlOverride w:ilvl="0">
      <w:startOverride w:val="1"/>
    </w:lvlOverride>
  </w:num>
  <w:num w:numId="94" w16cid:durableId="201943852">
    <w:abstractNumId w:val="180"/>
    <w:lvlOverride w:ilvl="0">
      <w:startOverride w:val="1"/>
    </w:lvlOverride>
  </w:num>
  <w:num w:numId="95" w16cid:durableId="407271774">
    <w:abstractNumId w:val="180"/>
    <w:lvlOverride w:ilvl="0">
      <w:startOverride w:val="1"/>
    </w:lvlOverride>
  </w:num>
  <w:num w:numId="96" w16cid:durableId="1383869025">
    <w:abstractNumId w:val="164"/>
    <w:lvlOverride w:ilvl="0">
      <w:startOverride w:val="1"/>
    </w:lvlOverride>
  </w:num>
  <w:num w:numId="97" w16cid:durableId="710963844">
    <w:abstractNumId w:val="180"/>
    <w:lvlOverride w:ilvl="0">
      <w:startOverride w:val="1"/>
    </w:lvlOverride>
  </w:num>
  <w:num w:numId="98" w16cid:durableId="1929733527">
    <w:abstractNumId w:val="180"/>
    <w:lvlOverride w:ilvl="0">
      <w:startOverride w:val="1"/>
    </w:lvlOverride>
  </w:num>
  <w:num w:numId="99" w16cid:durableId="1057169237">
    <w:abstractNumId w:val="180"/>
    <w:lvlOverride w:ilvl="0">
      <w:startOverride w:val="1"/>
    </w:lvlOverride>
  </w:num>
  <w:num w:numId="100" w16cid:durableId="243148306">
    <w:abstractNumId w:val="180"/>
    <w:lvlOverride w:ilvl="0">
      <w:startOverride w:val="1"/>
    </w:lvlOverride>
  </w:num>
  <w:num w:numId="101" w16cid:durableId="662857285">
    <w:abstractNumId w:val="180"/>
    <w:lvlOverride w:ilvl="0">
      <w:startOverride w:val="1"/>
    </w:lvlOverride>
  </w:num>
  <w:num w:numId="102" w16cid:durableId="1384451347">
    <w:abstractNumId w:val="180"/>
    <w:lvlOverride w:ilvl="0">
      <w:startOverride w:val="1"/>
    </w:lvlOverride>
  </w:num>
  <w:num w:numId="103" w16cid:durableId="657608707">
    <w:abstractNumId w:val="180"/>
    <w:lvlOverride w:ilvl="0">
      <w:startOverride w:val="1"/>
    </w:lvlOverride>
  </w:num>
  <w:num w:numId="104" w16cid:durableId="1125344581">
    <w:abstractNumId w:val="180"/>
    <w:lvlOverride w:ilvl="0">
      <w:startOverride w:val="1"/>
    </w:lvlOverride>
  </w:num>
  <w:num w:numId="105" w16cid:durableId="1877111951">
    <w:abstractNumId w:val="87"/>
    <w:lvlOverride w:ilvl="0">
      <w:startOverride w:val="1"/>
    </w:lvlOverride>
  </w:num>
  <w:num w:numId="106" w16cid:durableId="245040975">
    <w:abstractNumId w:val="87"/>
    <w:lvlOverride w:ilvl="0">
      <w:startOverride w:val="1"/>
    </w:lvlOverride>
  </w:num>
  <w:num w:numId="107" w16cid:durableId="1724867735">
    <w:abstractNumId w:val="180"/>
    <w:lvlOverride w:ilvl="0">
      <w:startOverride w:val="1"/>
    </w:lvlOverride>
  </w:num>
  <w:num w:numId="108" w16cid:durableId="21246633">
    <w:abstractNumId w:val="87"/>
    <w:lvlOverride w:ilvl="0">
      <w:startOverride w:val="1"/>
    </w:lvlOverride>
  </w:num>
  <w:num w:numId="109" w16cid:durableId="416366959">
    <w:abstractNumId w:val="180"/>
    <w:lvlOverride w:ilvl="0">
      <w:startOverride w:val="1"/>
    </w:lvlOverride>
  </w:num>
  <w:num w:numId="110" w16cid:durableId="1050030137">
    <w:abstractNumId w:val="129"/>
    <w:lvlOverride w:ilvl="0">
      <w:startOverride w:val="1"/>
    </w:lvlOverride>
  </w:num>
  <w:num w:numId="111" w16cid:durableId="1064060473">
    <w:abstractNumId w:val="87"/>
    <w:lvlOverride w:ilvl="0">
      <w:startOverride w:val="1"/>
    </w:lvlOverride>
  </w:num>
  <w:num w:numId="112" w16cid:durableId="1799108989">
    <w:abstractNumId w:val="180"/>
    <w:lvlOverride w:ilvl="0">
      <w:startOverride w:val="1"/>
    </w:lvlOverride>
  </w:num>
  <w:num w:numId="113" w16cid:durableId="801315052">
    <w:abstractNumId w:val="129"/>
    <w:lvlOverride w:ilvl="0">
      <w:startOverride w:val="1"/>
    </w:lvlOverride>
  </w:num>
  <w:num w:numId="114" w16cid:durableId="1621187099">
    <w:abstractNumId w:val="129"/>
    <w:lvlOverride w:ilvl="0">
      <w:startOverride w:val="1"/>
    </w:lvlOverride>
  </w:num>
  <w:num w:numId="115" w16cid:durableId="756370516">
    <w:abstractNumId w:val="180"/>
    <w:lvlOverride w:ilvl="0">
      <w:startOverride w:val="1"/>
    </w:lvlOverride>
  </w:num>
  <w:num w:numId="116" w16cid:durableId="1397048292">
    <w:abstractNumId w:val="180"/>
    <w:lvlOverride w:ilvl="0">
      <w:startOverride w:val="1"/>
    </w:lvlOverride>
  </w:num>
  <w:num w:numId="117" w16cid:durableId="1905600732">
    <w:abstractNumId w:val="180"/>
    <w:lvlOverride w:ilvl="0">
      <w:startOverride w:val="1"/>
    </w:lvlOverride>
  </w:num>
  <w:num w:numId="118" w16cid:durableId="1576861941">
    <w:abstractNumId w:val="87"/>
    <w:lvlOverride w:ilvl="0">
      <w:startOverride w:val="1"/>
    </w:lvlOverride>
  </w:num>
  <w:num w:numId="119" w16cid:durableId="1543861393">
    <w:abstractNumId w:val="180"/>
    <w:lvlOverride w:ilvl="0">
      <w:startOverride w:val="1"/>
    </w:lvlOverride>
  </w:num>
  <w:num w:numId="120" w16cid:durableId="1536431786">
    <w:abstractNumId w:val="87"/>
    <w:lvlOverride w:ilvl="0">
      <w:startOverride w:val="1"/>
    </w:lvlOverride>
  </w:num>
  <w:num w:numId="121" w16cid:durableId="848256406">
    <w:abstractNumId w:val="87"/>
    <w:lvlOverride w:ilvl="0">
      <w:startOverride w:val="1"/>
    </w:lvlOverride>
  </w:num>
  <w:num w:numId="122" w16cid:durableId="667830615">
    <w:abstractNumId w:val="87"/>
    <w:lvlOverride w:ilvl="0">
      <w:startOverride w:val="1"/>
    </w:lvlOverride>
  </w:num>
  <w:num w:numId="123" w16cid:durableId="801848415">
    <w:abstractNumId w:val="180"/>
    <w:lvlOverride w:ilvl="0">
      <w:startOverride w:val="1"/>
    </w:lvlOverride>
  </w:num>
  <w:num w:numId="124" w16cid:durableId="1823501069">
    <w:abstractNumId w:val="180"/>
    <w:lvlOverride w:ilvl="0">
      <w:startOverride w:val="1"/>
    </w:lvlOverride>
  </w:num>
  <w:num w:numId="125" w16cid:durableId="1932813050">
    <w:abstractNumId w:val="129"/>
    <w:lvlOverride w:ilvl="0">
      <w:startOverride w:val="1"/>
    </w:lvlOverride>
  </w:num>
  <w:num w:numId="126" w16cid:durableId="1838232886">
    <w:abstractNumId w:val="180"/>
    <w:lvlOverride w:ilvl="0">
      <w:startOverride w:val="1"/>
    </w:lvlOverride>
  </w:num>
  <w:num w:numId="127" w16cid:durableId="205609661">
    <w:abstractNumId w:val="129"/>
    <w:lvlOverride w:ilvl="0">
      <w:startOverride w:val="1"/>
    </w:lvlOverride>
  </w:num>
  <w:num w:numId="128" w16cid:durableId="1632322344">
    <w:abstractNumId w:val="129"/>
    <w:lvlOverride w:ilvl="0">
      <w:startOverride w:val="1"/>
    </w:lvlOverride>
  </w:num>
  <w:num w:numId="129" w16cid:durableId="1292780627">
    <w:abstractNumId w:val="143"/>
  </w:num>
  <w:num w:numId="130" w16cid:durableId="722631598">
    <w:abstractNumId w:val="129"/>
    <w:lvlOverride w:ilvl="0">
      <w:startOverride w:val="1"/>
    </w:lvlOverride>
  </w:num>
  <w:num w:numId="131" w16cid:durableId="1752966724">
    <w:abstractNumId w:val="87"/>
    <w:lvlOverride w:ilvl="0">
      <w:startOverride w:val="1"/>
    </w:lvlOverride>
  </w:num>
  <w:num w:numId="132" w16cid:durableId="189998482">
    <w:abstractNumId w:val="87"/>
    <w:lvlOverride w:ilvl="0">
      <w:startOverride w:val="1"/>
    </w:lvlOverride>
  </w:num>
  <w:num w:numId="133" w16cid:durableId="680548195">
    <w:abstractNumId w:val="87"/>
    <w:lvlOverride w:ilvl="0">
      <w:startOverride w:val="1"/>
    </w:lvlOverride>
  </w:num>
  <w:num w:numId="134" w16cid:durableId="1647472129">
    <w:abstractNumId w:val="87"/>
    <w:lvlOverride w:ilvl="0">
      <w:startOverride w:val="1"/>
    </w:lvlOverride>
  </w:num>
  <w:num w:numId="135" w16cid:durableId="537199933">
    <w:abstractNumId w:val="87"/>
    <w:lvlOverride w:ilvl="0">
      <w:startOverride w:val="1"/>
    </w:lvlOverride>
  </w:num>
  <w:num w:numId="136" w16cid:durableId="191379665">
    <w:abstractNumId w:val="87"/>
    <w:lvlOverride w:ilvl="0">
      <w:startOverride w:val="1"/>
    </w:lvlOverride>
  </w:num>
  <w:num w:numId="137" w16cid:durableId="136267823">
    <w:abstractNumId w:val="87"/>
    <w:lvlOverride w:ilvl="0">
      <w:startOverride w:val="1"/>
    </w:lvlOverride>
  </w:num>
  <w:num w:numId="138" w16cid:durableId="1797137192">
    <w:abstractNumId w:val="87"/>
    <w:lvlOverride w:ilvl="0">
      <w:startOverride w:val="1"/>
    </w:lvlOverride>
  </w:num>
  <w:num w:numId="139" w16cid:durableId="1600019583">
    <w:abstractNumId w:val="87"/>
    <w:lvlOverride w:ilvl="0">
      <w:startOverride w:val="1"/>
    </w:lvlOverride>
  </w:num>
  <w:num w:numId="140" w16cid:durableId="1905984749">
    <w:abstractNumId w:val="134"/>
  </w:num>
  <w:num w:numId="141" w16cid:durableId="469253873">
    <w:abstractNumId w:val="180"/>
    <w:lvlOverride w:ilvl="0">
      <w:startOverride w:val="1"/>
    </w:lvlOverride>
  </w:num>
  <w:num w:numId="142" w16cid:durableId="597181206">
    <w:abstractNumId w:val="180"/>
    <w:lvlOverride w:ilvl="0">
      <w:startOverride w:val="1"/>
    </w:lvlOverride>
  </w:num>
  <w:num w:numId="143" w16cid:durableId="1734043122">
    <w:abstractNumId w:val="87"/>
    <w:lvlOverride w:ilvl="0">
      <w:startOverride w:val="1"/>
    </w:lvlOverride>
  </w:num>
  <w:num w:numId="144" w16cid:durableId="575821069">
    <w:abstractNumId w:val="87"/>
    <w:lvlOverride w:ilvl="0">
      <w:startOverride w:val="1"/>
    </w:lvlOverride>
  </w:num>
  <w:num w:numId="145" w16cid:durableId="1261335118">
    <w:abstractNumId w:val="87"/>
    <w:lvlOverride w:ilvl="0">
      <w:startOverride w:val="1"/>
    </w:lvlOverride>
  </w:num>
  <w:num w:numId="146" w16cid:durableId="496848627">
    <w:abstractNumId w:val="87"/>
    <w:lvlOverride w:ilvl="0">
      <w:startOverride w:val="1"/>
    </w:lvlOverride>
  </w:num>
  <w:num w:numId="147" w16cid:durableId="522786877">
    <w:abstractNumId w:val="87"/>
    <w:lvlOverride w:ilvl="0">
      <w:startOverride w:val="1"/>
    </w:lvlOverride>
  </w:num>
  <w:num w:numId="148" w16cid:durableId="447890075">
    <w:abstractNumId w:val="22"/>
  </w:num>
  <w:num w:numId="149" w16cid:durableId="2023512545">
    <w:abstractNumId w:val="135"/>
  </w:num>
  <w:num w:numId="150" w16cid:durableId="996763661">
    <w:abstractNumId w:val="51"/>
  </w:num>
  <w:num w:numId="151" w16cid:durableId="1402604448">
    <w:abstractNumId w:val="51"/>
    <w:lvlOverride w:ilvl="0">
      <w:startOverride w:val="1"/>
    </w:lvlOverride>
  </w:num>
  <w:num w:numId="152" w16cid:durableId="1662081627">
    <w:abstractNumId w:val="51"/>
    <w:lvlOverride w:ilvl="0">
      <w:startOverride w:val="1"/>
    </w:lvlOverride>
  </w:num>
  <w:num w:numId="153" w16cid:durableId="79908022">
    <w:abstractNumId w:val="51"/>
    <w:lvlOverride w:ilvl="0">
      <w:startOverride w:val="1"/>
    </w:lvlOverride>
  </w:num>
  <w:num w:numId="154" w16cid:durableId="1855412262">
    <w:abstractNumId w:val="51"/>
    <w:lvlOverride w:ilvl="0">
      <w:startOverride w:val="1"/>
    </w:lvlOverride>
  </w:num>
  <w:num w:numId="155" w16cid:durableId="648943162">
    <w:abstractNumId w:val="51"/>
    <w:lvlOverride w:ilvl="0">
      <w:startOverride w:val="1"/>
    </w:lvlOverride>
  </w:num>
  <w:num w:numId="156" w16cid:durableId="1353796114">
    <w:abstractNumId w:val="51"/>
    <w:lvlOverride w:ilvl="0">
      <w:startOverride w:val="1"/>
    </w:lvlOverride>
  </w:num>
  <w:num w:numId="157" w16cid:durableId="2120448501">
    <w:abstractNumId w:val="51"/>
    <w:lvlOverride w:ilvl="0">
      <w:startOverride w:val="1"/>
    </w:lvlOverride>
  </w:num>
  <w:num w:numId="158" w16cid:durableId="354423652">
    <w:abstractNumId w:val="180"/>
    <w:lvlOverride w:ilvl="0">
      <w:startOverride w:val="1"/>
    </w:lvlOverride>
  </w:num>
  <w:num w:numId="159" w16cid:durableId="69622571">
    <w:abstractNumId w:val="129"/>
    <w:lvlOverride w:ilvl="0">
      <w:startOverride w:val="1"/>
    </w:lvlOverride>
  </w:num>
  <w:num w:numId="160" w16cid:durableId="1395470003">
    <w:abstractNumId w:val="180"/>
    <w:lvlOverride w:ilvl="0">
      <w:startOverride w:val="1"/>
    </w:lvlOverride>
  </w:num>
  <w:num w:numId="161" w16cid:durableId="1555848316">
    <w:abstractNumId w:val="180"/>
    <w:lvlOverride w:ilvl="0">
      <w:startOverride w:val="1"/>
    </w:lvlOverride>
  </w:num>
  <w:num w:numId="162" w16cid:durableId="1732384068">
    <w:abstractNumId w:val="129"/>
  </w:num>
  <w:num w:numId="163" w16cid:durableId="1216702180">
    <w:abstractNumId w:val="129"/>
    <w:lvlOverride w:ilvl="0">
      <w:startOverride w:val="1"/>
    </w:lvlOverride>
  </w:num>
  <w:num w:numId="164" w16cid:durableId="348143247">
    <w:abstractNumId w:val="129"/>
    <w:lvlOverride w:ilvl="0">
      <w:startOverride w:val="1"/>
    </w:lvlOverride>
  </w:num>
  <w:num w:numId="165" w16cid:durableId="1539273610">
    <w:abstractNumId w:val="129"/>
    <w:lvlOverride w:ilvl="0">
      <w:startOverride w:val="1"/>
    </w:lvlOverride>
  </w:num>
  <w:num w:numId="166" w16cid:durableId="1214855497">
    <w:abstractNumId w:val="129"/>
    <w:lvlOverride w:ilvl="0">
      <w:startOverride w:val="1"/>
    </w:lvlOverride>
  </w:num>
  <w:num w:numId="167" w16cid:durableId="509494522">
    <w:abstractNumId w:val="129"/>
    <w:lvlOverride w:ilvl="0">
      <w:startOverride w:val="1"/>
    </w:lvlOverride>
  </w:num>
  <w:num w:numId="168" w16cid:durableId="259030695">
    <w:abstractNumId w:val="180"/>
    <w:lvlOverride w:ilvl="0">
      <w:startOverride w:val="1"/>
    </w:lvlOverride>
  </w:num>
  <w:num w:numId="169" w16cid:durableId="1510751606">
    <w:abstractNumId w:val="180"/>
    <w:lvlOverride w:ilvl="0">
      <w:startOverride w:val="1"/>
    </w:lvlOverride>
  </w:num>
  <w:num w:numId="170" w16cid:durableId="305088474">
    <w:abstractNumId w:val="180"/>
    <w:lvlOverride w:ilvl="0">
      <w:startOverride w:val="1"/>
    </w:lvlOverride>
  </w:num>
  <w:num w:numId="171" w16cid:durableId="1087314039">
    <w:abstractNumId w:val="129"/>
    <w:lvlOverride w:ilvl="0">
      <w:startOverride w:val="1"/>
    </w:lvlOverride>
  </w:num>
  <w:num w:numId="172" w16cid:durableId="2114394373">
    <w:abstractNumId w:val="180"/>
    <w:lvlOverride w:ilvl="0">
      <w:startOverride w:val="1"/>
    </w:lvlOverride>
  </w:num>
  <w:num w:numId="173" w16cid:durableId="1117481696">
    <w:abstractNumId w:val="180"/>
    <w:lvlOverride w:ilvl="0">
      <w:startOverride w:val="1"/>
    </w:lvlOverride>
  </w:num>
  <w:num w:numId="174" w16cid:durableId="450248243">
    <w:abstractNumId w:val="129"/>
    <w:lvlOverride w:ilvl="0">
      <w:startOverride w:val="1"/>
    </w:lvlOverride>
  </w:num>
  <w:num w:numId="175" w16cid:durableId="355885214">
    <w:abstractNumId w:val="129"/>
    <w:lvlOverride w:ilvl="0">
      <w:startOverride w:val="1"/>
    </w:lvlOverride>
  </w:num>
  <w:num w:numId="176" w16cid:durableId="1352416602">
    <w:abstractNumId w:val="129"/>
    <w:lvlOverride w:ilvl="0">
      <w:startOverride w:val="1"/>
    </w:lvlOverride>
  </w:num>
  <w:num w:numId="177" w16cid:durableId="210772573">
    <w:abstractNumId w:val="180"/>
    <w:lvlOverride w:ilvl="0">
      <w:startOverride w:val="1"/>
    </w:lvlOverride>
  </w:num>
  <w:num w:numId="178" w16cid:durableId="416707801">
    <w:abstractNumId w:val="180"/>
    <w:lvlOverride w:ilvl="0">
      <w:startOverride w:val="1"/>
    </w:lvlOverride>
  </w:num>
  <w:num w:numId="179" w16cid:durableId="1598633351">
    <w:abstractNumId w:val="180"/>
    <w:lvlOverride w:ilvl="0">
      <w:startOverride w:val="1"/>
    </w:lvlOverride>
  </w:num>
  <w:num w:numId="180" w16cid:durableId="73748071">
    <w:abstractNumId w:val="87"/>
    <w:lvlOverride w:ilvl="0">
      <w:startOverride w:val="1"/>
    </w:lvlOverride>
  </w:num>
  <w:num w:numId="181" w16cid:durableId="177815244">
    <w:abstractNumId w:val="180"/>
    <w:lvlOverride w:ilvl="0">
      <w:startOverride w:val="1"/>
    </w:lvlOverride>
  </w:num>
  <w:num w:numId="182" w16cid:durableId="977759743">
    <w:abstractNumId w:val="180"/>
    <w:lvlOverride w:ilvl="0">
      <w:startOverride w:val="1"/>
    </w:lvlOverride>
  </w:num>
  <w:num w:numId="183" w16cid:durableId="563831238">
    <w:abstractNumId w:val="180"/>
    <w:lvlOverride w:ilvl="0">
      <w:startOverride w:val="1"/>
    </w:lvlOverride>
  </w:num>
  <w:num w:numId="184" w16cid:durableId="1771855359">
    <w:abstractNumId w:val="180"/>
    <w:lvlOverride w:ilvl="0">
      <w:startOverride w:val="1"/>
    </w:lvlOverride>
  </w:num>
  <w:num w:numId="185" w16cid:durableId="1955820946">
    <w:abstractNumId w:val="180"/>
    <w:lvlOverride w:ilvl="0">
      <w:startOverride w:val="1"/>
    </w:lvlOverride>
  </w:num>
  <w:num w:numId="186" w16cid:durableId="2143839443">
    <w:abstractNumId w:val="129"/>
    <w:lvlOverride w:ilvl="0">
      <w:startOverride w:val="1"/>
    </w:lvlOverride>
  </w:num>
  <w:num w:numId="187" w16cid:durableId="1866164517">
    <w:abstractNumId w:val="180"/>
    <w:lvlOverride w:ilvl="0">
      <w:startOverride w:val="1"/>
    </w:lvlOverride>
  </w:num>
  <w:num w:numId="188" w16cid:durableId="1504856779">
    <w:abstractNumId w:val="147"/>
  </w:num>
  <w:num w:numId="189" w16cid:durableId="2012218681">
    <w:abstractNumId w:val="181"/>
  </w:num>
  <w:num w:numId="190" w16cid:durableId="1297837634">
    <w:abstractNumId w:val="36"/>
  </w:num>
  <w:num w:numId="191" w16cid:durableId="1579972371">
    <w:abstractNumId w:val="130"/>
  </w:num>
  <w:num w:numId="192" w16cid:durableId="139002832">
    <w:abstractNumId w:val="180"/>
    <w:lvlOverride w:ilvl="0">
      <w:startOverride w:val="1"/>
    </w:lvlOverride>
  </w:num>
  <w:num w:numId="193" w16cid:durableId="123886712">
    <w:abstractNumId w:val="129"/>
    <w:lvlOverride w:ilvl="0">
      <w:startOverride w:val="1"/>
    </w:lvlOverride>
  </w:num>
  <w:num w:numId="194" w16cid:durableId="1502312315">
    <w:abstractNumId w:val="129"/>
    <w:lvlOverride w:ilvl="0">
      <w:startOverride w:val="1"/>
    </w:lvlOverride>
  </w:num>
  <w:num w:numId="195" w16cid:durableId="192154812">
    <w:abstractNumId w:val="180"/>
    <w:lvlOverride w:ilvl="0">
      <w:startOverride w:val="1"/>
    </w:lvlOverride>
  </w:num>
  <w:num w:numId="196" w16cid:durableId="1536575844">
    <w:abstractNumId w:val="180"/>
    <w:lvlOverride w:ilvl="0">
      <w:startOverride w:val="1"/>
    </w:lvlOverride>
  </w:num>
  <w:num w:numId="197" w16cid:durableId="1111436561">
    <w:abstractNumId w:val="180"/>
    <w:lvlOverride w:ilvl="0">
      <w:startOverride w:val="1"/>
    </w:lvlOverride>
  </w:num>
  <w:num w:numId="198" w16cid:durableId="1289164750">
    <w:abstractNumId w:val="180"/>
    <w:lvlOverride w:ilvl="0">
      <w:startOverride w:val="1"/>
    </w:lvlOverride>
  </w:num>
  <w:num w:numId="199" w16cid:durableId="635137709">
    <w:abstractNumId w:val="180"/>
    <w:lvlOverride w:ilvl="0">
      <w:startOverride w:val="1"/>
    </w:lvlOverride>
  </w:num>
  <w:num w:numId="200" w16cid:durableId="1463646888">
    <w:abstractNumId w:val="180"/>
    <w:lvlOverride w:ilvl="0">
      <w:startOverride w:val="1"/>
    </w:lvlOverride>
  </w:num>
  <w:num w:numId="201" w16cid:durableId="79107767">
    <w:abstractNumId w:val="180"/>
    <w:lvlOverride w:ilvl="0">
      <w:startOverride w:val="1"/>
    </w:lvlOverride>
  </w:num>
  <w:num w:numId="202" w16cid:durableId="956301509">
    <w:abstractNumId w:val="180"/>
    <w:lvlOverride w:ilvl="0">
      <w:startOverride w:val="1"/>
    </w:lvlOverride>
  </w:num>
  <w:num w:numId="203" w16cid:durableId="49573545">
    <w:abstractNumId w:val="129"/>
    <w:lvlOverride w:ilvl="0">
      <w:startOverride w:val="1"/>
    </w:lvlOverride>
  </w:num>
  <w:num w:numId="204" w16cid:durableId="994795775">
    <w:abstractNumId w:val="180"/>
    <w:lvlOverride w:ilvl="0">
      <w:startOverride w:val="1"/>
    </w:lvlOverride>
  </w:num>
  <w:num w:numId="205" w16cid:durableId="129372045">
    <w:abstractNumId w:val="180"/>
    <w:lvlOverride w:ilvl="0">
      <w:startOverride w:val="1"/>
    </w:lvlOverride>
  </w:num>
  <w:num w:numId="206" w16cid:durableId="325985305">
    <w:abstractNumId w:val="87"/>
    <w:lvlOverride w:ilvl="0">
      <w:startOverride w:val="1"/>
    </w:lvlOverride>
  </w:num>
  <w:num w:numId="207" w16cid:durableId="1063454549">
    <w:abstractNumId w:val="180"/>
    <w:lvlOverride w:ilvl="0">
      <w:startOverride w:val="1"/>
    </w:lvlOverride>
  </w:num>
  <w:num w:numId="208" w16cid:durableId="572933730">
    <w:abstractNumId w:val="180"/>
    <w:lvlOverride w:ilvl="0">
      <w:startOverride w:val="1"/>
    </w:lvlOverride>
  </w:num>
  <w:num w:numId="209" w16cid:durableId="545415309">
    <w:abstractNumId w:val="180"/>
    <w:lvlOverride w:ilvl="0">
      <w:startOverride w:val="1"/>
    </w:lvlOverride>
  </w:num>
  <w:num w:numId="210" w16cid:durableId="409813239">
    <w:abstractNumId w:val="180"/>
    <w:lvlOverride w:ilvl="0">
      <w:startOverride w:val="1"/>
    </w:lvlOverride>
  </w:num>
  <w:num w:numId="211" w16cid:durableId="950823840">
    <w:abstractNumId w:val="87"/>
    <w:lvlOverride w:ilvl="0">
      <w:startOverride w:val="1"/>
    </w:lvlOverride>
  </w:num>
  <w:num w:numId="212" w16cid:durableId="16467964">
    <w:abstractNumId w:val="87"/>
    <w:lvlOverride w:ilvl="0">
      <w:startOverride w:val="1"/>
    </w:lvlOverride>
  </w:num>
  <w:num w:numId="213" w16cid:durableId="1883974444">
    <w:abstractNumId w:val="87"/>
    <w:lvlOverride w:ilvl="0">
      <w:startOverride w:val="1"/>
    </w:lvlOverride>
  </w:num>
  <w:num w:numId="214" w16cid:durableId="1899365270">
    <w:abstractNumId w:val="87"/>
    <w:lvlOverride w:ilvl="0">
      <w:startOverride w:val="1"/>
    </w:lvlOverride>
  </w:num>
  <w:num w:numId="215" w16cid:durableId="993919874">
    <w:abstractNumId w:val="87"/>
    <w:lvlOverride w:ilvl="0">
      <w:startOverride w:val="1"/>
    </w:lvlOverride>
  </w:num>
  <w:num w:numId="216" w16cid:durableId="885946864">
    <w:abstractNumId w:val="180"/>
    <w:lvlOverride w:ilvl="0">
      <w:startOverride w:val="1"/>
    </w:lvlOverride>
  </w:num>
  <w:num w:numId="217" w16cid:durableId="1604650084">
    <w:abstractNumId w:val="87"/>
    <w:lvlOverride w:ilvl="0">
      <w:startOverride w:val="1"/>
    </w:lvlOverride>
  </w:num>
  <w:num w:numId="218" w16cid:durableId="1523736722">
    <w:abstractNumId w:val="87"/>
    <w:lvlOverride w:ilvl="0">
      <w:startOverride w:val="1"/>
    </w:lvlOverride>
  </w:num>
  <w:num w:numId="219" w16cid:durableId="1768575073">
    <w:abstractNumId w:val="180"/>
    <w:lvlOverride w:ilvl="0">
      <w:startOverride w:val="1"/>
    </w:lvlOverride>
  </w:num>
  <w:num w:numId="220" w16cid:durableId="165557448">
    <w:abstractNumId w:val="180"/>
    <w:lvlOverride w:ilvl="0">
      <w:startOverride w:val="1"/>
    </w:lvlOverride>
  </w:num>
  <w:num w:numId="221" w16cid:durableId="2008820726">
    <w:abstractNumId w:val="180"/>
    <w:lvlOverride w:ilvl="0">
      <w:startOverride w:val="1"/>
    </w:lvlOverride>
  </w:num>
  <w:num w:numId="222" w16cid:durableId="1014308246">
    <w:abstractNumId w:val="180"/>
    <w:lvlOverride w:ilvl="0">
      <w:startOverride w:val="1"/>
    </w:lvlOverride>
  </w:num>
  <w:num w:numId="223" w16cid:durableId="1680695132">
    <w:abstractNumId w:val="180"/>
    <w:lvlOverride w:ilvl="0">
      <w:startOverride w:val="1"/>
    </w:lvlOverride>
  </w:num>
  <w:num w:numId="224" w16cid:durableId="1710380016">
    <w:abstractNumId w:val="180"/>
    <w:lvlOverride w:ilvl="0">
      <w:startOverride w:val="1"/>
    </w:lvlOverride>
  </w:num>
  <w:num w:numId="225" w16cid:durableId="461731500">
    <w:abstractNumId w:val="180"/>
    <w:lvlOverride w:ilvl="0">
      <w:startOverride w:val="1"/>
    </w:lvlOverride>
  </w:num>
  <w:num w:numId="226" w16cid:durableId="837698278">
    <w:abstractNumId w:val="180"/>
    <w:lvlOverride w:ilvl="0">
      <w:startOverride w:val="1"/>
    </w:lvlOverride>
  </w:num>
  <w:num w:numId="227" w16cid:durableId="655035371">
    <w:abstractNumId w:val="180"/>
    <w:lvlOverride w:ilvl="0">
      <w:startOverride w:val="1"/>
    </w:lvlOverride>
  </w:num>
  <w:num w:numId="228" w16cid:durableId="755445700">
    <w:abstractNumId w:val="180"/>
    <w:lvlOverride w:ilvl="0">
      <w:startOverride w:val="1"/>
    </w:lvlOverride>
  </w:num>
  <w:num w:numId="229" w16cid:durableId="1351566703">
    <w:abstractNumId w:val="129"/>
    <w:lvlOverride w:ilvl="0">
      <w:startOverride w:val="1"/>
    </w:lvlOverride>
  </w:num>
  <w:num w:numId="230" w16cid:durableId="804928231">
    <w:abstractNumId w:val="129"/>
    <w:lvlOverride w:ilvl="0">
      <w:startOverride w:val="1"/>
    </w:lvlOverride>
  </w:num>
  <w:num w:numId="231" w16cid:durableId="1713534177">
    <w:abstractNumId w:val="180"/>
    <w:lvlOverride w:ilvl="0">
      <w:startOverride w:val="1"/>
    </w:lvlOverride>
  </w:num>
  <w:num w:numId="232" w16cid:durableId="946160581">
    <w:abstractNumId w:val="129"/>
    <w:lvlOverride w:ilvl="0">
      <w:startOverride w:val="1"/>
    </w:lvlOverride>
  </w:num>
  <w:num w:numId="233" w16cid:durableId="932127871">
    <w:abstractNumId w:val="87"/>
    <w:lvlOverride w:ilvl="0">
      <w:startOverride w:val="1"/>
    </w:lvlOverride>
  </w:num>
  <w:num w:numId="234" w16cid:durableId="266885084">
    <w:abstractNumId w:val="87"/>
    <w:lvlOverride w:ilvl="0">
      <w:startOverride w:val="1"/>
    </w:lvlOverride>
  </w:num>
  <w:num w:numId="235" w16cid:durableId="1305040602">
    <w:abstractNumId w:val="87"/>
    <w:lvlOverride w:ilvl="0">
      <w:startOverride w:val="1"/>
    </w:lvlOverride>
  </w:num>
  <w:num w:numId="236" w16cid:durableId="1800218948">
    <w:abstractNumId w:val="180"/>
    <w:lvlOverride w:ilvl="0">
      <w:startOverride w:val="1"/>
    </w:lvlOverride>
  </w:num>
  <w:num w:numId="237" w16cid:durableId="1984234517">
    <w:abstractNumId w:val="129"/>
    <w:lvlOverride w:ilvl="0">
      <w:startOverride w:val="1"/>
    </w:lvlOverride>
  </w:num>
  <w:num w:numId="238" w16cid:durableId="1921409036">
    <w:abstractNumId w:val="129"/>
    <w:lvlOverride w:ilvl="0">
      <w:startOverride w:val="1"/>
    </w:lvlOverride>
  </w:num>
  <w:num w:numId="239" w16cid:durableId="1559970516">
    <w:abstractNumId w:val="180"/>
    <w:lvlOverride w:ilvl="0">
      <w:startOverride w:val="1"/>
    </w:lvlOverride>
  </w:num>
  <w:num w:numId="240" w16cid:durableId="1796168086">
    <w:abstractNumId w:val="129"/>
    <w:lvlOverride w:ilvl="0">
      <w:startOverride w:val="1"/>
    </w:lvlOverride>
  </w:num>
  <w:num w:numId="241" w16cid:durableId="1091849795">
    <w:abstractNumId w:val="180"/>
    <w:lvlOverride w:ilvl="0">
      <w:startOverride w:val="1"/>
    </w:lvlOverride>
  </w:num>
  <w:num w:numId="242" w16cid:durableId="793254082">
    <w:abstractNumId w:val="180"/>
    <w:lvlOverride w:ilvl="0">
      <w:startOverride w:val="1"/>
    </w:lvlOverride>
  </w:num>
  <w:num w:numId="243" w16cid:durableId="1691908991">
    <w:abstractNumId w:val="180"/>
    <w:lvlOverride w:ilvl="0">
      <w:startOverride w:val="1"/>
    </w:lvlOverride>
  </w:num>
  <w:num w:numId="244" w16cid:durableId="1404789052">
    <w:abstractNumId w:val="180"/>
    <w:lvlOverride w:ilvl="0">
      <w:startOverride w:val="1"/>
    </w:lvlOverride>
  </w:num>
  <w:num w:numId="245" w16cid:durableId="1689329690">
    <w:abstractNumId w:val="180"/>
    <w:lvlOverride w:ilvl="0">
      <w:startOverride w:val="1"/>
    </w:lvlOverride>
  </w:num>
  <w:num w:numId="246" w16cid:durableId="1054894393">
    <w:abstractNumId w:val="180"/>
    <w:lvlOverride w:ilvl="0">
      <w:startOverride w:val="1"/>
    </w:lvlOverride>
  </w:num>
  <w:num w:numId="247" w16cid:durableId="1929079223">
    <w:abstractNumId w:val="129"/>
    <w:lvlOverride w:ilvl="0">
      <w:startOverride w:val="1"/>
    </w:lvlOverride>
  </w:num>
  <w:num w:numId="248" w16cid:durableId="1608123585">
    <w:abstractNumId w:val="180"/>
    <w:lvlOverride w:ilvl="0">
      <w:startOverride w:val="1"/>
    </w:lvlOverride>
  </w:num>
  <w:num w:numId="249" w16cid:durableId="199829034">
    <w:abstractNumId w:val="180"/>
    <w:lvlOverride w:ilvl="0">
      <w:startOverride w:val="1"/>
    </w:lvlOverride>
  </w:num>
  <w:num w:numId="250" w16cid:durableId="1476877877">
    <w:abstractNumId w:val="180"/>
    <w:lvlOverride w:ilvl="0">
      <w:startOverride w:val="1"/>
    </w:lvlOverride>
  </w:num>
  <w:num w:numId="251" w16cid:durableId="948897856">
    <w:abstractNumId w:val="129"/>
    <w:lvlOverride w:ilvl="0">
      <w:startOverride w:val="1"/>
    </w:lvlOverride>
  </w:num>
  <w:num w:numId="252" w16cid:durableId="1838809946">
    <w:abstractNumId w:val="129"/>
    <w:lvlOverride w:ilvl="0">
      <w:startOverride w:val="1"/>
    </w:lvlOverride>
  </w:num>
  <w:num w:numId="253" w16cid:durableId="203567659">
    <w:abstractNumId w:val="180"/>
    <w:lvlOverride w:ilvl="0">
      <w:startOverride w:val="1"/>
    </w:lvlOverride>
  </w:num>
  <w:num w:numId="254" w16cid:durableId="2075002574">
    <w:abstractNumId w:val="180"/>
    <w:lvlOverride w:ilvl="0">
      <w:startOverride w:val="1"/>
    </w:lvlOverride>
  </w:num>
  <w:num w:numId="255" w16cid:durableId="13462503">
    <w:abstractNumId w:val="180"/>
    <w:lvlOverride w:ilvl="0">
      <w:startOverride w:val="1"/>
    </w:lvlOverride>
  </w:num>
  <w:num w:numId="256" w16cid:durableId="2059233317">
    <w:abstractNumId w:val="180"/>
    <w:lvlOverride w:ilvl="0">
      <w:startOverride w:val="1"/>
    </w:lvlOverride>
  </w:num>
  <w:num w:numId="257" w16cid:durableId="2038843727">
    <w:abstractNumId w:val="180"/>
    <w:lvlOverride w:ilvl="0">
      <w:startOverride w:val="1"/>
    </w:lvlOverride>
  </w:num>
  <w:num w:numId="258" w16cid:durableId="230652585">
    <w:abstractNumId w:val="180"/>
    <w:lvlOverride w:ilvl="0">
      <w:startOverride w:val="1"/>
    </w:lvlOverride>
  </w:num>
  <w:num w:numId="259" w16cid:durableId="1223634214">
    <w:abstractNumId w:val="129"/>
    <w:lvlOverride w:ilvl="0">
      <w:startOverride w:val="1"/>
    </w:lvlOverride>
  </w:num>
  <w:num w:numId="260" w16cid:durableId="160703694">
    <w:abstractNumId w:val="180"/>
    <w:lvlOverride w:ilvl="0">
      <w:startOverride w:val="1"/>
    </w:lvlOverride>
  </w:num>
  <w:num w:numId="261" w16cid:durableId="1561091409">
    <w:abstractNumId w:val="180"/>
    <w:lvlOverride w:ilvl="0">
      <w:startOverride w:val="1"/>
    </w:lvlOverride>
  </w:num>
  <w:num w:numId="262" w16cid:durableId="162400735">
    <w:abstractNumId w:val="180"/>
    <w:lvlOverride w:ilvl="0">
      <w:startOverride w:val="1"/>
    </w:lvlOverride>
  </w:num>
  <w:num w:numId="263" w16cid:durableId="294871717">
    <w:abstractNumId w:val="180"/>
    <w:lvlOverride w:ilvl="0">
      <w:startOverride w:val="1"/>
    </w:lvlOverride>
  </w:num>
  <w:num w:numId="264" w16cid:durableId="1019239734">
    <w:abstractNumId w:val="129"/>
    <w:lvlOverride w:ilvl="0">
      <w:startOverride w:val="1"/>
    </w:lvlOverride>
  </w:num>
  <w:num w:numId="265" w16cid:durableId="2036230100">
    <w:abstractNumId w:val="129"/>
    <w:lvlOverride w:ilvl="0">
      <w:startOverride w:val="1"/>
    </w:lvlOverride>
  </w:num>
  <w:num w:numId="266" w16cid:durableId="961106421">
    <w:abstractNumId w:val="180"/>
    <w:lvlOverride w:ilvl="0">
      <w:startOverride w:val="1"/>
    </w:lvlOverride>
  </w:num>
  <w:num w:numId="267" w16cid:durableId="519858540">
    <w:abstractNumId w:val="87"/>
    <w:lvlOverride w:ilvl="0">
      <w:startOverride w:val="1"/>
    </w:lvlOverride>
  </w:num>
  <w:num w:numId="268" w16cid:durableId="1544554961">
    <w:abstractNumId w:val="56"/>
  </w:num>
  <w:num w:numId="269" w16cid:durableId="1770737787">
    <w:abstractNumId w:val="56"/>
    <w:lvlOverride w:ilvl="0">
      <w:startOverride w:val="1"/>
    </w:lvlOverride>
  </w:num>
  <w:num w:numId="270" w16cid:durableId="1557619763">
    <w:abstractNumId w:val="56"/>
    <w:lvlOverride w:ilvl="0">
      <w:startOverride w:val="1"/>
    </w:lvlOverride>
  </w:num>
  <w:num w:numId="271" w16cid:durableId="1877348407">
    <w:abstractNumId w:val="87"/>
    <w:lvlOverride w:ilvl="0">
      <w:startOverride w:val="1"/>
    </w:lvlOverride>
  </w:num>
  <w:num w:numId="272" w16cid:durableId="91512874">
    <w:abstractNumId w:val="87"/>
    <w:lvlOverride w:ilvl="0">
      <w:startOverride w:val="1"/>
    </w:lvlOverride>
  </w:num>
  <w:num w:numId="273" w16cid:durableId="1906986607">
    <w:abstractNumId w:val="87"/>
    <w:lvlOverride w:ilvl="0">
      <w:startOverride w:val="1"/>
    </w:lvlOverride>
  </w:num>
  <w:num w:numId="274" w16cid:durableId="144207653">
    <w:abstractNumId w:val="87"/>
    <w:lvlOverride w:ilvl="0">
      <w:startOverride w:val="1"/>
    </w:lvlOverride>
  </w:num>
  <w:num w:numId="275" w16cid:durableId="1383796233">
    <w:abstractNumId w:val="87"/>
    <w:lvlOverride w:ilvl="0">
      <w:startOverride w:val="1"/>
    </w:lvlOverride>
  </w:num>
  <w:num w:numId="276" w16cid:durableId="217478722">
    <w:abstractNumId w:val="87"/>
    <w:lvlOverride w:ilvl="0">
      <w:startOverride w:val="1"/>
    </w:lvlOverride>
  </w:num>
  <w:num w:numId="277" w16cid:durableId="822311839">
    <w:abstractNumId w:val="87"/>
    <w:lvlOverride w:ilvl="0">
      <w:startOverride w:val="1"/>
    </w:lvlOverride>
  </w:num>
  <w:num w:numId="278" w16cid:durableId="422990335">
    <w:abstractNumId w:val="87"/>
    <w:lvlOverride w:ilvl="0">
      <w:startOverride w:val="1"/>
    </w:lvlOverride>
  </w:num>
  <w:num w:numId="279" w16cid:durableId="1474953221">
    <w:abstractNumId w:val="180"/>
    <w:lvlOverride w:ilvl="0">
      <w:startOverride w:val="1"/>
    </w:lvlOverride>
  </w:num>
  <w:num w:numId="280" w16cid:durableId="129637042">
    <w:abstractNumId w:val="129"/>
    <w:lvlOverride w:ilvl="0">
      <w:startOverride w:val="1"/>
    </w:lvlOverride>
  </w:num>
  <w:num w:numId="281" w16cid:durableId="1788430906">
    <w:abstractNumId w:val="180"/>
    <w:lvlOverride w:ilvl="0">
      <w:startOverride w:val="1"/>
    </w:lvlOverride>
  </w:num>
  <w:num w:numId="282" w16cid:durableId="1234241050">
    <w:abstractNumId w:val="129"/>
    <w:lvlOverride w:ilvl="0">
      <w:startOverride w:val="1"/>
    </w:lvlOverride>
  </w:num>
  <w:num w:numId="283" w16cid:durableId="798915710">
    <w:abstractNumId w:val="164"/>
    <w:lvlOverride w:ilvl="0">
      <w:startOverride w:val="1"/>
    </w:lvlOverride>
  </w:num>
  <w:num w:numId="284" w16cid:durableId="390812212">
    <w:abstractNumId w:val="87"/>
    <w:lvlOverride w:ilvl="0">
      <w:startOverride w:val="1"/>
    </w:lvlOverride>
  </w:num>
  <w:num w:numId="285" w16cid:durableId="11272716">
    <w:abstractNumId w:val="87"/>
    <w:lvlOverride w:ilvl="0">
      <w:startOverride w:val="1"/>
    </w:lvlOverride>
  </w:num>
  <w:num w:numId="286" w16cid:durableId="1344669674">
    <w:abstractNumId w:val="180"/>
    <w:lvlOverride w:ilvl="0">
      <w:startOverride w:val="1"/>
    </w:lvlOverride>
  </w:num>
  <w:num w:numId="287" w16cid:durableId="1885673122">
    <w:abstractNumId w:val="180"/>
    <w:lvlOverride w:ilvl="0">
      <w:startOverride w:val="1"/>
    </w:lvlOverride>
  </w:num>
  <w:num w:numId="288" w16cid:durableId="1572351061">
    <w:abstractNumId w:val="129"/>
    <w:lvlOverride w:ilvl="0">
      <w:startOverride w:val="1"/>
    </w:lvlOverride>
  </w:num>
  <w:num w:numId="289" w16cid:durableId="1895968983">
    <w:abstractNumId w:val="180"/>
    <w:lvlOverride w:ilvl="0">
      <w:startOverride w:val="1"/>
    </w:lvlOverride>
  </w:num>
  <w:num w:numId="290" w16cid:durableId="996417427">
    <w:abstractNumId w:val="180"/>
    <w:lvlOverride w:ilvl="0">
      <w:startOverride w:val="1"/>
    </w:lvlOverride>
  </w:num>
  <w:num w:numId="291" w16cid:durableId="1740597898">
    <w:abstractNumId w:val="87"/>
    <w:lvlOverride w:ilvl="0">
      <w:startOverride w:val="1"/>
    </w:lvlOverride>
  </w:num>
  <w:num w:numId="292" w16cid:durableId="794907604">
    <w:abstractNumId w:val="73"/>
  </w:num>
  <w:num w:numId="293" w16cid:durableId="112017470">
    <w:abstractNumId w:val="168"/>
  </w:num>
  <w:num w:numId="294" w16cid:durableId="1164933077">
    <w:abstractNumId w:val="66"/>
  </w:num>
  <w:num w:numId="295" w16cid:durableId="2136606462">
    <w:abstractNumId w:val="83"/>
  </w:num>
  <w:num w:numId="296" w16cid:durableId="58286896">
    <w:abstractNumId w:val="0"/>
  </w:num>
  <w:num w:numId="297" w16cid:durableId="396709665">
    <w:abstractNumId w:val="0"/>
  </w:num>
  <w:num w:numId="298" w16cid:durableId="1492872436">
    <w:abstractNumId w:val="0"/>
  </w:num>
  <w:num w:numId="299" w16cid:durableId="453135511">
    <w:abstractNumId w:val="0"/>
  </w:num>
  <w:num w:numId="300" w16cid:durableId="1350327740">
    <w:abstractNumId w:val="111"/>
  </w:num>
  <w:num w:numId="301" w16cid:durableId="1044331022">
    <w:abstractNumId w:val="0"/>
  </w:num>
  <w:num w:numId="302" w16cid:durableId="543373620">
    <w:abstractNumId w:val="0"/>
  </w:num>
  <w:num w:numId="303" w16cid:durableId="1321153148">
    <w:abstractNumId w:val="0"/>
  </w:num>
  <w:num w:numId="304" w16cid:durableId="41486702">
    <w:abstractNumId w:val="8"/>
  </w:num>
  <w:num w:numId="305" w16cid:durableId="1919746386">
    <w:abstractNumId w:val="0"/>
  </w:num>
  <w:num w:numId="306" w16cid:durableId="1804737554">
    <w:abstractNumId w:val="48"/>
  </w:num>
  <w:num w:numId="307" w16cid:durableId="1322268400">
    <w:abstractNumId w:val="71"/>
  </w:num>
  <w:num w:numId="308" w16cid:durableId="600915727">
    <w:abstractNumId w:val="118"/>
  </w:num>
  <w:num w:numId="309" w16cid:durableId="797919382">
    <w:abstractNumId w:val="3"/>
  </w:num>
  <w:num w:numId="310" w16cid:durableId="1407070682">
    <w:abstractNumId w:val="187"/>
  </w:num>
  <w:num w:numId="311" w16cid:durableId="2089034615">
    <w:abstractNumId w:val="72"/>
  </w:num>
  <w:num w:numId="312" w16cid:durableId="860162375">
    <w:abstractNumId w:val="182"/>
  </w:num>
  <w:num w:numId="313" w16cid:durableId="1786926545">
    <w:abstractNumId w:val="165"/>
  </w:num>
  <w:num w:numId="314" w16cid:durableId="1549682235">
    <w:abstractNumId w:val="186"/>
  </w:num>
  <w:num w:numId="315" w16cid:durableId="225993952">
    <w:abstractNumId w:val="12"/>
  </w:num>
  <w:num w:numId="316" w16cid:durableId="1320231827">
    <w:abstractNumId w:val="11"/>
  </w:num>
  <w:num w:numId="317" w16cid:durableId="1681351497">
    <w:abstractNumId w:val="172"/>
  </w:num>
  <w:num w:numId="318" w16cid:durableId="1493184742">
    <w:abstractNumId w:val="120"/>
  </w:num>
  <w:num w:numId="319" w16cid:durableId="146018108">
    <w:abstractNumId w:val="84"/>
  </w:num>
  <w:num w:numId="320" w16cid:durableId="585922413">
    <w:abstractNumId w:val="52"/>
  </w:num>
  <w:num w:numId="321" w16cid:durableId="185483291">
    <w:abstractNumId w:val="87"/>
  </w:num>
  <w:num w:numId="322" w16cid:durableId="1054625999">
    <w:abstractNumId w:val="140"/>
  </w:num>
  <w:num w:numId="323" w16cid:durableId="613514193">
    <w:abstractNumId w:val="185"/>
  </w:num>
  <w:num w:numId="324" w16cid:durableId="316151936">
    <w:abstractNumId w:val="160"/>
  </w:num>
  <w:num w:numId="325" w16cid:durableId="876508757">
    <w:abstractNumId w:val="144"/>
  </w:num>
  <w:num w:numId="326" w16cid:durableId="370618724">
    <w:abstractNumId w:val="189"/>
  </w:num>
  <w:num w:numId="327" w16cid:durableId="1195581864">
    <w:abstractNumId w:val="167"/>
  </w:num>
  <w:num w:numId="328" w16cid:durableId="513226975">
    <w:abstractNumId w:val="87"/>
  </w:num>
  <w:num w:numId="329" w16cid:durableId="1859418973">
    <w:abstractNumId w:val="0"/>
  </w:num>
  <w:num w:numId="330" w16cid:durableId="1090739945">
    <w:abstractNumId w:val="0"/>
  </w:num>
  <w:num w:numId="331" w16cid:durableId="705104931">
    <w:abstractNumId w:val="0"/>
  </w:num>
  <w:num w:numId="332" w16cid:durableId="772628774">
    <w:abstractNumId w:val="0"/>
  </w:num>
  <w:num w:numId="333" w16cid:durableId="1431044409">
    <w:abstractNumId w:val="0"/>
  </w:num>
  <w:num w:numId="334" w16cid:durableId="278298288">
    <w:abstractNumId w:val="0"/>
  </w:num>
  <w:num w:numId="335" w16cid:durableId="771163865">
    <w:abstractNumId w:val="0"/>
  </w:num>
  <w:num w:numId="336" w16cid:durableId="1070347052">
    <w:abstractNumId w:val="0"/>
  </w:num>
  <w:num w:numId="337" w16cid:durableId="1523859896">
    <w:abstractNumId w:val="163"/>
  </w:num>
  <w:num w:numId="338" w16cid:durableId="741222536">
    <w:abstractNumId w:val="163"/>
  </w:num>
  <w:num w:numId="339" w16cid:durableId="444085252">
    <w:abstractNumId w:val="163"/>
  </w:num>
  <w:num w:numId="340" w16cid:durableId="1183782510">
    <w:abstractNumId w:val="196"/>
  </w:num>
  <w:num w:numId="341" w16cid:durableId="25058604">
    <w:abstractNumId w:val="119"/>
  </w:num>
  <w:num w:numId="342" w16cid:durableId="873809657">
    <w:abstractNumId w:val="178"/>
  </w:num>
  <w:num w:numId="343" w16cid:durableId="1418214471">
    <w:abstractNumId w:val="184"/>
  </w:num>
  <w:num w:numId="344" w16cid:durableId="1020664615">
    <w:abstractNumId w:val="80"/>
  </w:num>
  <w:num w:numId="345" w16cid:durableId="1539734019">
    <w:abstractNumId w:val="163"/>
  </w:num>
  <w:num w:numId="346" w16cid:durableId="1316958028">
    <w:abstractNumId w:val="163"/>
  </w:num>
  <w:num w:numId="347" w16cid:durableId="1452630679">
    <w:abstractNumId w:val="163"/>
  </w:num>
  <w:num w:numId="348" w16cid:durableId="1537962859">
    <w:abstractNumId w:val="163"/>
  </w:num>
  <w:num w:numId="349" w16cid:durableId="1082219584">
    <w:abstractNumId w:val="149"/>
  </w:num>
  <w:num w:numId="350" w16cid:durableId="860626954">
    <w:abstractNumId w:val="163"/>
  </w:num>
  <w:num w:numId="351" w16cid:durableId="544100719">
    <w:abstractNumId w:val="163"/>
  </w:num>
  <w:num w:numId="352" w16cid:durableId="577834358">
    <w:abstractNumId w:val="163"/>
  </w:num>
  <w:num w:numId="353" w16cid:durableId="560948398">
    <w:abstractNumId w:val="163"/>
  </w:num>
  <w:num w:numId="354" w16cid:durableId="1995143275">
    <w:abstractNumId w:val="163"/>
  </w:num>
  <w:num w:numId="355" w16cid:durableId="249387345">
    <w:abstractNumId w:val="163"/>
  </w:num>
  <w:num w:numId="356" w16cid:durableId="1085692138">
    <w:abstractNumId w:val="163"/>
  </w:num>
  <w:num w:numId="357" w16cid:durableId="1583563945">
    <w:abstractNumId w:val="163"/>
  </w:num>
  <w:num w:numId="358" w16cid:durableId="1530293197">
    <w:abstractNumId w:val="87"/>
    <w:lvlOverride w:ilvl="0">
      <w:startOverride w:val="1"/>
    </w:lvlOverride>
  </w:num>
  <w:num w:numId="359" w16cid:durableId="930118182">
    <w:abstractNumId w:val="87"/>
    <w:lvlOverride w:ilvl="0">
      <w:startOverride w:val="1"/>
    </w:lvlOverride>
  </w:num>
  <w:num w:numId="360" w16cid:durableId="1914048527">
    <w:abstractNumId w:val="87"/>
  </w:num>
  <w:num w:numId="361" w16cid:durableId="610817562">
    <w:abstractNumId w:val="139"/>
  </w:num>
  <w:num w:numId="362" w16cid:durableId="777337485">
    <w:abstractNumId w:val="27"/>
  </w:num>
  <w:num w:numId="363" w16cid:durableId="894123803">
    <w:abstractNumId w:val="57"/>
  </w:num>
  <w:num w:numId="364" w16cid:durableId="241524041">
    <w:abstractNumId w:val="163"/>
  </w:num>
  <w:num w:numId="365" w16cid:durableId="1047605238">
    <w:abstractNumId w:val="163"/>
  </w:num>
  <w:num w:numId="366" w16cid:durableId="1947494885">
    <w:abstractNumId w:val="102"/>
  </w:num>
  <w:num w:numId="367" w16cid:durableId="2029716409">
    <w:abstractNumId w:val="105"/>
  </w:num>
  <w:num w:numId="368" w16cid:durableId="868027592">
    <w:abstractNumId w:val="136"/>
  </w:num>
  <w:num w:numId="369" w16cid:durableId="526141165">
    <w:abstractNumId w:val="0"/>
  </w:num>
  <w:num w:numId="370" w16cid:durableId="1782455633">
    <w:abstractNumId w:val="163"/>
  </w:num>
  <w:num w:numId="371" w16cid:durableId="1953515155">
    <w:abstractNumId w:val="79"/>
  </w:num>
  <w:num w:numId="372" w16cid:durableId="316497565">
    <w:abstractNumId w:val="180"/>
  </w:num>
  <w:num w:numId="373" w16cid:durableId="469632517">
    <w:abstractNumId w:val="35"/>
  </w:num>
  <w:num w:numId="374" w16cid:durableId="1990550506">
    <w:abstractNumId w:val="180"/>
    <w:lvlOverride w:ilvl="0">
      <w:startOverride w:val="1"/>
    </w:lvlOverride>
  </w:num>
  <w:num w:numId="375" w16cid:durableId="195385939">
    <w:abstractNumId w:val="180"/>
    <w:lvlOverride w:ilvl="0">
      <w:startOverride w:val="1"/>
    </w:lvlOverride>
  </w:num>
  <w:num w:numId="376" w16cid:durableId="234358675">
    <w:abstractNumId w:val="180"/>
    <w:lvlOverride w:ilvl="0">
      <w:startOverride w:val="1"/>
    </w:lvlOverride>
  </w:num>
  <w:num w:numId="377" w16cid:durableId="1140655230">
    <w:abstractNumId w:val="183"/>
  </w:num>
  <w:num w:numId="378" w16cid:durableId="1219129221">
    <w:abstractNumId w:val="171"/>
  </w:num>
  <w:num w:numId="379" w16cid:durableId="658926366">
    <w:abstractNumId w:val="145"/>
  </w:num>
  <w:num w:numId="380" w16cid:durableId="269632731">
    <w:abstractNumId w:val="87"/>
    <w:lvlOverride w:ilvl="0">
      <w:startOverride w:val="1"/>
    </w:lvlOverride>
  </w:num>
  <w:num w:numId="381" w16cid:durableId="820004538">
    <w:abstractNumId w:val="87"/>
    <w:lvlOverride w:ilvl="0">
      <w:startOverride w:val="1"/>
    </w:lvlOverride>
  </w:num>
  <w:num w:numId="382" w16cid:durableId="260450372">
    <w:abstractNumId w:val="87"/>
    <w:lvlOverride w:ilvl="0">
      <w:startOverride w:val="1"/>
    </w:lvlOverride>
  </w:num>
  <w:num w:numId="383" w16cid:durableId="1824808098">
    <w:abstractNumId w:val="87"/>
    <w:lvlOverride w:ilvl="0">
      <w:startOverride w:val="1"/>
    </w:lvlOverride>
  </w:num>
  <w:num w:numId="384" w16cid:durableId="245304883">
    <w:abstractNumId w:val="87"/>
    <w:lvlOverride w:ilvl="0">
      <w:startOverride w:val="1"/>
    </w:lvlOverride>
  </w:num>
  <w:num w:numId="385" w16cid:durableId="556746631">
    <w:abstractNumId w:val="87"/>
    <w:lvlOverride w:ilvl="0">
      <w:startOverride w:val="1"/>
    </w:lvlOverride>
  </w:num>
  <w:num w:numId="386" w16cid:durableId="1561163529">
    <w:abstractNumId w:val="87"/>
    <w:lvlOverride w:ilvl="0">
      <w:startOverride w:val="1"/>
    </w:lvlOverride>
  </w:num>
  <w:num w:numId="387" w16cid:durableId="363097751">
    <w:abstractNumId w:val="87"/>
    <w:lvlOverride w:ilvl="0">
      <w:startOverride w:val="1"/>
    </w:lvlOverride>
  </w:num>
  <w:num w:numId="388" w16cid:durableId="1715538170">
    <w:abstractNumId w:val="16"/>
  </w:num>
  <w:num w:numId="389" w16cid:durableId="467824390">
    <w:abstractNumId w:val="16"/>
    <w:lvlOverride w:ilvl="0">
      <w:startOverride w:val="1"/>
    </w:lvlOverride>
  </w:num>
  <w:num w:numId="390" w16cid:durableId="114716670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310714527">
    <w:abstractNumId w:val="180"/>
    <w:lvlOverride w:ilvl="0">
      <w:startOverride w:val="1"/>
    </w:lvlOverride>
  </w:num>
  <w:num w:numId="392" w16cid:durableId="1415199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560101167">
    <w:abstractNumId w:val="1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394" w16cid:durableId="751970667">
    <w:abstractNumId w:val="10"/>
  </w:num>
  <w:num w:numId="395" w16cid:durableId="939021012">
    <w:abstractNumId w:val="163"/>
    <w:lvlOverride w:ilvl="0">
      <w:startOverride w:val="9"/>
    </w:lvlOverride>
  </w:num>
  <w:num w:numId="396" w16cid:durableId="1639339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525604226">
    <w:abstractNumId w:val="97"/>
  </w:num>
  <w:num w:numId="398" w16cid:durableId="391463794">
    <w:abstractNumId w:val="23"/>
  </w:num>
  <w:num w:numId="399" w16cid:durableId="460922756">
    <w:abstractNumId w:val="113"/>
  </w:num>
  <w:num w:numId="400" w16cid:durableId="1049844272">
    <w:abstractNumId w:val="152"/>
  </w:num>
  <w:num w:numId="401" w16cid:durableId="1737043365">
    <w:abstractNumId w:val="24"/>
  </w:num>
  <w:num w:numId="402" w16cid:durableId="1988701277">
    <w:abstractNumId w:val="29"/>
  </w:num>
  <w:num w:numId="403" w16cid:durableId="309403296">
    <w:abstractNumId w:val="180"/>
    <w:lvlOverride w:ilvl="0">
      <w:startOverride w:val="1"/>
    </w:lvlOverride>
  </w:num>
  <w:num w:numId="404" w16cid:durableId="2144107955">
    <w:abstractNumId w:val="180"/>
    <w:lvlOverride w:ilvl="0">
      <w:startOverride w:val="1"/>
    </w:lvlOverride>
  </w:num>
  <w:num w:numId="405" w16cid:durableId="916675058">
    <w:abstractNumId w:val="180"/>
    <w:lvlOverride w:ilvl="0">
      <w:startOverride w:val="1"/>
    </w:lvlOverride>
  </w:num>
  <w:num w:numId="406" w16cid:durableId="447555380">
    <w:abstractNumId w:val="16"/>
    <w:lvlOverride w:ilvl="0">
      <w:startOverride w:val="1"/>
    </w:lvlOverride>
    <w:lvlOverride w:ilvl="1">
      <w:startOverride w:val="1"/>
    </w:lvlOverride>
    <w:lvlOverride w:ilvl="2">
      <w:startOverride w:val="1"/>
    </w:lvlOverride>
  </w:num>
  <w:num w:numId="407" w16cid:durableId="1870558851">
    <w:abstractNumId w:val="16"/>
    <w:lvlOverride w:ilvl="0">
      <w:startOverride w:val="1"/>
    </w:lvlOverride>
    <w:lvlOverride w:ilvl="1">
      <w:startOverride w:val="1"/>
    </w:lvlOverride>
    <w:lvlOverride w:ilvl="2">
      <w:startOverride w:val="1"/>
    </w:lvlOverride>
  </w:num>
  <w:num w:numId="408" w16cid:durableId="2037268964">
    <w:abstractNumId w:val="18"/>
  </w:num>
  <w:num w:numId="409" w16cid:durableId="637145065">
    <w:abstractNumId w:val="53"/>
  </w:num>
  <w:num w:numId="410" w16cid:durableId="1905482710">
    <w:abstractNumId w:val="188"/>
  </w:num>
  <w:num w:numId="411" w16cid:durableId="964965360">
    <w:abstractNumId w:val="100"/>
  </w:num>
  <w:num w:numId="412" w16cid:durableId="788663950">
    <w:abstractNumId w:val="101"/>
  </w:num>
  <w:num w:numId="413" w16cid:durableId="2095128656">
    <w:abstractNumId w:val="162"/>
  </w:num>
  <w:num w:numId="414" w16cid:durableId="133377376">
    <w:abstractNumId w:val="191"/>
  </w:num>
  <w:num w:numId="415" w16cid:durableId="518467655">
    <w:abstractNumId w:val="131"/>
  </w:num>
  <w:num w:numId="416" w16cid:durableId="2036035726">
    <w:abstractNumId w:val="142"/>
  </w:num>
  <w:num w:numId="417" w16cid:durableId="1207259682">
    <w:abstractNumId w:val="34"/>
  </w:num>
  <w:num w:numId="418" w16cid:durableId="744764843">
    <w:abstractNumId w:val="91"/>
  </w:num>
  <w:num w:numId="419" w16cid:durableId="434448840">
    <w:abstractNumId w:val="37"/>
  </w:num>
  <w:num w:numId="420" w16cid:durableId="390814617">
    <w:abstractNumId w:val="157"/>
  </w:num>
  <w:num w:numId="421" w16cid:durableId="486165375">
    <w:abstractNumId w:val="86"/>
  </w:num>
  <w:num w:numId="422" w16cid:durableId="44841037">
    <w:abstractNumId w:val="54"/>
  </w:num>
  <w:num w:numId="423" w16cid:durableId="91629550">
    <w:abstractNumId w:val="174"/>
  </w:num>
  <w:num w:numId="424" w16cid:durableId="1318728531">
    <w:abstractNumId w:val="5"/>
  </w:num>
  <w:num w:numId="425" w16cid:durableId="2006005214">
    <w:abstractNumId w:val="43"/>
  </w:num>
  <w:num w:numId="426" w16cid:durableId="1243442941">
    <w:abstractNumId w:val="148"/>
  </w:num>
  <w:num w:numId="427" w16cid:durableId="1807576489">
    <w:abstractNumId w:val="2"/>
  </w:num>
  <w:num w:numId="428" w16cid:durableId="1706101248">
    <w:abstractNumId w:val="137"/>
  </w:num>
  <w:num w:numId="429" w16cid:durableId="976951235">
    <w:abstractNumId w:val="68"/>
  </w:num>
  <w:num w:numId="430" w16cid:durableId="2041662169">
    <w:abstractNumId w:val="81"/>
  </w:num>
  <w:num w:numId="431" w16cid:durableId="180559626">
    <w:abstractNumId w:val="85"/>
  </w:num>
  <w:num w:numId="432" w16cid:durableId="1879900310">
    <w:abstractNumId w:val="195"/>
  </w:num>
  <w:num w:numId="433" w16cid:durableId="665472436">
    <w:abstractNumId w:val="128"/>
  </w:num>
  <w:num w:numId="434" w16cid:durableId="2022512665">
    <w:abstractNumId w:val="33"/>
  </w:num>
  <w:num w:numId="435" w16cid:durableId="1261835085">
    <w:abstractNumId w:val="42"/>
  </w:num>
  <w:num w:numId="436" w16cid:durableId="2082290797">
    <w:abstractNumId w:val="163"/>
  </w:num>
  <w:num w:numId="437" w16cid:durableId="2107730667">
    <w:abstractNumId w:val="114"/>
  </w:num>
  <w:num w:numId="438" w16cid:durableId="1775051934">
    <w:abstractNumId w:val="7"/>
  </w:num>
  <w:num w:numId="439" w16cid:durableId="771127755">
    <w:abstractNumId w:val="88"/>
  </w:num>
  <w:num w:numId="440" w16cid:durableId="938172701">
    <w:abstractNumId w:val="28"/>
  </w:num>
  <w:num w:numId="441" w16cid:durableId="1337686572">
    <w:abstractNumId w:val="38"/>
  </w:num>
  <w:num w:numId="442" w16cid:durableId="1444836972">
    <w:abstractNumId w:val="20"/>
  </w:num>
  <w:num w:numId="443" w16cid:durableId="450128841">
    <w:abstractNumId w:val="99"/>
  </w:num>
  <w:num w:numId="444" w16cid:durableId="1978142889">
    <w:abstractNumId w:val="74"/>
  </w:num>
  <w:num w:numId="445" w16cid:durableId="2093508030">
    <w:abstractNumId w:val="106"/>
  </w:num>
  <w:num w:numId="446" w16cid:durableId="1627656079">
    <w:abstractNumId w:val="132"/>
  </w:num>
  <w:num w:numId="447" w16cid:durableId="1820070310">
    <w:abstractNumId w:val="92"/>
  </w:num>
  <w:num w:numId="448" w16cid:durableId="502359331">
    <w:abstractNumId w:val="6"/>
  </w:num>
  <w:num w:numId="449" w16cid:durableId="1708336671">
    <w:abstractNumId w:val="177"/>
  </w:num>
  <w:num w:numId="450" w16cid:durableId="2013331505">
    <w:abstractNumId w:val="30"/>
  </w:num>
  <w:num w:numId="451" w16cid:durableId="1129317941">
    <w:abstractNumId w:val="78"/>
  </w:num>
  <w:num w:numId="452" w16cid:durableId="1372849638">
    <w:abstractNumId w:val="39"/>
  </w:num>
  <w:num w:numId="453" w16cid:durableId="1031031252">
    <w:abstractNumId w:val="110"/>
  </w:num>
  <w:num w:numId="454" w16cid:durableId="1216813486">
    <w:abstractNumId w:val="90"/>
  </w:num>
  <w:num w:numId="455" w16cid:durableId="733889482">
    <w:abstractNumId w:val="13"/>
  </w:num>
  <w:num w:numId="456" w16cid:durableId="537553459">
    <w:abstractNumId w:val="116"/>
  </w:num>
  <w:num w:numId="457" w16cid:durableId="1219584156">
    <w:abstractNumId w:val="175"/>
  </w:num>
  <w:num w:numId="458" w16cid:durableId="581914720">
    <w:abstractNumId w:val="44"/>
  </w:num>
  <w:num w:numId="459" w16cid:durableId="1778793118">
    <w:abstractNumId w:val="70"/>
  </w:num>
  <w:num w:numId="460" w16cid:durableId="1086078986">
    <w:abstractNumId w:val="122"/>
  </w:num>
  <w:num w:numId="461" w16cid:durableId="1603606160">
    <w:abstractNumId w:val="96"/>
  </w:num>
  <w:num w:numId="462" w16cid:durableId="1641959655">
    <w:abstractNumId w:val="51"/>
    <w:lvlOverride w:ilvl="0">
      <w:startOverride w:val="1"/>
    </w:lvlOverride>
  </w:num>
  <w:num w:numId="463" w16cid:durableId="1826967198">
    <w:abstractNumId w:val="51"/>
    <w:lvlOverride w:ilvl="0">
      <w:startOverride w:val="1"/>
    </w:lvlOverride>
  </w:num>
  <w:num w:numId="464" w16cid:durableId="829832589">
    <w:abstractNumId w:val="51"/>
    <w:lvlOverride w:ilvl="0">
      <w:startOverride w:val="1"/>
    </w:lvlOverride>
  </w:num>
  <w:num w:numId="465" w16cid:durableId="1122575195">
    <w:abstractNumId w:val="51"/>
    <w:lvlOverride w:ilvl="0">
      <w:startOverride w:val="1"/>
    </w:lvlOverride>
  </w:num>
  <w:num w:numId="466" w16cid:durableId="10244048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1116484268">
    <w:abstractNumId w:val="141"/>
  </w:num>
  <w:num w:numId="468" w16cid:durableId="978336961">
    <w:abstractNumId w:val="51"/>
    <w:lvlOverride w:ilvl="0">
      <w:startOverride w:val="1"/>
    </w:lvlOverride>
  </w:num>
  <w:num w:numId="469" w16cid:durableId="1587106423">
    <w:abstractNumId w:val="194"/>
  </w:num>
  <w:num w:numId="470" w16cid:durableId="977495268">
    <w:abstractNumId w:val="112"/>
  </w:num>
  <w:num w:numId="471" w16cid:durableId="595286092">
    <w:abstractNumId w:val="49"/>
  </w:num>
  <w:num w:numId="472" w16cid:durableId="515507786">
    <w:abstractNumId w:val="107"/>
  </w:num>
  <w:num w:numId="473" w16cid:durableId="1313951780">
    <w:abstractNumId w:val="190"/>
  </w:num>
  <w:num w:numId="474" w16cid:durableId="53895341">
    <w:abstractNumId w:val="46"/>
  </w:num>
  <w:num w:numId="475" w16cid:durableId="526911852">
    <w:abstractNumId w:val="75"/>
  </w:num>
  <w:num w:numId="476" w16cid:durableId="323051133">
    <w:abstractNumId w:val="46"/>
    <w:lvlOverride w:ilvl="0">
      <w:startOverride w:val="1"/>
    </w:lvlOverride>
  </w:num>
  <w:num w:numId="477" w16cid:durableId="1249457610">
    <w:abstractNumId w:val="154"/>
  </w:num>
  <w:num w:numId="478" w16cid:durableId="1177159952">
    <w:abstractNumId w:val="69"/>
  </w:num>
  <w:num w:numId="479" w16cid:durableId="434634929">
    <w:abstractNumId w:val="153"/>
  </w:num>
  <w:num w:numId="480" w16cid:durableId="1513494999">
    <w:abstractNumId w:val="104"/>
  </w:num>
  <w:num w:numId="481" w16cid:durableId="1917321761">
    <w:abstractNumId w:val="115"/>
  </w:num>
  <w:num w:numId="482" w16cid:durableId="2119182471">
    <w:abstractNumId w:val="60"/>
  </w:num>
  <w:num w:numId="483" w16cid:durableId="811407701">
    <w:abstractNumId w:val="63"/>
  </w:num>
  <w:num w:numId="484" w16cid:durableId="1626346907">
    <w:abstractNumId w:val="82"/>
  </w:num>
  <w:num w:numId="485" w16cid:durableId="2092702047">
    <w:abstractNumId w:val="126"/>
  </w:num>
  <w:num w:numId="486" w16cid:durableId="1290278484">
    <w:abstractNumId w:val="77"/>
  </w:num>
  <w:num w:numId="487" w16cid:durableId="1893031600">
    <w:abstractNumId w:val="1"/>
  </w:num>
  <w:num w:numId="488" w16cid:durableId="1850486344">
    <w:abstractNumId w:val="76"/>
  </w:num>
  <w:num w:numId="489" w16cid:durableId="1781874132">
    <w:abstractNumId w:val="45"/>
  </w:num>
  <w:num w:numId="490" w16cid:durableId="973295125">
    <w:abstractNumId w:val="95"/>
  </w:num>
  <w:num w:numId="491" w16cid:durableId="654919255">
    <w:abstractNumId w:val="176"/>
  </w:num>
  <w:num w:numId="492" w16cid:durableId="481043922">
    <w:abstractNumId w:val="193"/>
  </w:num>
  <w:num w:numId="493" w16cid:durableId="154611339">
    <w:abstractNumId w:val="127"/>
  </w:num>
  <w:num w:numId="494" w16cid:durableId="1087380980">
    <w:abstractNumId w:val="50"/>
  </w:num>
  <w:num w:numId="495" w16cid:durableId="1152722954">
    <w:abstractNumId w:val="25"/>
  </w:num>
  <w:num w:numId="496" w16cid:durableId="787896861">
    <w:abstractNumId w:val="41"/>
  </w:num>
  <w:num w:numId="497" w16cid:durableId="193228763">
    <w:abstractNumId w:val="16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157040041">
    <w:abstractNumId w:val="98"/>
  </w:num>
  <w:num w:numId="499" w16cid:durableId="1783678">
    <w:abstractNumId w:val="93"/>
  </w:num>
  <w:num w:numId="500" w16cid:durableId="705907240">
    <w:abstractNumId w:val="15"/>
  </w:num>
  <w:num w:numId="501" w16cid:durableId="1600599737">
    <w:abstractNumId w:val="32"/>
  </w:num>
  <w:num w:numId="502" w16cid:durableId="159276530">
    <w:abstractNumId w:val="65"/>
  </w:num>
  <w:num w:numId="503" w16cid:durableId="2091542492">
    <w:abstractNumId w:val="89"/>
  </w:num>
  <w:num w:numId="504" w16cid:durableId="1364669178">
    <w:abstractNumId w:val="161"/>
  </w:num>
  <w:num w:numId="505" w16cid:durableId="1186482140">
    <w:abstractNumId w:val="31"/>
  </w:num>
  <w:num w:numId="506" w16cid:durableId="665475733">
    <w:abstractNumId w:val="109"/>
  </w:num>
  <w:num w:numId="507" w16cid:durableId="1030643413">
    <w:abstractNumId w:val="151"/>
  </w:num>
  <w:num w:numId="508" w16cid:durableId="1930887802">
    <w:abstractNumId w:val="61"/>
  </w:num>
  <w:num w:numId="509" w16cid:durableId="1666973894">
    <w:abstractNumId w:val="170"/>
  </w:num>
  <w:num w:numId="510" w16cid:durableId="1902330976">
    <w:abstractNumId w:val="197"/>
  </w:num>
  <w:num w:numId="511" w16cid:durableId="1669020376">
    <w:abstractNumId w:val="47"/>
  </w:num>
  <w:num w:numId="512" w16cid:durableId="361129316">
    <w:abstractNumId w:val="4"/>
  </w:num>
  <w:num w:numId="513" w16cid:durableId="1985550145">
    <w:abstractNumId w:val="173"/>
  </w:num>
  <w:num w:numId="514" w16cid:durableId="227345083">
    <w:abstractNumId w:val="123"/>
  </w:num>
  <w:num w:numId="515" w16cid:durableId="245698707">
    <w:abstractNumId w:val="180"/>
  </w:num>
  <w:num w:numId="516" w16cid:durableId="1781946867">
    <w:abstractNumId w:val="17"/>
  </w:num>
  <w:num w:numId="517" w16cid:durableId="83262496">
    <w:abstractNumId w:val="124"/>
  </w:num>
  <w:num w:numId="518" w16cid:durableId="339940461">
    <w:abstractNumId w:val="59"/>
  </w:num>
  <w:num w:numId="519" w16cid:durableId="1667396414">
    <w:abstractNumId w:val="159"/>
  </w:num>
  <w:num w:numId="520" w16cid:durableId="1962495745">
    <w:abstractNumId w:val="58"/>
  </w:num>
  <w:num w:numId="521" w16cid:durableId="1208296146">
    <w:abstractNumId w:val="150"/>
  </w:num>
  <w:num w:numId="522" w16cid:durableId="2086998420">
    <w:abstractNumId w:val="169"/>
  </w:num>
  <w:num w:numId="523" w16cid:durableId="999230511">
    <w:abstractNumId w:val="199"/>
  </w:num>
  <w:num w:numId="524" w16cid:durableId="962156035">
    <w:abstractNumId w:val="55"/>
  </w:num>
  <w:num w:numId="525" w16cid:durableId="537595376">
    <w:abstractNumId w:val="94"/>
  </w:num>
  <w:num w:numId="526" w16cid:durableId="1650204839">
    <w:abstractNumId w:val="192"/>
  </w:num>
  <w:num w:numId="527" w16cid:durableId="608045569">
    <w:abstractNumId w:val="138"/>
  </w:num>
  <w:num w:numId="528" w16cid:durableId="163404294">
    <w:abstractNumId w:val="103"/>
  </w:num>
  <w:num w:numId="529" w16cid:durableId="2041473155">
    <w:abstractNumId w:val="198"/>
  </w:num>
  <w:num w:numId="530" w16cid:durableId="191847029">
    <w:abstractNumId w:val="9"/>
  </w:num>
  <w:num w:numId="531" w16cid:durableId="819350946">
    <w:abstractNumId w:val="64"/>
  </w:num>
  <w:num w:numId="532" w16cid:durableId="533159634">
    <w:abstractNumId w:val="40"/>
  </w:num>
  <w:num w:numId="533" w16cid:durableId="1070075885">
    <w:abstractNumId w:val="14"/>
  </w:num>
  <w:num w:numId="534" w16cid:durableId="1764642997">
    <w:abstractNumId w:val="26"/>
  </w:num>
  <w:num w:numId="535" w16cid:durableId="687484437">
    <w:abstractNumId w:val="179"/>
  </w:num>
  <w:num w:numId="536" w16cid:durableId="1238058582">
    <w:abstractNumId w:val="121"/>
  </w:num>
  <w:num w:numId="537" w16cid:durableId="1856535245">
    <w:abstractNumId w:val="146"/>
  </w:num>
  <w:num w:numId="538" w16cid:durableId="497504686">
    <w:abstractNumId w:val="158"/>
  </w:num>
  <w:num w:numId="539" w16cid:durableId="231547220">
    <w:abstractNumId w:val="117"/>
  </w:num>
  <w:num w:numId="540" w16cid:durableId="1337732362">
    <w:abstractNumId w:val="133"/>
  </w:num>
  <w:num w:numId="541" w16cid:durableId="1659071852">
    <w:abstractNumId w:val="108"/>
  </w:num>
  <w:num w:numId="542" w16cid:durableId="1901943194">
    <w:abstractNumId w:val="156"/>
  </w:num>
  <w:num w:numId="543" w16cid:durableId="1482497879">
    <w:abstractNumId w:val="19"/>
  </w:num>
  <w:num w:numId="544" w16cid:durableId="1383283103">
    <w:abstractNumId w:val="155"/>
  </w:num>
  <w:num w:numId="545" w16cid:durableId="1432630525">
    <w:abstractNumId w:val="125"/>
  </w:num>
  <w:num w:numId="546" w16cid:durableId="232160883">
    <w:abstractNumId w:val="62"/>
  </w:num>
  <w:num w:numId="547" w16cid:durableId="1487624704">
    <w:abstractNumId w:val="0"/>
  </w:num>
  <w:numIdMacAtCleanup w:val="5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57"/>
    <w:rsid w:val="0000041E"/>
    <w:rsid w:val="00000A83"/>
    <w:rsid w:val="00000E17"/>
    <w:rsid w:val="000011FD"/>
    <w:rsid w:val="0000133A"/>
    <w:rsid w:val="00001379"/>
    <w:rsid w:val="00001762"/>
    <w:rsid w:val="0000190D"/>
    <w:rsid w:val="00001F66"/>
    <w:rsid w:val="0000249D"/>
    <w:rsid w:val="000024AB"/>
    <w:rsid w:val="0000289E"/>
    <w:rsid w:val="00002EED"/>
    <w:rsid w:val="00003010"/>
    <w:rsid w:val="000031E3"/>
    <w:rsid w:val="000032A0"/>
    <w:rsid w:val="000034D5"/>
    <w:rsid w:val="000038A1"/>
    <w:rsid w:val="00004541"/>
    <w:rsid w:val="00004A6E"/>
    <w:rsid w:val="00005006"/>
    <w:rsid w:val="0000537D"/>
    <w:rsid w:val="000059E8"/>
    <w:rsid w:val="00005BED"/>
    <w:rsid w:val="00005D01"/>
    <w:rsid w:val="00005DAA"/>
    <w:rsid w:val="00005FB0"/>
    <w:rsid w:val="0000617F"/>
    <w:rsid w:val="0000621B"/>
    <w:rsid w:val="00006472"/>
    <w:rsid w:val="000066E7"/>
    <w:rsid w:val="0000682E"/>
    <w:rsid w:val="00006840"/>
    <w:rsid w:val="00006E56"/>
    <w:rsid w:val="000070CF"/>
    <w:rsid w:val="00007324"/>
    <w:rsid w:val="0000777C"/>
    <w:rsid w:val="00007A61"/>
    <w:rsid w:val="00007AB3"/>
    <w:rsid w:val="00007E52"/>
    <w:rsid w:val="0001010D"/>
    <w:rsid w:val="00010695"/>
    <w:rsid w:val="00011004"/>
    <w:rsid w:val="0001152E"/>
    <w:rsid w:val="00011670"/>
    <w:rsid w:val="00011B45"/>
    <w:rsid w:val="000125CD"/>
    <w:rsid w:val="000127A1"/>
    <w:rsid w:val="00012B25"/>
    <w:rsid w:val="0001313A"/>
    <w:rsid w:val="0001355A"/>
    <w:rsid w:val="00013562"/>
    <w:rsid w:val="0001383F"/>
    <w:rsid w:val="000138A4"/>
    <w:rsid w:val="00013B5B"/>
    <w:rsid w:val="00013C33"/>
    <w:rsid w:val="00013D70"/>
    <w:rsid w:val="0001400A"/>
    <w:rsid w:val="0001435C"/>
    <w:rsid w:val="000145FF"/>
    <w:rsid w:val="0001494D"/>
    <w:rsid w:val="0001513D"/>
    <w:rsid w:val="00015868"/>
    <w:rsid w:val="00015ECB"/>
    <w:rsid w:val="00016075"/>
    <w:rsid w:val="00016142"/>
    <w:rsid w:val="000162FC"/>
    <w:rsid w:val="00016379"/>
    <w:rsid w:val="0001657F"/>
    <w:rsid w:val="000167F4"/>
    <w:rsid w:val="0001691C"/>
    <w:rsid w:val="000169C9"/>
    <w:rsid w:val="000169FD"/>
    <w:rsid w:val="00016CDD"/>
    <w:rsid w:val="000171EB"/>
    <w:rsid w:val="00017477"/>
    <w:rsid w:val="000175A4"/>
    <w:rsid w:val="0001794B"/>
    <w:rsid w:val="00017A48"/>
    <w:rsid w:val="00017C28"/>
    <w:rsid w:val="00017DA7"/>
    <w:rsid w:val="00017E16"/>
    <w:rsid w:val="00017F6E"/>
    <w:rsid w:val="00017FA1"/>
    <w:rsid w:val="00017FBD"/>
    <w:rsid w:val="00020396"/>
    <w:rsid w:val="00020602"/>
    <w:rsid w:val="00020B90"/>
    <w:rsid w:val="00021089"/>
    <w:rsid w:val="000211D9"/>
    <w:rsid w:val="00021418"/>
    <w:rsid w:val="00021443"/>
    <w:rsid w:val="000215CA"/>
    <w:rsid w:val="0002179D"/>
    <w:rsid w:val="00021D1A"/>
    <w:rsid w:val="00022852"/>
    <w:rsid w:val="00022C00"/>
    <w:rsid w:val="00022D81"/>
    <w:rsid w:val="000231B9"/>
    <w:rsid w:val="00023AD4"/>
    <w:rsid w:val="00023B6D"/>
    <w:rsid w:val="00023DE2"/>
    <w:rsid w:val="00023ED3"/>
    <w:rsid w:val="00024183"/>
    <w:rsid w:val="00024289"/>
    <w:rsid w:val="000243AE"/>
    <w:rsid w:val="000246D6"/>
    <w:rsid w:val="00024B24"/>
    <w:rsid w:val="00024DD7"/>
    <w:rsid w:val="00024DFB"/>
    <w:rsid w:val="00024E8C"/>
    <w:rsid w:val="00024FF7"/>
    <w:rsid w:val="00025154"/>
    <w:rsid w:val="0002531C"/>
    <w:rsid w:val="0002549E"/>
    <w:rsid w:val="00025677"/>
    <w:rsid w:val="00025733"/>
    <w:rsid w:val="00025A7A"/>
    <w:rsid w:val="00025AE4"/>
    <w:rsid w:val="00025BF8"/>
    <w:rsid w:val="0002607F"/>
    <w:rsid w:val="000260FD"/>
    <w:rsid w:val="00026108"/>
    <w:rsid w:val="0002610E"/>
    <w:rsid w:val="00026149"/>
    <w:rsid w:val="0002641A"/>
    <w:rsid w:val="0002645A"/>
    <w:rsid w:val="000267B8"/>
    <w:rsid w:val="00026874"/>
    <w:rsid w:val="000269B8"/>
    <w:rsid w:val="00026A69"/>
    <w:rsid w:val="00026AF4"/>
    <w:rsid w:val="00026B27"/>
    <w:rsid w:val="00026B5E"/>
    <w:rsid w:val="00026E3A"/>
    <w:rsid w:val="000270FD"/>
    <w:rsid w:val="000271FB"/>
    <w:rsid w:val="000275C2"/>
    <w:rsid w:val="000277C0"/>
    <w:rsid w:val="00027B4C"/>
    <w:rsid w:val="00030252"/>
    <w:rsid w:val="000307C0"/>
    <w:rsid w:val="0003091D"/>
    <w:rsid w:val="00030B2E"/>
    <w:rsid w:val="00030CA3"/>
    <w:rsid w:val="00031191"/>
    <w:rsid w:val="000311EB"/>
    <w:rsid w:val="00031690"/>
    <w:rsid w:val="00031984"/>
    <w:rsid w:val="00032006"/>
    <w:rsid w:val="000320AA"/>
    <w:rsid w:val="000320BA"/>
    <w:rsid w:val="00032193"/>
    <w:rsid w:val="000322C5"/>
    <w:rsid w:val="000326A7"/>
    <w:rsid w:val="00032B40"/>
    <w:rsid w:val="00032FBB"/>
    <w:rsid w:val="00033D89"/>
    <w:rsid w:val="000340A1"/>
    <w:rsid w:val="00034258"/>
    <w:rsid w:val="0003481E"/>
    <w:rsid w:val="0003513F"/>
    <w:rsid w:val="000352EA"/>
    <w:rsid w:val="00035373"/>
    <w:rsid w:val="000358B1"/>
    <w:rsid w:val="000359D6"/>
    <w:rsid w:val="00035D53"/>
    <w:rsid w:val="0003600F"/>
    <w:rsid w:val="00036156"/>
    <w:rsid w:val="0003615D"/>
    <w:rsid w:val="0003620E"/>
    <w:rsid w:val="000365F2"/>
    <w:rsid w:val="00036A40"/>
    <w:rsid w:val="00036D1B"/>
    <w:rsid w:val="00036DF8"/>
    <w:rsid w:val="00036FF6"/>
    <w:rsid w:val="000370C0"/>
    <w:rsid w:val="00037601"/>
    <w:rsid w:val="000376D6"/>
    <w:rsid w:val="00037933"/>
    <w:rsid w:val="00037CBF"/>
    <w:rsid w:val="00037D3E"/>
    <w:rsid w:val="00040086"/>
    <w:rsid w:val="000405E7"/>
    <w:rsid w:val="00040AEC"/>
    <w:rsid w:val="00040C3E"/>
    <w:rsid w:val="00041034"/>
    <w:rsid w:val="00041422"/>
    <w:rsid w:val="0004154A"/>
    <w:rsid w:val="00041847"/>
    <w:rsid w:val="00041A59"/>
    <w:rsid w:val="0004231D"/>
    <w:rsid w:val="0004290A"/>
    <w:rsid w:val="00042A69"/>
    <w:rsid w:val="000435A7"/>
    <w:rsid w:val="00043642"/>
    <w:rsid w:val="00043840"/>
    <w:rsid w:val="00044060"/>
    <w:rsid w:val="00044070"/>
    <w:rsid w:val="000441AC"/>
    <w:rsid w:val="000443CB"/>
    <w:rsid w:val="00044702"/>
    <w:rsid w:val="00044C0B"/>
    <w:rsid w:val="00044C53"/>
    <w:rsid w:val="00044C58"/>
    <w:rsid w:val="00044C5C"/>
    <w:rsid w:val="00044C6D"/>
    <w:rsid w:val="00044FCF"/>
    <w:rsid w:val="00045189"/>
    <w:rsid w:val="00045272"/>
    <w:rsid w:val="00045366"/>
    <w:rsid w:val="000454AB"/>
    <w:rsid w:val="00045CFE"/>
    <w:rsid w:val="00046377"/>
    <w:rsid w:val="00046435"/>
    <w:rsid w:val="0004651A"/>
    <w:rsid w:val="00046708"/>
    <w:rsid w:val="000469E2"/>
    <w:rsid w:val="00046E1D"/>
    <w:rsid w:val="00046EB7"/>
    <w:rsid w:val="0004702D"/>
    <w:rsid w:val="000475CC"/>
    <w:rsid w:val="000477FD"/>
    <w:rsid w:val="0004784B"/>
    <w:rsid w:val="0004790A"/>
    <w:rsid w:val="00047E1B"/>
    <w:rsid w:val="00047FD1"/>
    <w:rsid w:val="000500F3"/>
    <w:rsid w:val="00050145"/>
    <w:rsid w:val="000502A4"/>
    <w:rsid w:val="0005038D"/>
    <w:rsid w:val="00050C31"/>
    <w:rsid w:val="00050CD5"/>
    <w:rsid w:val="00050D29"/>
    <w:rsid w:val="00050FE6"/>
    <w:rsid w:val="00051193"/>
    <w:rsid w:val="00051311"/>
    <w:rsid w:val="00051577"/>
    <w:rsid w:val="000516A9"/>
    <w:rsid w:val="000519E0"/>
    <w:rsid w:val="00051BC6"/>
    <w:rsid w:val="00051D41"/>
    <w:rsid w:val="00051E64"/>
    <w:rsid w:val="00052337"/>
    <w:rsid w:val="0005251E"/>
    <w:rsid w:val="00053073"/>
    <w:rsid w:val="000535F1"/>
    <w:rsid w:val="00053B04"/>
    <w:rsid w:val="00053B0E"/>
    <w:rsid w:val="00053C77"/>
    <w:rsid w:val="00053EBE"/>
    <w:rsid w:val="00053F86"/>
    <w:rsid w:val="000541C1"/>
    <w:rsid w:val="00054327"/>
    <w:rsid w:val="00054459"/>
    <w:rsid w:val="00054C7F"/>
    <w:rsid w:val="00055080"/>
    <w:rsid w:val="00055753"/>
    <w:rsid w:val="00055759"/>
    <w:rsid w:val="00055902"/>
    <w:rsid w:val="00056238"/>
    <w:rsid w:val="000564E4"/>
    <w:rsid w:val="00056511"/>
    <w:rsid w:val="000567FA"/>
    <w:rsid w:val="00057097"/>
    <w:rsid w:val="00057344"/>
    <w:rsid w:val="0005787D"/>
    <w:rsid w:val="00057BA6"/>
    <w:rsid w:val="00057C92"/>
    <w:rsid w:val="00057ED2"/>
    <w:rsid w:val="000607C7"/>
    <w:rsid w:val="0006083B"/>
    <w:rsid w:val="000609A3"/>
    <w:rsid w:val="00060AD0"/>
    <w:rsid w:val="00060E99"/>
    <w:rsid w:val="000612B3"/>
    <w:rsid w:val="000612F1"/>
    <w:rsid w:val="00061BE5"/>
    <w:rsid w:val="00061DBF"/>
    <w:rsid w:val="00061DF5"/>
    <w:rsid w:val="0006239C"/>
    <w:rsid w:val="00062845"/>
    <w:rsid w:val="00062CB2"/>
    <w:rsid w:val="00063464"/>
    <w:rsid w:val="000634E4"/>
    <w:rsid w:val="00063572"/>
    <w:rsid w:val="0006375C"/>
    <w:rsid w:val="00063820"/>
    <w:rsid w:val="00063847"/>
    <w:rsid w:val="00063A5B"/>
    <w:rsid w:val="0006410A"/>
    <w:rsid w:val="00064258"/>
    <w:rsid w:val="00064388"/>
    <w:rsid w:val="00064563"/>
    <w:rsid w:val="00064935"/>
    <w:rsid w:val="00064DB5"/>
    <w:rsid w:val="000651BC"/>
    <w:rsid w:val="000653B4"/>
    <w:rsid w:val="00065EBE"/>
    <w:rsid w:val="00066937"/>
    <w:rsid w:val="000669D5"/>
    <w:rsid w:val="00067032"/>
    <w:rsid w:val="0006712E"/>
    <w:rsid w:val="0006770C"/>
    <w:rsid w:val="000677D4"/>
    <w:rsid w:val="00067ECC"/>
    <w:rsid w:val="0007034F"/>
    <w:rsid w:val="00070AB8"/>
    <w:rsid w:val="00070B55"/>
    <w:rsid w:val="00071377"/>
    <w:rsid w:val="00071419"/>
    <w:rsid w:val="0007151F"/>
    <w:rsid w:val="000715B0"/>
    <w:rsid w:val="0007172D"/>
    <w:rsid w:val="0007187D"/>
    <w:rsid w:val="00071BC0"/>
    <w:rsid w:val="0007264A"/>
    <w:rsid w:val="000726BB"/>
    <w:rsid w:val="00072B6F"/>
    <w:rsid w:val="00072CBE"/>
    <w:rsid w:val="00072CE8"/>
    <w:rsid w:val="00072CFF"/>
    <w:rsid w:val="00073051"/>
    <w:rsid w:val="000730C5"/>
    <w:rsid w:val="000735BE"/>
    <w:rsid w:val="0007362E"/>
    <w:rsid w:val="00073733"/>
    <w:rsid w:val="000739A6"/>
    <w:rsid w:val="00073B08"/>
    <w:rsid w:val="00073D05"/>
    <w:rsid w:val="00073DBB"/>
    <w:rsid w:val="00073E29"/>
    <w:rsid w:val="00073EFB"/>
    <w:rsid w:val="00073FC4"/>
    <w:rsid w:val="000740B5"/>
    <w:rsid w:val="000740C8"/>
    <w:rsid w:val="000748AB"/>
    <w:rsid w:val="00074BCA"/>
    <w:rsid w:val="00074EAF"/>
    <w:rsid w:val="000752D4"/>
    <w:rsid w:val="000752E0"/>
    <w:rsid w:val="00075487"/>
    <w:rsid w:val="000755F9"/>
    <w:rsid w:val="00075720"/>
    <w:rsid w:val="00075740"/>
    <w:rsid w:val="000759ED"/>
    <w:rsid w:val="00075D12"/>
    <w:rsid w:val="00075DB6"/>
    <w:rsid w:val="000760F0"/>
    <w:rsid w:val="00076980"/>
    <w:rsid w:val="00076AC9"/>
    <w:rsid w:val="00077781"/>
    <w:rsid w:val="0007797E"/>
    <w:rsid w:val="00077BB2"/>
    <w:rsid w:val="00080360"/>
    <w:rsid w:val="000816F3"/>
    <w:rsid w:val="0008181E"/>
    <w:rsid w:val="00081F03"/>
    <w:rsid w:val="0008202B"/>
    <w:rsid w:val="000820B3"/>
    <w:rsid w:val="0008216A"/>
    <w:rsid w:val="00082768"/>
    <w:rsid w:val="0008282A"/>
    <w:rsid w:val="00082EB2"/>
    <w:rsid w:val="00082F89"/>
    <w:rsid w:val="0008312F"/>
    <w:rsid w:val="000831A4"/>
    <w:rsid w:val="0008321A"/>
    <w:rsid w:val="000838E8"/>
    <w:rsid w:val="00083E18"/>
    <w:rsid w:val="0008403E"/>
    <w:rsid w:val="0008423A"/>
    <w:rsid w:val="0008441D"/>
    <w:rsid w:val="000845E6"/>
    <w:rsid w:val="00084805"/>
    <w:rsid w:val="0008480B"/>
    <w:rsid w:val="00084819"/>
    <w:rsid w:val="00084E59"/>
    <w:rsid w:val="00084F6E"/>
    <w:rsid w:val="000852E7"/>
    <w:rsid w:val="00085382"/>
    <w:rsid w:val="0008540A"/>
    <w:rsid w:val="00085484"/>
    <w:rsid w:val="000854DA"/>
    <w:rsid w:val="00085698"/>
    <w:rsid w:val="00085929"/>
    <w:rsid w:val="00085AA3"/>
    <w:rsid w:val="00085D35"/>
    <w:rsid w:val="0008614E"/>
    <w:rsid w:val="0008626B"/>
    <w:rsid w:val="00086438"/>
    <w:rsid w:val="00086463"/>
    <w:rsid w:val="0008677B"/>
    <w:rsid w:val="00086C46"/>
    <w:rsid w:val="00086DA2"/>
    <w:rsid w:val="00086DC4"/>
    <w:rsid w:val="00086E14"/>
    <w:rsid w:val="00090193"/>
    <w:rsid w:val="000901AD"/>
    <w:rsid w:val="000904CA"/>
    <w:rsid w:val="00090544"/>
    <w:rsid w:val="00090752"/>
    <w:rsid w:val="000908BD"/>
    <w:rsid w:val="00090AF0"/>
    <w:rsid w:val="00090D04"/>
    <w:rsid w:val="00090F8A"/>
    <w:rsid w:val="00091009"/>
    <w:rsid w:val="00091110"/>
    <w:rsid w:val="00091196"/>
    <w:rsid w:val="000914D9"/>
    <w:rsid w:val="0009174B"/>
    <w:rsid w:val="00091C56"/>
    <w:rsid w:val="00091FF7"/>
    <w:rsid w:val="000923C8"/>
    <w:rsid w:val="000924F3"/>
    <w:rsid w:val="00092948"/>
    <w:rsid w:val="0009296C"/>
    <w:rsid w:val="00092C05"/>
    <w:rsid w:val="00092DCF"/>
    <w:rsid w:val="00093027"/>
    <w:rsid w:val="00093274"/>
    <w:rsid w:val="000934A9"/>
    <w:rsid w:val="00093570"/>
    <w:rsid w:val="0009397D"/>
    <w:rsid w:val="00093FC8"/>
    <w:rsid w:val="000940F2"/>
    <w:rsid w:val="00094310"/>
    <w:rsid w:val="000949E4"/>
    <w:rsid w:val="00094A1A"/>
    <w:rsid w:val="00094A66"/>
    <w:rsid w:val="00094D54"/>
    <w:rsid w:val="000953B1"/>
    <w:rsid w:val="0009543A"/>
    <w:rsid w:val="00095695"/>
    <w:rsid w:val="000957D1"/>
    <w:rsid w:val="0009584C"/>
    <w:rsid w:val="0009597E"/>
    <w:rsid w:val="00095B5B"/>
    <w:rsid w:val="00095C7D"/>
    <w:rsid w:val="00095EC7"/>
    <w:rsid w:val="00096060"/>
    <w:rsid w:val="00096280"/>
    <w:rsid w:val="00096B16"/>
    <w:rsid w:val="00096CC4"/>
    <w:rsid w:val="00096D47"/>
    <w:rsid w:val="00096D67"/>
    <w:rsid w:val="00096E2D"/>
    <w:rsid w:val="00096F4D"/>
    <w:rsid w:val="00097122"/>
    <w:rsid w:val="000972E1"/>
    <w:rsid w:val="0009770C"/>
    <w:rsid w:val="000977F7"/>
    <w:rsid w:val="000A00F0"/>
    <w:rsid w:val="000A021F"/>
    <w:rsid w:val="000A0265"/>
    <w:rsid w:val="000A06DB"/>
    <w:rsid w:val="000A13A4"/>
    <w:rsid w:val="000A1543"/>
    <w:rsid w:val="000A1604"/>
    <w:rsid w:val="000A160C"/>
    <w:rsid w:val="000A1852"/>
    <w:rsid w:val="000A1D5F"/>
    <w:rsid w:val="000A2109"/>
    <w:rsid w:val="000A217B"/>
    <w:rsid w:val="000A2201"/>
    <w:rsid w:val="000A244E"/>
    <w:rsid w:val="000A25C3"/>
    <w:rsid w:val="000A26BE"/>
    <w:rsid w:val="000A2986"/>
    <w:rsid w:val="000A2ABE"/>
    <w:rsid w:val="000A2B92"/>
    <w:rsid w:val="000A3034"/>
    <w:rsid w:val="000A32CC"/>
    <w:rsid w:val="000A338D"/>
    <w:rsid w:val="000A37DC"/>
    <w:rsid w:val="000A38CC"/>
    <w:rsid w:val="000A3A96"/>
    <w:rsid w:val="000A3C3F"/>
    <w:rsid w:val="000A45D8"/>
    <w:rsid w:val="000A489C"/>
    <w:rsid w:val="000A495D"/>
    <w:rsid w:val="000A5067"/>
    <w:rsid w:val="000A542E"/>
    <w:rsid w:val="000A5747"/>
    <w:rsid w:val="000A5910"/>
    <w:rsid w:val="000A5A0B"/>
    <w:rsid w:val="000A5C32"/>
    <w:rsid w:val="000A5E7B"/>
    <w:rsid w:val="000A62E9"/>
    <w:rsid w:val="000A635F"/>
    <w:rsid w:val="000A6640"/>
    <w:rsid w:val="000A772B"/>
    <w:rsid w:val="000A7AB0"/>
    <w:rsid w:val="000A7EDB"/>
    <w:rsid w:val="000B006A"/>
    <w:rsid w:val="000B026E"/>
    <w:rsid w:val="000B034E"/>
    <w:rsid w:val="000B06D3"/>
    <w:rsid w:val="000B118B"/>
    <w:rsid w:val="000B135A"/>
    <w:rsid w:val="000B13AD"/>
    <w:rsid w:val="000B16D4"/>
    <w:rsid w:val="000B1744"/>
    <w:rsid w:val="000B2CDA"/>
    <w:rsid w:val="000B2CFA"/>
    <w:rsid w:val="000B31E9"/>
    <w:rsid w:val="000B3826"/>
    <w:rsid w:val="000B3984"/>
    <w:rsid w:val="000B3D66"/>
    <w:rsid w:val="000B4132"/>
    <w:rsid w:val="000B4257"/>
    <w:rsid w:val="000B429B"/>
    <w:rsid w:val="000B4415"/>
    <w:rsid w:val="000B4446"/>
    <w:rsid w:val="000B47AE"/>
    <w:rsid w:val="000B4870"/>
    <w:rsid w:val="000B4997"/>
    <w:rsid w:val="000B49E3"/>
    <w:rsid w:val="000B49E4"/>
    <w:rsid w:val="000B4A84"/>
    <w:rsid w:val="000B52A7"/>
    <w:rsid w:val="000B5421"/>
    <w:rsid w:val="000B54E0"/>
    <w:rsid w:val="000B5597"/>
    <w:rsid w:val="000B58B3"/>
    <w:rsid w:val="000B5B2B"/>
    <w:rsid w:val="000B5BF3"/>
    <w:rsid w:val="000B6025"/>
    <w:rsid w:val="000B6323"/>
    <w:rsid w:val="000B6385"/>
    <w:rsid w:val="000B63F2"/>
    <w:rsid w:val="000B64BC"/>
    <w:rsid w:val="000B672F"/>
    <w:rsid w:val="000B6803"/>
    <w:rsid w:val="000B68F1"/>
    <w:rsid w:val="000B70DC"/>
    <w:rsid w:val="000B781D"/>
    <w:rsid w:val="000B7A31"/>
    <w:rsid w:val="000B7E2A"/>
    <w:rsid w:val="000C005E"/>
    <w:rsid w:val="000C03FE"/>
    <w:rsid w:val="000C047D"/>
    <w:rsid w:val="000C0A0A"/>
    <w:rsid w:val="000C100F"/>
    <w:rsid w:val="000C107B"/>
    <w:rsid w:val="000C1103"/>
    <w:rsid w:val="000C16A2"/>
    <w:rsid w:val="000C1866"/>
    <w:rsid w:val="000C191B"/>
    <w:rsid w:val="000C1AEB"/>
    <w:rsid w:val="000C1BC6"/>
    <w:rsid w:val="000C220F"/>
    <w:rsid w:val="000C22BB"/>
    <w:rsid w:val="000C25F3"/>
    <w:rsid w:val="000C276E"/>
    <w:rsid w:val="000C2F28"/>
    <w:rsid w:val="000C344B"/>
    <w:rsid w:val="000C370F"/>
    <w:rsid w:val="000C456C"/>
    <w:rsid w:val="000C4A79"/>
    <w:rsid w:val="000C4F93"/>
    <w:rsid w:val="000C53CC"/>
    <w:rsid w:val="000C5EE6"/>
    <w:rsid w:val="000C6025"/>
    <w:rsid w:val="000C6122"/>
    <w:rsid w:val="000C682C"/>
    <w:rsid w:val="000C6905"/>
    <w:rsid w:val="000C6CDF"/>
    <w:rsid w:val="000C6D4D"/>
    <w:rsid w:val="000C7BD9"/>
    <w:rsid w:val="000C7E73"/>
    <w:rsid w:val="000D0035"/>
    <w:rsid w:val="000D01A3"/>
    <w:rsid w:val="000D04B3"/>
    <w:rsid w:val="000D060A"/>
    <w:rsid w:val="000D0704"/>
    <w:rsid w:val="000D0908"/>
    <w:rsid w:val="000D0C63"/>
    <w:rsid w:val="000D0F40"/>
    <w:rsid w:val="000D1104"/>
    <w:rsid w:val="000D1151"/>
    <w:rsid w:val="000D137E"/>
    <w:rsid w:val="000D139D"/>
    <w:rsid w:val="000D14C2"/>
    <w:rsid w:val="000D154C"/>
    <w:rsid w:val="000D189A"/>
    <w:rsid w:val="000D1922"/>
    <w:rsid w:val="000D193A"/>
    <w:rsid w:val="000D1D3A"/>
    <w:rsid w:val="000D24B9"/>
    <w:rsid w:val="000D26AC"/>
    <w:rsid w:val="000D26F1"/>
    <w:rsid w:val="000D2C46"/>
    <w:rsid w:val="000D3050"/>
    <w:rsid w:val="000D30CF"/>
    <w:rsid w:val="000D321B"/>
    <w:rsid w:val="000D32E6"/>
    <w:rsid w:val="000D34D6"/>
    <w:rsid w:val="000D364C"/>
    <w:rsid w:val="000D3927"/>
    <w:rsid w:val="000D3983"/>
    <w:rsid w:val="000D3AA7"/>
    <w:rsid w:val="000D3FB0"/>
    <w:rsid w:val="000D435E"/>
    <w:rsid w:val="000D46A8"/>
    <w:rsid w:val="000D4910"/>
    <w:rsid w:val="000D49BE"/>
    <w:rsid w:val="000D5157"/>
    <w:rsid w:val="000D58A5"/>
    <w:rsid w:val="000D590D"/>
    <w:rsid w:val="000D5AF4"/>
    <w:rsid w:val="000D5F73"/>
    <w:rsid w:val="000D5FF6"/>
    <w:rsid w:val="000D6131"/>
    <w:rsid w:val="000D614E"/>
    <w:rsid w:val="000D62D7"/>
    <w:rsid w:val="000D6375"/>
    <w:rsid w:val="000D63E3"/>
    <w:rsid w:val="000D645C"/>
    <w:rsid w:val="000D6478"/>
    <w:rsid w:val="000D69A5"/>
    <w:rsid w:val="000D775B"/>
    <w:rsid w:val="000D79C5"/>
    <w:rsid w:val="000D7B11"/>
    <w:rsid w:val="000D7B62"/>
    <w:rsid w:val="000D7F8A"/>
    <w:rsid w:val="000E04B2"/>
    <w:rsid w:val="000E0821"/>
    <w:rsid w:val="000E0BC4"/>
    <w:rsid w:val="000E0C77"/>
    <w:rsid w:val="000E10C3"/>
    <w:rsid w:val="000E1160"/>
    <w:rsid w:val="000E122F"/>
    <w:rsid w:val="000E12A6"/>
    <w:rsid w:val="000E1BE8"/>
    <w:rsid w:val="000E1CEC"/>
    <w:rsid w:val="000E231A"/>
    <w:rsid w:val="000E343D"/>
    <w:rsid w:val="000E35C2"/>
    <w:rsid w:val="000E3630"/>
    <w:rsid w:val="000E36CC"/>
    <w:rsid w:val="000E3770"/>
    <w:rsid w:val="000E3A66"/>
    <w:rsid w:val="000E3B21"/>
    <w:rsid w:val="000E3D88"/>
    <w:rsid w:val="000E3FB2"/>
    <w:rsid w:val="000E3FC6"/>
    <w:rsid w:val="000E40AE"/>
    <w:rsid w:val="000E44AD"/>
    <w:rsid w:val="000E45C9"/>
    <w:rsid w:val="000E4689"/>
    <w:rsid w:val="000E46E1"/>
    <w:rsid w:val="000E4833"/>
    <w:rsid w:val="000E4C6E"/>
    <w:rsid w:val="000E4D1E"/>
    <w:rsid w:val="000E4F5D"/>
    <w:rsid w:val="000E517B"/>
    <w:rsid w:val="000E538C"/>
    <w:rsid w:val="000E576C"/>
    <w:rsid w:val="000E5960"/>
    <w:rsid w:val="000E5AB5"/>
    <w:rsid w:val="000E5C04"/>
    <w:rsid w:val="000E5D3F"/>
    <w:rsid w:val="000E5DBA"/>
    <w:rsid w:val="000E5DD4"/>
    <w:rsid w:val="000E5EFD"/>
    <w:rsid w:val="000E6256"/>
    <w:rsid w:val="000E62A8"/>
    <w:rsid w:val="000E6B49"/>
    <w:rsid w:val="000E6B5D"/>
    <w:rsid w:val="000E7064"/>
    <w:rsid w:val="000E7575"/>
    <w:rsid w:val="000E7686"/>
    <w:rsid w:val="000E787D"/>
    <w:rsid w:val="000E7CA5"/>
    <w:rsid w:val="000E7F85"/>
    <w:rsid w:val="000E7FC9"/>
    <w:rsid w:val="000F0058"/>
    <w:rsid w:val="000F08CF"/>
    <w:rsid w:val="000F0973"/>
    <w:rsid w:val="000F0CB6"/>
    <w:rsid w:val="000F1A35"/>
    <w:rsid w:val="000F1BBD"/>
    <w:rsid w:val="000F1E96"/>
    <w:rsid w:val="000F20AB"/>
    <w:rsid w:val="000F2213"/>
    <w:rsid w:val="000F235D"/>
    <w:rsid w:val="000F246F"/>
    <w:rsid w:val="000F2DC1"/>
    <w:rsid w:val="000F31ED"/>
    <w:rsid w:val="000F33B3"/>
    <w:rsid w:val="000F34E6"/>
    <w:rsid w:val="000F3518"/>
    <w:rsid w:val="000F39E9"/>
    <w:rsid w:val="000F3D1D"/>
    <w:rsid w:val="000F3FF9"/>
    <w:rsid w:val="000F463B"/>
    <w:rsid w:val="000F4816"/>
    <w:rsid w:val="000F4821"/>
    <w:rsid w:val="000F4844"/>
    <w:rsid w:val="000F49CB"/>
    <w:rsid w:val="000F4DAA"/>
    <w:rsid w:val="000F555E"/>
    <w:rsid w:val="000F56DD"/>
    <w:rsid w:val="000F570C"/>
    <w:rsid w:val="000F5843"/>
    <w:rsid w:val="000F587B"/>
    <w:rsid w:val="000F599D"/>
    <w:rsid w:val="000F5A2B"/>
    <w:rsid w:val="000F5A9E"/>
    <w:rsid w:val="000F5C5D"/>
    <w:rsid w:val="000F5CC9"/>
    <w:rsid w:val="000F6477"/>
    <w:rsid w:val="000F66C0"/>
    <w:rsid w:val="000F6757"/>
    <w:rsid w:val="000F6828"/>
    <w:rsid w:val="000F6945"/>
    <w:rsid w:val="000F6970"/>
    <w:rsid w:val="000F6ABD"/>
    <w:rsid w:val="000F6ACB"/>
    <w:rsid w:val="000F6BF5"/>
    <w:rsid w:val="000F6FED"/>
    <w:rsid w:val="000F7009"/>
    <w:rsid w:val="000F76CE"/>
    <w:rsid w:val="000F78EA"/>
    <w:rsid w:val="00100326"/>
    <w:rsid w:val="00100436"/>
    <w:rsid w:val="001006AB"/>
    <w:rsid w:val="001007E0"/>
    <w:rsid w:val="00100868"/>
    <w:rsid w:val="00100D6E"/>
    <w:rsid w:val="00100F20"/>
    <w:rsid w:val="0010129B"/>
    <w:rsid w:val="001013E5"/>
    <w:rsid w:val="00101FE8"/>
    <w:rsid w:val="0010209E"/>
    <w:rsid w:val="0010230B"/>
    <w:rsid w:val="001028AC"/>
    <w:rsid w:val="00102A90"/>
    <w:rsid w:val="00102B2D"/>
    <w:rsid w:val="0010394C"/>
    <w:rsid w:val="00103B17"/>
    <w:rsid w:val="00103D51"/>
    <w:rsid w:val="00103EE6"/>
    <w:rsid w:val="00103FE3"/>
    <w:rsid w:val="001047B5"/>
    <w:rsid w:val="0010485A"/>
    <w:rsid w:val="00104996"/>
    <w:rsid w:val="00104E0E"/>
    <w:rsid w:val="00105036"/>
    <w:rsid w:val="001052AD"/>
    <w:rsid w:val="00105305"/>
    <w:rsid w:val="0010548F"/>
    <w:rsid w:val="001057FD"/>
    <w:rsid w:val="00105971"/>
    <w:rsid w:val="00105995"/>
    <w:rsid w:val="00105AF1"/>
    <w:rsid w:val="00105C6E"/>
    <w:rsid w:val="00106145"/>
    <w:rsid w:val="00106156"/>
    <w:rsid w:val="0010616A"/>
    <w:rsid w:val="001067B4"/>
    <w:rsid w:val="00106E08"/>
    <w:rsid w:val="00106E3F"/>
    <w:rsid w:val="001070E9"/>
    <w:rsid w:val="001079F5"/>
    <w:rsid w:val="00107EEC"/>
    <w:rsid w:val="00107F5C"/>
    <w:rsid w:val="00107F90"/>
    <w:rsid w:val="00107FB5"/>
    <w:rsid w:val="0011001B"/>
    <w:rsid w:val="0011045F"/>
    <w:rsid w:val="00110522"/>
    <w:rsid w:val="00110688"/>
    <w:rsid w:val="00110698"/>
    <w:rsid w:val="00110A8D"/>
    <w:rsid w:val="00110B10"/>
    <w:rsid w:val="00110F5D"/>
    <w:rsid w:val="00111185"/>
    <w:rsid w:val="00111224"/>
    <w:rsid w:val="0011138C"/>
    <w:rsid w:val="00111426"/>
    <w:rsid w:val="001114D9"/>
    <w:rsid w:val="00111762"/>
    <w:rsid w:val="00112078"/>
    <w:rsid w:val="00112309"/>
    <w:rsid w:val="001128A5"/>
    <w:rsid w:val="00112E12"/>
    <w:rsid w:val="00112E75"/>
    <w:rsid w:val="001133CB"/>
    <w:rsid w:val="0011359A"/>
    <w:rsid w:val="001136D0"/>
    <w:rsid w:val="00113925"/>
    <w:rsid w:val="00113A91"/>
    <w:rsid w:val="00113AFA"/>
    <w:rsid w:val="00113B85"/>
    <w:rsid w:val="00113C87"/>
    <w:rsid w:val="00113D89"/>
    <w:rsid w:val="001146AF"/>
    <w:rsid w:val="001148F8"/>
    <w:rsid w:val="00114EC4"/>
    <w:rsid w:val="00114FE1"/>
    <w:rsid w:val="00115047"/>
    <w:rsid w:val="00115075"/>
    <w:rsid w:val="0011515A"/>
    <w:rsid w:val="001151EB"/>
    <w:rsid w:val="001153B1"/>
    <w:rsid w:val="00115519"/>
    <w:rsid w:val="00115691"/>
    <w:rsid w:val="001156C3"/>
    <w:rsid w:val="001158FF"/>
    <w:rsid w:val="00115940"/>
    <w:rsid w:val="00115BCE"/>
    <w:rsid w:val="00115CB0"/>
    <w:rsid w:val="00115FA6"/>
    <w:rsid w:val="00116497"/>
    <w:rsid w:val="001165A8"/>
    <w:rsid w:val="001165DC"/>
    <w:rsid w:val="001167DC"/>
    <w:rsid w:val="0011692D"/>
    <w:rsid w:val="00116CF5"/>
    <w:rsid w:val="00117080"/>
    <w:rsid w:val="001170BA"/>
    <w:rsid w:val="001171EE"/>
    <w:rsid w:val="0012059B"/>
    <w:rsid w:val="001205AC"/>
    <w:rsid w:val="00120652"/>
    <w:rsid w:val="00120A27"/>
    <w:rsid w:val="00120A55"/>
    <w:rsid w:val="00120A95"/>
    <w:rsid w:val="00120D7C"/>
    <w:rsid w:val="00120F81"/>
    <w:rsid w:val="00121477"/>
    <w:rsid w:val="001217B1"/>
    <w:rsid w:val="00121C2E"/>
    <w:rsid w:val="00121EEB"/>
    <w:rsid w:val="00122146"/>
    <w:rsid w:val="001221A3"/>
    <w:rsid w:val="00122302"/>
    <w:rsid w:val="001223AE"/>
    <w:rsid w:val="001224E7"/>
    <w:rsid w:val="0012291C"/>
    <w:rsid w:val="00122A5F"/>
    <w:rsid w:val="00122DCE"/>
    <w:rsid w:val="00122FC8"/>
    <w:rsid w:val="0012317D"/>
    <w:rsid w:val="0012320B"/>
    <w:rsid w:val="0012339C"/>
    <w:rsid w:val="00123DE2"/>
    <w:rsid w:val="0012400A"/>
    <w:rsid w:val="00124531"/>
    <w:rsid w:val="00124AFA"/>
    <w:rsid w:val="00124E7F"/>
    <w:rsid w:val="001251B8"/>
    <w:rsid w:val="001256F4"/>
    <w:rsid w:val="0012604D"/>
    <w:rsid w:val="0012608A"/>
    <w:rsid w:val="001263AD"/>
    <w:rsid w:val="001265CC"/>
    <w:rsid w:val="00126655"/>
    <w:rsid w:val="00126707"/>
    <w:rsid w:val="00126738"/>
    <w:rsid w:val="00126FFF"/>
    <w:rsid w:val="0012708F"/>
    <w:rsid w:val="00127223"/>
    <w:rsid w:val="0012744A"/>
    <w:rsid w:val="00127E8C"/>
    <w:rsid w:val="001302C5"/>
    <w:rsid w:val="001302CD"/>
    <w:rsid w:val="001303D6"/>
    <w:rsid w:val="001304B2"/>
    <w:rsid w:val="001305B5"/>
    <w:rsid w:val="0013068B"/>
    <w:rsid w:val="00130C7A"/>
    <w:rsid w:val="00130C94"/>
    <w:rsid w:val="00130CD4"/>
    <w:rsid w:val="00131360"/>
    <w:rsid w:val="00131514"/>
    <w:rsid w:val="0013163C"/>
    <w:rsid w:val="0013179D"/>
    <w:rsid w:val="00131AA7"/>
    <w:rsid w:val="00131AC4"/>
    <w:rsid w:val="00131B39"/>
    <w:rsid w:val="0013201D"/>
    <w:rsid w:val="00132990"/>
    <w:rsid w:val="00132C58"/>
    <w:rsid w:val="001331D0"/>
    <w:rsid w:val="001337D6"/>
    <w:rsid w:val="00133B28"/>
    <w:rsid w:val="00133B37"/>
    <w:rsid w:val="00133BFE"/>
    <w:rsid w:val="00133EC8"/>
    <w:rsid w:val="00133ED9"/>
    <w:rsid w:val="001342F0"/>
    <w:rsid w:val="0013448A"/>
    <w:rsid w:val="00134780"/>
    <w:rsid w:val="0013485E"/>
    <w:rsid w:val="00134A0C"/>
    <w:rsid w:val="00134A6E"/>
    <w:rsid w:val="00134C17"/>
    <w:rsid w:val="00134FFC"/>
    <w:rsid w:val="0013516B"/>
    <w:rsid w:val="00135395"/>
    <w:rsid w:val="0013539D"/>
    <w:rsid w:val="00135436"/>
    <w:rsid w:val="00135A88"/>
    <w:rsid w:val="00135AB6"/>
    <w:rsid w:val="00135B46"/>
    <w:rsid w:val="00135E15"/>
    <w:rsid w:val="00135F20"/>
    <w:rsid w:val="001360FD"/>
    <w:rsid w:val="0013656C"/>
    <w:rsid w:val="001368DE"/>
    <w:rsid w:val="001369C9"/>
    <w:rsid w:val="001369DC"/>
    <w:rsid w:val="00136AFB"/>
    <w:rsid w:val="00136BC9"/>
    <w:rsid w:val="0013741E"/>
    <w:rsid w:val="0013762D"/>
    <w:rsid w:val="00137CDD"/>
    <w:rsid w:val="00137D42"/>
    <w:rsid w:val="001401EE"/>
    <w:rsid w:val="0014071A"/>
    <w:rsid w:val="00140C98"/>
    <w:rsid w:val="001410F5"/>
    <w:rsid w:val="00141B40"/>
    <w:rsid w:val="00142687"/>
    <w:rsid w:val="001426AE"/>
    <w:rsid w:val="00142901"/>
    <w:rsid w:val="00142BF8"/>
    <w:rsid w:val="00142D4A"/>
    <w:rsid w:val="0014307A"/>
    <w:rsid w:val="00143318"/>
    <w:rsid w:val="00143D68"/>
    <w:rsid w:val="00143E8B"/>
    <w:rsid w:val="00143F94"/>
    <w:rsid w:val="001441DB"/>
    <w:rsid w:val="00144389"/>
    <w:rsid w:val="0014440D"/>
    <w:rsid w:val="00144768"/>
    <w:rsid w:val="00144BD9"/>
    <w:rsid w:val="00144D94"/>
    <w:rsid w:val="00145437"/>
    <w:rsid w:val="001454E9"/>
    <w:rsid w:val="00145954"/>
    <w:rsid w:val="00145A36"/>
    <w:rsid w:val="00145C1D"/>
    <w:rsid w:val="00145C5A"/>
    <w:rsid w:val="00145C83"/>
    <w:rsid w:val="001465A4"/>
    <w:rsid w:val="0014769F"/>
    <w:rsid w:val="001476C9"/>
    <w:rsid w:val="001476CA"/>
    <w:rsid w:val="00147883"/>
    <w:rsid w:val="001479DF"/>
    <w:rsid w:val="00147A0E"/>
    <w:rsid w:val="00147BF1"/>
    <w:rsid w:val="00147C52"/>
    <w:rsid w:val="00147D04"/>
    <w:rsid w:val="00147DB0"/>
    <w:rsid w:val="00150077"/>
    <w:rsid w:val="00150B19"/>
    <w:rsid w:val="00150C0A"/>
    <w:rsid w:val="00150ED9"/>
    <w:rsid w:val="0015101C"/>
    <w:rsid w:val="001512FE"/>
    <w:rsid w:val="0015145D"/>
    <w:rsid w:val="001516A5"/>
    <w:rsid w:val="001517DB"/>
    <w:rsid w:val="00151CA2"/>
    <w:rsid w:val="00151FBE"/>
    <w:rsid w:val="00152333"/>
    <w:rsid w:val="0015289F"/>
    <w:rsid w:val="00152927"/>
    <w:rsid w:val="00152B2A"/>
    <w:rsid w:val="00152DB3"/>
    <w:rsid w:val="00152E98"/>
    <w:rsid w:val="00153445"/>
    <w:rsid w:val="00153480"/>
    <w:rsid w:val="0015365A"/>
    <w:rsid w:val="00153677"/>
    <w:rsid w:val="00153AE8"/>
    <w:rsid w:val="00153B18"/>
    <w:rsid w:val="00153B4E"/>
    <w:rsid w:val="00153B9D"/>
    <w:rsid w:val="00153BE2"/>
    <w:rsid w:val="00153C97"/>
    <w:rsid w:val="00153F95"/>
    <w:rsid w:val="001541B3"/>
    <w:rsid w:val="001547DA"/>
    <w:rsid w:val="001547E9"/>
    <w:rsid w:val="00154B9E"/>
    <w:rsid w:val="00154C4D"/>
    <w:rsid w:val="0015519C"/>
    <w:rsid w:val="00155211"/>
    <w:rsid w:val="001561B3"/>
    <w:rsid w:val="001564FC"/>
    <w:rsid w:val="0015656C"/>
    <w:rsid w:val="001565AC"/>
    <w:rsid w:val="001569E8"/>
    <w:rsid w:val="00156B7C"/>
    <w:rsid w:val="00156D7B"/>
    <w:rsid w:val="00156E55"/>
    <w:rsid w:val="001573F7"/>
    <w:rsid w:val="001578CF"/>
    <w:rsid w:val="00157ACC"/>
    <w:rsid w:val="00157BEC"/>
    <w:rsid w:val="00157D3F"/>
    <w:rsid w:val="00160167"/>
    <w:rsid w:val="001607C0"/>
    <w:rsid w:val="001613DE"/>
    <w:rsid w:val="00161601"/>
    <w:rsid w:val="00161929"/>
    <w:rsid w:val="001619F3"/>
    <w:rsid w:val="00161D36"/>
    <w:rsid w:val="0016203B"/>
    <w:rsid w:val="001620C5"/>
    <w:rsid w:val="00162147"/>
    <w:rsid w:val="001621B8"/>
    <w:rsid w:val="00162477"/>
    <w:rsid w:val="0016284D"/>
    <w:rsid w:val="00162C00"/>
    <w:rsid w:val="00163378"/>
    <w:rsid w:val="001634E3"/>
    <w:rsid w:val="001636BE"/>
    <w:rsid w:val="00163836"/>
    <w:rsid w:val="001639F5"/>
    <w:rsid w:val="00163A69"/>
    <w:rsid w:val="00163D28"/>
    <w:rsid w:val="00163F46"/>
    <w:rsid w:val="0016403C"/>
    <w:rsid w:val="0016433A"/>
    <w:rsid w:val="00164577"/>
    <w:rsid w:val="001645C0"/>
    <w:rsid w:val="001646E9"/>
    <w:rsid w:val="001647CF"/>
    <w:rsid w:val="00164F40"/>
    <w:rsid w:val="001650A9"/>
    <w:rsid w:val="00165387"/>
    <w:rsid w:val="00165A58"/>
    <w:rsid w:val="00165A65"/>
    <w:rsid w:val="00165C1D"/>
    <w:rsid w:val="00165CA9"/>
    <w:rsid w:val="00165D8E"/>
    <w:rsid w:val="00165FD2"/>
    <w:rsid w:val="00166158"/>
    <w:rsid w:val="001662AE"/>
    <w:rsid w:val="001663F5"/>
    <w:rsid w:val="00166400"/>
    <w:rsid w:val="00166804"/>
    <w:rsid w:val="00166D18"/>
    <w:rsid w:val="00166D6F"/>
    <w:rsid w:val="00166ED5"/>
    <w:rsid w:val="0016717F"/>
    <w:rsid w:val="001672BF"/>
    <w:rsid w:val="001672EE"/>
    <w:rsid w:val="001673AE"/>
    <w:rsid w:val="001673BD"/>
    <w:rsid w:val="001674B5"/>
    <w:rsid w:val="0016752F"/>
    <w:rsid w:val="00167E98"/>
    <w:rsid w:val="00167F32"/>
    <w:rsid w:val="001702EF"/>
    <w:rsid w:val="0017041D"/>
    <w:rsid w:val="0017068F"/>
    <w:rsid w:val="001709AA"/>
    <w:rsid w:val="001709BD"/>
    <w:rsid w:val="00170A58"/>
    <w:rsid w:val="00170ACA"/>
    <w:rsid w:val="00170CBA"/>
    <w:rsid w:val="0017115A"/>
    <w:rsid w:val="0017140D"/>
    <w:rsid w:val="00171B68"/>
    <w:rsid w:val="001724B8"/>
    <w:rsid w:val="001724C8"/>
    <w:rsid w:val="00172AE2"/>
    <w:rsid w:val="00172DF6"/>
    <w:rsid w:val="001733DD"/>
    <w:rsid w:val="00173AF0"/>
    <w:rsid w:val="00173BB0"/>
    <w:rsid w:val="00173BC3"/>
    <w:rsid w:val="00173C54"/>
    <w:rsid w:val="00174043"/>
    <w:rsid w:val="00174580"/>
    <w:rsid w:val="001746A6"/>
    <w:rsid w:val="0017498C"/>
    <w:rsid w:val="00174A0C"/>
    <w:rsid w:val="00174B92"/>
    <w:rsid w:val="00174DB9"/>
    <w:rsid w:val="00174EBE"/>
    <w:rsid w:val="00174FCB"/>
    <w:rsid w:val="001751C5"/>
    <w:rsid w:val="0017534C"/>
    <w:rsid w:val="00175D4D"/>
    <w:rsid w:val="00175D96"/>
    <w:rsid w:val="00175ED5"/>
    <w:rsid w:val="001763C5"/>
    <w:rsid w:val="0017655E"/>
    <w:rsid w:val="001768D9"/>
    <w:rsid w:val="00176EEE"/>
    <w:rsid w:val="00176FCA"/>
    <w:rsid w:val="00177093"/>
    <w:rsid w:val="0017734A"/>
    <w:rsid w:val="00177358"/>
    <w:rsid w:val="001775CA"/>
    <w:rsid w:val="00177710"/>
    <w:rsid w:val="001777D4"/>
    <w:rsid w:val="001777DB"/>
    <w:rsid w:val="0017796A"/>
    <w:rsid w:val="00177B45"/>
    <w:rsid w:val="00177F0F"/>
    <w:rsid w:val="00180753"/>
    <w:rsid w:val="001807BD"/>
    <w:rsid w:val="001807D4"/>
    <w:rsid w:val="0018096F"/>
    <w:rsid w:val="0018098F"/>
    <w:rsid w:val="00180F5D"/>
    <w:rsid w:val="00181ACE"/>
    <w:rsid w:val="0018207F"/>
    <w:rsid w:val="00182DC7"/>
    <w:rsid w:val="001836A3"/>
    <w:rsid w:val="001836C8"/>
    <w:rsid w:val="0018371D"/>
    <w:rsid w:val="00183887"/>
    <w:rsid w:val="00183A89"/>
    <w:rsid w:val="001848CF"/>
    <w:rsid w:val="00184D30"/>
    <w:rsid w:val="00184DE9"/>
    <w:rsid w:val="001852F7"/>
    <w:rsid w:val="001856DC"/>
    <w:rsid w:val="00185970"/>
    <w:rsid w:val="00185B17"/>
    <w:rsid w:val="00185C3B"/>
    <w:rsid w:val="00186255"/>
    <w:rsid w:val="00186314"/>
    <w:rsid w:val="001867FB"/>
    <w:rsid w:val="001868C0"/>
    <w:rsid w:val="00186940"/>
    <w:rsid w:val="00186AFE"/>
    <w:rsid w:val="00186B3C"/>
    <w:rsid w:val="00186C16"/>
    <w:rsid w:val="00186DA3"/>
    <w:rsid w:val="00186DF4"/>
    <w:rsid w:val="00186EC2"/>
    <w:rsid w:val="00187305"/>
    <w:rsid w:val="001877D7"/>
    <w:rsid w:val="00187ABB"/>
    <w:rsid w:val="00187D41"/>
    <w:rsid w:val="00190210"/>
    <w:rsid w:val="00190371"/>
    <w:rsid w:val="00190440"/>
    <w:rsid w:val="001908FB"/>
    <w:rsid w:val="00190C4B"/>
    <w:rsid w:val="00190DE3"/>
    <w:rsid w:val="00191260"/>
    <w:rsid w:val="001913A3"/>
    <w:rsid w:val="0019175F"/>
    <w:rsid w:val="00191864"/>
    <w:rsid w:val="00191F6D"/>
    <w:rsid w:val="00191FD2"/>
    <w:rsid w:val="0019210B"/>
    <w:rsid w:val="0019221D"/>
    <w:rsid w:val="00192281"/>
    <w:rsid w:val="00192376"/>
    <w:rsid w:val="00192496"/>
    <w:rsid w:val="001924DC"/>
    <w:rsid w:val="00192860"/>
    <w:rsid w:val="00192E4A"/>
    <w:rsid w:val="00192E87"/>
    <w:rsid w:val="00192FEA"/>
    <w:rsid w:val="001931B9"/>
    <w:rsid w:val="001932CF"/>
    <w:rsid w:val="00193CCC"/>
    <w:rsid w:val="00193F08"/>
    <w:rsid w:val="00194029"/>
    <w:rsid w:val="00194141"/>
    <w:rsid w:val="00194851"/>
    <w:rsid w:val="00194EEF"/>
    <w:rsid w:val="00194F32"/>
    <w:rsid w:val="00195260"/>
    <w:rsid w:val="00195A92"/>
    <w:rsid w:val="00195D30"/>
    <w:rsid w:val="00195E70"/>
    <w:rsid w:val="0019625E"/>
    <w:rsid w:val="00196630"/>
    <w:rsid w:val="00196729"/>
    <w:rsid w:val="00196B7E"/>
    <w:rsid w:val="00196C70"/>
    <w:rsid w:val="00196F93"/>
    <w:rsid w:val="0019700E"/>
    <w:rsid w:val="001972B3"/>
    <w:rsid w:val="00197530"/>
    <w:rsid w:val="0019759B"/>
    <w:rsid w:val="001976CA"/>
    <w:rsid w:val="00197702"/>
    <w:rsid w:val="00197AF1"/>
    <w:rsid w:val="001A028A"/>
    <w:rsid w:val="001A04AC"/>
    <w:rsid w:val="001A0A0C"/>
    <w:rsid w:val="001A0BC2"/>
    <w:rsid w:val="001A0F4F"/>
    <w:rsid w:val="001A1534"/>
    <w:rsid w:val="001A15EF"/>
    <w:rsid w:val="001A18F5"/>
    <w:rsid w:val="001A1CD7"/>
    <w:rsid w:val="001A22C1"/>
    <w:rsid w:val="001A2809"/>
    <w:rsid w:val="001A2C34"/>
    <w:rsid w:val="001A2C74"/>
    <w:rsid w:val="001A3190"/>
    <w:rsid w:val="001A3304"/>
    <w:rsid w:val="001A3305"/>
    <w:rsid w:val="001A33E2"/>
    <w:rsid w:val="001A368B"/>
    <w:rsid w:val="001A3AFD"/>
    <w:rsid w:val="001A3EB6"/>
    <w:rsid w:val="001A4613"/>
    <w:rsid w:val="001A4B55"/>
    <w:rsid w:val="001A502C"/>
    <w:rsid w:val="001A5538"/>
    <w:rsid w:val="001A5777"/>
    <w:rsid w:val="001A57AC"/>
    <w:rsid w:val="001A58E5"/>
    <w:rsid w:val="001A60AA"/>
    <w:rsid w:val="001A62BC"/>
    <w:rsid w:val="001A62ED"/>
    <w:rsid w:val="001A6FAD"/>
    <w:rsid w:val="001A7730"/>
    <w:rsid w:val="001A7B23"/>
    <w:rsid w:val="001A7B8D"/>
    <w:rsid w:val="001A7E1D"/>
    <w:rsid w:val="001B0B12"/>
    <w:rsid w:val="001B0B76"/>
    <w:rsid w:val="001B0B8A"/>
    <w:rsid w:val="001B0C6A"/>
    <w:rsid w:val="001B0DE4"/>
    <w:rsid w:val="001B0EA0"/>
    <w:rsid w:val="001B1087"/>
    <w:rsid w:val="001B12FE"/>
    <w:rsid w:val="001B1D61"/>
    <w:rsid w:val="001B1D7D"/>
    <w:rsid w:val="001B1F60"/>
    <w:rsid w:val="001B2C41"/>
    <w:rsid w:val="001B3458"/>
    <w:rsid w:val="001B3616"/>
    <w:rsid w:val="001B3E8F"/>
    <w:rsid w:val="001B40A3"/>
    <w:rsid w:val="001B40C0"/>
    <w:rsid w:val="001B48D0"/>
    <w:rsid w:val="001B4EB3"/>
    <w:rsid w:val="001B5961"/>
    <w:rsid w:val="001B59AB"/>
    <w:rsid w:val="001B5FC6"/>
    <w:rsid w:val="001B6136"/>
    <w:rsid w:val="001B6DDB"/>
    <w:rsid w:val="001B7136"/>
    <w:rsid w:val="001B71F1"/>
    <w:rsid w:val="001B7201"/>
    <w:rsid w:val="001B7732"/>
    <w:rsid w:val="001B7771"/>
    <w:rsid w:val="001B77CD"/>
    <w:rsid w:val="001B793B"/>
    <w:rsid w:val="001B7AB0"/>
    <w:rsid w:val="001B7CFA"/>
    <w:rsid w:val="001C05C2"/>
    <w:rsid w:val="001C064F"/>
    <w:rsid w:val="001C0857"/>
    <w:rsid w:val="001C0ABC"/>
    <w:rsid w:val="001C1223"/>
    <w:rsid w:val="001C12D3"/>
    <w:rsid w:val="001C16D4"/>
    <w:rsid w:val="001C1AB4"/>
    <w:rsid w:val="001C1B7C"/>
    <w:rsid w:val="001C20F9"/>
    <w:rsid w:val="001C21C9"/>
    <w:rsid w:val="001C2237"/>
    <w:rsid w:val="001C22D6"/>
    <w:rsid w:val="001C2599"/>
    <w:rsid w:val="001C2601"/>
    <w:rsid w:val="001C2B4D"/>
    <w:rsid w:val="001C2DA5"/>
    <w:rsid w:val="001C2DA6"/>
    <w:rsid w:val="001C2FA6"/>
    <w:rsid w:val="001C3045"/>
    <w:rsid w:val="001C350F"/>
    <w:rsid w:val="001C3603"/>
    <w:rsid w:val="001C41A7"/>
    <w:rsid w:val="001C42E2"/>
    <w:rsid w:val="001C4442"/>
    <w:rsid w:val="001C4502"/>
    <w:rsid w:val="001C4D50"/>
    <w:rsid w:val="001C5977"/>
    <w:rsid w:val="001C59FA"/>
    <w:rsid w:val="001C5CBC"/>
    <w:rsid w:val="001C5CC3"/>
    <w:rsid w:val="001C61ED"/>
    <w:rsid w:val="001C634D"/>
    <w:rsid w:val="001C635B"/>
    <w:rsid w:val="001C63E1"/>
    <w:rsid w:val="001C69C6"/>
    <w:rsid w:val="001C6F62"/>
    <w:rsid w:val="001C6FFE"/>
    <w:rsid w:val="001C75DF"/>
    <w:rsid w:val="001C7A6C"/>
    <w:rsid w:val="001C7DF2"/>
    <w:rsid w:val="001D033C"/>
    <w:rsid w:val="001D0752"/>
    <w:rsid w:val="001D0A06"/>
    <w:rsid w:val="001D0B63"/>
    <w:rsid w:val="001D0E9D"/>
    <w:rsid w:val="001D12F3"/>
    <w:rsid w:val="001D1331"/>
    <w:rsid w:val="001D1554"/>
    <w:rsid w:val="001D16B0"/>
    <w:rsid w:val="001D1925"/>
    <w:rsid w:val="001D1BFB"/>
    <w:rsid w:val="001D2036"/>
    <w:rsid w:val="001D209E"/>
    <w:rsid w:val="001D2388"/>
    <w:rsid w:val="001D24E9"/>
    <w:rsid w:val="001D25D1"/>
    <w:rsid w:val="001D266C"/>
    <w:rsid w:val="001D26FA"/>
    <w:rsid w:val="001D2C92"/>
    <w:rsid w:val="001D2E94"/>
    <w:rsid w:val="001D3025"/>
    <w:rsid w:val="001D38FC"/>
    <w:rsid w:val="001D3906"/>
    <w:rsid w:val="001D390E"/>
    <w:rsid w:val="001D39E1"/>
    <w:rsid w:val="001D3EA4"/>
    <w:rsid w:val="001D411C"/>
    <w:rsid w:val="001D4196"/>
    <w:rsid w:val="001D4303"/>
    <w:rsid w:val="001D4342"/>
    <w:rsid w:val="001D4427"/>
    <w:rsid w:val="001D4793"/>
    <w:rsid w:val="001D47D7"/>
    <w:rsid w:val="001D47F6"/>
    <w:rsid w:val="001D483E"/>
    <w:rsid w:val="001D498C"/>
    <w:rsid w:val="001D4BE7"/>
    <w:rsid w:val="001D4D62"/>
    <w:rsid w:val="001D4E91"/>
    <w:rsid w:val="001D5212"/>
    <w:rsid w:val="001D547F"/>
    <w:rsid w:val="001D5494"/>
    <w:rsid w:val="001D5C13"/>
    <w:rsid w:val="001D5D9B"/>
    <w:rsid w:val="001D5E9E"/>
    <w:rsid w:val="001D617F"/>
    <w:rsid w:val="001D6673"/>
    <w:rsid w:val="001D6AAC"/>
    <w:rsid w:val="001D6AC7"/>
    <w:rsid w:val="001D7064"/>
    <w:rsid w:val="001D72F8"/>
    <w:rsid w:val="001D755A"/>
    <w:rsid w:val="001D7697"/>
    <w:rsid w:val="001D7C3E"/>
    <w:rsid w:val="001E02AA"/>
    <w:rsid w:val="001E06F3"/>
    <w:rsid w:val="001E0822"/>
    <w:rsid w:val="001E09B0"/>
    <w:rsid w:val="001E0C9E"/>
    <w:rsid w:val="001E0FE8"/>
    <w:rsid w:val="001E0FFE"/>
    <w:rsid w:val="001E12ED"/>
    <w:rsid w:val="001E1397"/>
    <w:rsid w:val="001E144A"/>
    <w:rsid w:val="001E17C8"/>
    <w:rsid w:val="001E1B27"/>
    <w:rsid w:val="001E1C6B"/>
    <w:rsid w:val="001E1E86"/>
    <w:rsid w:val="001E290F"/>
    <w:rsid w:val="001E2BCF"/>
    <w:rsid w:val="001E2DA5"/>
    <w:rsid w:val="001E2DB4"/>
    <w:rsid w:val="001E2F67"/>
    <w:rsid w:val="001E318E"/>
    <w:rsid w:val="001E3A74"/>
    <w:rsid w:val="001E3A77"/>
    <w:rsid w:val="001E42CA"/>
    <w:rsid w:val="001E4DCE"/>
    <w:rsid w:val="001E4F8A"/>
    <w:rsid w:val="001E5232"/>
    <w:rsid w:val="001E52F5"/>
    <w:rsid w:val="001E5799"/>
    <w:rsid w:val="001E5941"/>
    <w:rsid w:val="001E5C55"/>
    <w:rsid w:val="001E6193"/>
    <w:rsid w:val="001E6242"/>
    <w:rsid w:val="001E6616"/>
    <w:rsid w:val="001E6649"/>
    <w:rsid w:val="001E6CD9"/>
    <w:rsid w:val="001E70E8"/>
    <w:rsid w:val="001E72AD"/>
    <w:rsid w:val="001E7576"/>
    <w:rsid w:val="001E75E2"/>
    <w:rsid w:val="001E7B6F"/>
    <w:rsid w:val="001E7D01"/>
    <w:rsid w:val="001F01A1"/>
    <w:rsid w:val="001F01BE"/>
    <w:rsid w:val="001F02B0"/>
    <w:rsid w:val="001F04D9"/>
    <w:rsid w:val="001F0745"/>
    <w:rsid w:val="001F0821"/>
    <w:rsid w:val="001F0912"/>
    <w:rsid w:val="001F0A6D"/>
    <w:rsid w:val="001F13E1"/>
    <w:rsid w:val="001F1B2F"/>
    <w:rsid w:val="001F1DC4"/>
    <w:rsid w:val="001F1E16"/>
    <w:rsid w:val="001F1FFB"/>
    <w:rsid w:val="001F2058"/>
    <w:rsid w:val="001F2616"/>
    <w:rsid w:val="001F301A"/>
    <w:rsid w:val="001F322B"/>
    <w:rsid w:val="001F33ED"/>
    <w:rsid w:val="001F34E3"/>
    <w:rsid w:val="001F36EC"/>
    <w:rsid w:val="001F3C59"/>
    <w:rsid w:val="001F3CC4"/>
    <w:rsid w:val="001F3D75"/>
    <w:rsid w:val="001F3F9C"/>
    <w:rsid w:val="001F4B62"/>
    <w:rsid w:val="001F4CF6"/>
    <w:rsid w:val="001F4D16"/>
    <w:rsid w:val="001F4E94"/>
    <w:rsid w:val="001F5159"/>
    <w:rsid w:val="001F563F"/>
    <w:rsid w:val="001F5BF1"/>
    <w:rsid w:val="001F60C2"/>
    <w:rsid w:val="001F6337"/>
    <w:rsid w:val="001F6911"/>
    <w:rsid w:val="001F6C72"/>
    <w:rsid w:val="001F6F74"/>
    <w:rsid w:val="001F7216"/>
    <w:rsid w:val="001F7378"/>
    <w:rsid w:val="001F7519"/>
    <w:rsid w:val="001F758F"/>
    <w:rsid w:val="001F76B3"/>
    <w:rsid w:val="001F77FB"/>
    <w:rsid w:val="001F7812"/>
    <w:rsid w:val="001F7CA4"/>
    <w:rsid w:val="0020023B"/>
    <w:rsid w:val="00200928"/>
    <w:rsid w:val="00200A6D"/>
    <w:rsid w:val="00200BC5"/>
    <w:rsid w:val="00200F0C"/>
    <w:rsid w:val="002010DD"/>
    <w:rsid w:val="0020110B"/>
    <w:rsid w:val="002018B0"/>
    <w:rsid w:val="00201B59"/>
    <w:rsid w:val="00201C7F"/>
    <w:rsid w:val="0020239C"/>
    <w:rsid w:val="00202AC4"/>
    <w:rsid w:val="00202F16"/>
    <w:rsid w:val="00203328"/>
    <w:rsid w:val="002034D1"/>
    <w:rsid w:val="002036D8"/>
    <w:rsid w:val="00203B3C"/>
    <w:rsid w:val="00203E10"/>
    <w:rsid w:val="00203E65"/>
    <w:rsid w:val="0020453F"/>
    <w:rsid w:val="002046B9"/>
    <w:rsid w:val="00204763"/>
    <w:rsid w:val="00204D8F"/>
    <w:rsid w:val="00204EF4"/>
    <w:rsid w:val="002051D6"/>
    <w:rsid w:val="0020523B"/>
    <w:rsid w:val="00205428"/>
    <w:rsid w:val="002055E2"/>
    <w:rsid w:val="0020566A"/>
    <w:rsid w:val="00205A57"/>
    <w:rsid w:val="0020645E"/>
    <w:rsid w:val="00206463"/>
    <w:rsid w:val="002067B2"/>
    <w:rsid w:val="0020720C"/>
    <w:rsid w:val="00207449"/>
    <w:rsid w:val="0020747A"/>
    <w:rsid w:val="00207C1C"/>
    <w:rsid w:val="00207E0D"/>
    <w:rsid w:val="00210043"/>
    <w:rsid w:val="002102C1"/>
    <w:rsid w:val="00210685"/>
    <w:rsid w:val="0021094B"/>
    <w:rsid w:val="00210A87"/>
    <w:rsid w:val="00210B50"/>
    <w:rsid w:val="00210C17"/>
    <w:rsid w:val="00210D78"/>
    <w:rsid w:val="002110C8"/>
    <w:rsid w:val="002112C8"/>
    <w:rsid w:val="00211982"/>
    <w:rsid w:val="00211C04"/>
    <w:rsid w:val="00212189"/>
    <w:rsid w:val="002122F3"/>
    <w:rsid w:val="002124E3"/>
    <w:rsid w:val="002129A5"/>
    <w:rsid w:val="00212A2F"/>
    <w:rsid w:val="00212EF0"/>
    <w:rsid w:val="00212F0C"/>
    <w:rsid w:val="00212FED"/>
    <w:rsid w:val="0021304B"/>
    <w:rsid w:val="00213112"/>
    <w:rsid w:val="0021323C"/>
    <w:rsid w:val="0021339F"/>
    <w:rsid w:val="00213530"/>
    <w:rsid w:val="00213549"/>
    <w:rsid w:val="002136DB"/>
    <w:rsid w:val="002138F5"/>
    <w:rsid w:val="00213E4A"/>
    <w:rsid w:val="002140C3"/>
    <w:rsid w:val="002148FB"/>
    <w:rsid w:val="00214998"/>
    <w:rsid w:val="00214BA8"/>
    <w:rsid w:val="00214F5A"/>
    <w:rsid w:val="00215400"/>
    <w:rsid w:val="00215489"/>
    <w:rsid w:val="0021590D"/>
    <w:rsid w:val="00215A82"/>
    <w:rsid w:val="00215D40"/>
    <w:rsid w:val="00216052"/>
    <w:rsid w:val="002161DE"/>
    <w:rsid w:val="002162EF"/>
    <w:rsid w:val="00216ED8"/>
    <w:rsid w:val="00217030"/>
    <w:rsid w:val="00217035"/>
    <w:rsid w:val="00217979"/>
    <w:rsid w:val="00217AB4"/>
    <w:rsid w:val="00217B51"/>
    <w:rsid w:val="00217C60"/>
    <w:rsid w:val="00217FDC"/>
    <w:rsid w:val="002202DA"/>
    <w:rsid w:val="0022031B"/>
    <w:rsid w:val="002203B7"/>
    <w:rsid w:val="00220411"/>
    <w:rsid w:val="00220465"/>
    <w:rsid w:val="00220496"/>
    <w:rsid w:val="00220A40"/>
    <w:rsid w:val="00220B33"/>
    <w:rsid w:val="00220FDF"/>
    <w:rsid w:val="002215BB"/>
    <w:rsid w:val="002216EF"/>
    <w:rsid w:val="00221724"/>
    <w:rsid w:val="002218EF"/>
    <w:rsid w:val="00221E3C"/>
    <w:rsid w:val="00222662"/>
    <w:rsid w:val="00222A91"/>
    <w:rsid w:val="00222C05"/>
    <w:rsid w:val="002236C8"/>
    <w:rsid w:val="0022375C"/>
    <w:rsid w:val="002238F9"/>
    <w:rsid w:val="0022393F"/>
    <w:rsid w:val="00223F33"/>
    <w:rsid w:val="002240EB"/>
    <w:rsid w:val="00224FAD"/>
    <w:rsid w:val="002253D8"/>
    <w:rsid w:val="0022544B"/>
    <w:rsid w:val="00225493"/>
    <w:rsid w:val="00226744"/>
    <w:rsid w:val="00226B90"/>
    <w:rsid w:val="00226DA7"/>
    <w:rsid w:val="0022706A"/>
    <w:rsid w:val="002272A6"/>
    <w:rsid w:val="00227315"/>
    <w:rsid w:val="0022773B"/>
    <w:rsid w:val="00227B93"/>
    <w:rsid w:val="00227F44"/>
    <w:rsid w:val="00227F98"/>
    <w:rsid w:val="00230383"/>
    <w:rsid w:val="002303C7"/>
    <w:rsid w:val="002304FD"/>
    <w:rsid w:val="002306C4"/>
    <w:rsid w:val="002307AB"/>
    <w:rsid w:val="0023099F"/>
    <w:rsid w:val="00230A02"/>
    <w:rsid w:val="00230F9C"/>
    <w:rsid w:val="00231076"/>
    <w:rsid w:val="00231077"/>
    <w:rsid w:val="00231080"/>
    <w:rsid w:val="002312F6"/>
    <w:rsid w:val="0023131F"/>
    <w:rsid w:val="00231619"/>
    <w:rsid w:val="002316AD"/>
    <w:rsid w:val="00231908"/>
    <w:rsid w:val="00231DA5"/>
    <w:rsid w:val="00231F0D"/>
    <w:rsid w:val="002320EF"/>
    <w:rsid w:val="00232274"/>
    <w:rsid w:val="002322A4"/>
    <w:rsid w:val="00232482"/>
    <w:rsid w:val="0023265D"/>
    <w:rsid w:val="002327A7"/>
    <w:rsid w:val="00232BB5"/>
    <w:rsid w:val="00232C9A"/>
    <w:rsid w:val="00232DA9"/>
    <w:rsid w:val="0023307E"/>
    <w:rsid w:val="0023314D"/>
    <w:rsid w:val="0023322B"/>
    <w:rsid w:val="00233462"/>
    <w:rsid w:val="00233505"/>
    <w:rsid w:val="00233599"/>
    <w:rsid w:val="00233609"/>
    <w:rsid w:val="002337A4"/>
    <w:rsid w:val="002337F4"/>
    <w:rsid w:val="00233A81"/>
    <w:rsid w:val="00233B21"/>
    <w:rsid w:val="00233D0D"/>
    <w:rsid w:val="00233E09"/>
    <w:rsid w:val="0023443D"/>
    <w:rsid w:val="00234A7E"/>
    <w:rsid w:val="00234CD9"/>
    <w:rsid w:val="00235410"/>
    <w:rsid w:val="002354D4"/>
    <w:rsid w:val="0023568F"/>
    <w:rsid w:val="00235CF5"/>
    <w:rsid w:val="002360CB"/>
    <w:rsid w:val="002362D1"/>
    <w:rsid w:val="002363C6"/>
    <w:rsid w:val="002366E4"/>
    <w:rsid w:val="00236AA2"/>
    <w:rsid w:val="00236D14"/>
    <w:rsid w:val="00237192"/>
    <w:rsid w:val="00237421"/>
    <w:rsid w:val="00237572"/>
    <w:rsid w:val="0023759E"/>
    <w:rsid w:val="00237FD6"/>
    <w:rsid w:val="00240356"/>
    <w:rsid w:val="00240465"/>
    <w:rsid w:val="00240604"/>
    <w:rsid w:val="00240708"/>
    <w:rsid w:val="002407A3"/>
    <w:rsid w:val="00240877"/>
    <w:rsid w:val="00240945"/>
    <w:rsid w:val="00240C3B"/>
    <w:rsid w:val="00240D8D"/>
    <w:rsid w:val="00240DF8"/>
    <w:rsid w:val="0024172B"/>
    <w:rsid w:val="002417E1"/>
    <w:rsid w:val="0024189C"/>
    <w:rsid w:val="002418E1"/>
    <w:rsid w:val="00241959"/>
    <w:rsid w:val="00241D3D"/>
    <w:rsid w:val="00242210"/>
    <w:rsid w:val="002424D0"/>
    <w:rsid w:val="002425E5"/>
    <w:rsid w:val="00242660"/>
    <w:rsid w:val="0024284D"/>
    <w:rsid w:val="002428D4"/>
    <w:rsid w:val="00242995"/>
    <w:rsid w:val="00242BE6"/>
    <w:rsid w:val="00242E0A"/>
    <w:rsid w:val="0024309A"/>
    <w:rsid w:val="00243711"/>
    <w:rsid w:val="00243A0D"/>
    <w:rsid w:val="00244AD0"/>
    <w:rsid w:val="00244D71"/>
    <w:rsid w:val="00244D97"/>
    <w:rsid w:val="00245068"/>
    <w:rsid w:val="002450C9"/>
    <w:rsid w:val="00245225"/>
    <w:rsid w:val="00245544"/>
    <w:rsid w:val="00245B65"/>
    <w:rsid w:val="002461E2"/>
    <w:rsid w:val="00246263"/>
    <w:rsid w:val="00246324"/>
    <w:rsid w:val="00246757"/>
    <w:rsid w:val="002467C0"/>
    <w:rsid w:val="00246C72"/>
    <w:rsid w:val="00246E7F"/>
    <w:rsid w:val="00246F5D"/>
    <w:rsid w:val="0024702C"/>
    <w:rsid w:val="00247364"/>
    <w:rsid w:val="0024789A"/>
    <w:rsid w:val="00247C3D"/>
    <w:rsid w:val="00247F55"/>
    <w:rsid w:val="0025009A"/>
    <w:rsid w:val="00250177"/>
    <w:rsid w:val="00250859"/>
    <w:rsid w:val="00250985"/>
    <w:rsid w:val="00250BCF"/>
    <w:rsid w:val="00250E68"/>
    <w:rsid w:val="002511B3"/>
    <w:rsid w:val="0025137A"/>
    <w:rsid w:val="0025139E"/>
    <w:rsid w:val="002513C3"/>
    <w:rsid w:val="002514C2"/>
    <w:rsid w:val="00251680"/>
    <w:rsid w:val="00251D4F"/>
    <w:rsid w:val="00251FA6"/>
    <w:rsid w:val="002520E1"/>
    <w:rsid w:val="002522C2"/>
    <w:rsid w:val="002523D7"/>
    <w:rsid w:val="002528CB"/>
    <w:rsid w:val="00252985"/>
    <w:rsid w:val="00252AFD"/>
    <w:rsid w:val="00252BF3"/>
    <w:rsid w:val="00252E72"/>
    <w:rsid w:val="00253693"/>
    <w:rsid w:val="002537BD"/>
    <w:rsid w:val="00253908"/>
    <w:rsid w:val="00253A07"/>
    <w:rsid w:val="00253CA9"/>
    <w:rsid w:val="00253DD6"/>
    <w:rsid w:val="002540D6"/>
    <w:rsid w:val="00254107"/>
    <w:rsid w:val="00254223"/>
    <w:rsid w:val="002542FC"/>
    <w:rsid w:val="0025442C"/>
    <w:rsid w:val="00254549"/>
    <w:rsid w:val="0025469D"/>
    <w:rsid w:val="002548D4"/>
    <w:rsid w:val="00254D8F"/>
    <w:rsid w:val="00254E0D"/>
    <w:rsid w:val="00255195"/>
    <w:rsid w:val="0025532E"/>
    <w:rsid w:val="002554C6"/>
    <w:rsid w:val="002555C0"/>
    <w:rsid w:val="002559CC"/>
    <w:rsid w:val="00255D39"/>
    <w:rsid w:val="00255DB2"/>
    <w:rsid w:val="00255F52"/>
    <w:rsid w:val="002560B7"/>
    <w:rsid w:val="00256A9F"/>
    <w:rsid w:val="00256B71"/>
    <w:rsid w:val="00256E24"/>
    <w:rsid w:val="0025762A"/>
    <w:rsid w:val="00257752"/>
    <w:rsid w:val="00257AEA"/>
    <w:rsid w:val="00257F23"/>
    <w:rsid w:val="00260613"/>
    <w:rsid w:val="00260677"/>
    <w:rsid w:val="00260733"/>
    <w:rsid w:val="00260864"/>
    <w:rsid w:val="00260A6C"/>
    <w:rsid w:val="00260B56"/>
    <w:rsid w:val="00260F14"/>
    <w:rsid w:val="0026169C"/>
    <w:rsid w:val="00261B86"/>
    <w:rsid w:val="00261CA6"/>
    <w:rsid w:val="00261D67"/>
    <w:rsid w:val="00261DEA"/>
    <w:rsid w:val="00261E96"/>
    <w:rsid w:val="002624F9"/>
    <w:rsid w:val="0026273A"/>
    <w:rsid w:val="00262ADB"/>
    <w:rsid w:val="00262BDE"/>
    <w:rsid w:val="00263A5E"/>
    <w:rsid w:val="00263B33"/>
    <w:rsid w:val="0026486D"/>
    <w:rsid w:val="00264AA8"/>
    <w:rsid w:val="00264AF7"/>
    <w:rsid w:val="00264BC0"/>
    <w:rsid w:val="00264BF6"/>
    <w:rsid w:val="00264F1F"/>
    <w:rsid w:val="002652AE"/>
    <w:rsid w:val="00265503"/>
    <w:rsid w:val="00265A2E"/>
    <w:rsid w:val="00265BCD"/>
    <w:rsid w:val="00265E19"/>
    <w:rsid w:val="00266111"/>
    <w:rsid w:val="002662F8"/>
    <w:rsid w:val="00266584"/>
    <w:rsid w:val="00266948"/>
    <w:rsid w:val="00266DE9"/>
    <w:rsid w:val="00266ECA"/>
    <w:rsid w:val="00267085"/>
    <w:rsid w:val="00267129"/>
    <w:rsid w:val="002675AA"/>
    <w:rsid w:val="00267B3A"/>
    <w:rsid w:val="00267C4C"/>
    <w:rsid w:val="00267F5E"/>
    <w:rsid w:val="00270013"/>
    <w:rsid w:val="0027004C"/>
    <w:rsid w:val="00270234"/>
    <w:rsid w:val="0027032A"/>
    <w:rsid w:val="00270773"/>
    <w:rsid w:val="00270C8C"/>
    <w:rsid w:val="00270F78"/>
    <w:rsid w:val="00271038"/>
    <w:rsid w:val="00271552"/>
    <w:rsid w:val="002716DE"/>
    <w:rsid w:val="00271806"/>
    <w:rsid w:val="002718AB"/>
    <w:rsid w:val="00271AFE"/>
    <w:rsid w:val="00271E33"/>
    <w:rsid w:val="00271E61"/>
    <w:rsid w:val="00271F35"/>
    <w:rsid w:val="002720F5"/>
    <w:rsid w:val="0027291C"/>
    <w:rsid w:val="00272A88"/>
    <w:rsid w:val="00272CD2"/>
    <w:rsid w:val="00272E41"/>
    <w:rsid w:val="002730BC"/>
    <w:rsid w:val="002730D2"/>
    <w:rsid w:val="00273224"/>
    <w:rsid w:val="002732E9"/>
    <w:rsid w:val="002733A2"/>
    <w:rsid w:val="00273B71"/>
    <w:rsid w:val="00273D8E"/>
    <w:rsid w:val="00274319"/>
    <w:rsid w:val="00274ACE"/>
    <w:rsid w:val="00275071"/>
    <w:rsid w:val="0027524F"/>
    <w:rsid w:val="0027528F"/>
    <w:rsid w:val="00275516"/>
    <w:rsid w:val="002756A7"/>
    <w:rsid w:val="00275D77"/>
    <w:rsid w:val="002765D8"/>
    <w:rsid w:val="00276670"/>
    <w:rsid w:val="0027693D"/>
    <w:rsid w:val="00276BAF"/>
    <w:rsid w:val="00276EA5"/>
    <w:rsid w:val="002770D0"/>
    <w:rsid w:val="0027731A"/>
    <w:rsid w:val="002775DD"/>
    <w:rsid w:val="0027795F"/>
    <w:rsid w:val="00277C65"/>
    <w:rsid w:val="0028028F"/>
    <w:rsid w:val="002802D6"/>
    <w:rsid w:val="002803DF"/>
    <w:rsid w:val="00280E71"/>
    <w:rsid w:val="00281126"/>
    <w:rsid w:val="002814FE"/>
    <w:rsid w:val="002815E8"/>
    <w:rsid w:val="002816F3"/>
    <w:rsid w:val="0028177B"/>
    <w:rsid w:val="002817F9"/>
    <w:rsid w:val="00281F3E"/>
    <w:rsid w:val="00282202"/>
    <w:rsid w:val="0028275D"/>
    <w:rsid w:val="0028290B"/>
    <w:rsid w:val="00282C87"/>
    <w:rsid w:val="00282D38"/>
    <w:rsid w:val="00282D45"/>
    <w:rsid w:val="00282EB3"/>
    <w:rsid w:val="00282FF9"/>
    <w:rsid w:val="00283264"/>
    <w:rsid w:val="002833CA"/>
    <w:rsid w:val="0028353D"/>
    <w:rsid w:val="002837F5"/>
    <w:rsid w:val="002838AF"/>
    <w:rsid w:val="00283932"/>
    <w:rsid w:val="0028409C"/>
    <w:rsid w:val="002841DB"/>
    <w:rsid w:val="00284228"/>
    <w:rsid w:val="002846D3"/>
    <w:rsid w:val="0028490B"/>
    <w:rsid w:val="00284C93"/>
    <w:rsid w:val="002853EC"/>
    <w:rsid w:val="00285820"/>
    <w:rsid w:val="00285B4C"/>
    <w:rsid w:val="00285F62"/>
    <w:rsid w:val="00286067"/>
    <w:rsid w:val="002861A7"/>
    <w:rsid w:val="002861EF"/>
    <w:rsid w:val="00286217"/>
    <w:rsid w:val="0028695E"/>
    <w:rsid w:val="00286A6F"/>
    <w:rsid w:val="00286B80"/>
    <w:rsid w:val="00286E70"/>
    <w:rsid w:val="0028749D"/>
    <w:rsid w:val="00287651"/>
    <w:rsid w:val="00287CA8"/>
    <w:rsid w:val="00287E6E"/>
    <w:rsid w:val="00290010"/>
    <w:rsid w:val="002900B1"/>
    <w:rsid w:val="002900E2"/>
    <w:rsid w:val="00290326"/>
    <w:rsid w:val="00290763"/>
    <w:rsid w:val="00290916"/>
    <w:rsid w:val="00290A49"/>
    <w:rsid w:val="00290BA2"/>
    <w:rsid w:val="00290F2E"/>
    <w:rsid w:val="00290FCE"/>
    <w:rsid w:val="00291055"/>
    <w:rsid w:val="002911FA"/>
    <w:rsid w:val="00291693"/>
    <w:rsid w:val="002916CC"/>
    <w:rsid w:val="0029176F"/>
    <w:rsid w:val="002917FD"/>
    <w:rsid w:val="00291A07"/>
    <w:rsid w:val="00291C12"/>
    <w:rsid w:val="00291DDF"/>
    <w:rsid w:val="0029223E"/>
    <w:rsid w:val="00292524"/>
    <w:rsid w:val="002927B4"/>
    <w:rsid w:val="00292890"/>
    <w:rsid w:val="00292996"/>
    <w:rsid w:val="00292C3D"/>
    <w:rsid w:val="00292FBA"/>
    <w:rsid w:val="00293172"/>
    <w:rsid w:val="00293307"/>
    <w:rsid w:val="002935E3"/>
    <w:rsid w:val="002939EC"/>
    <w:rsid w:val="00293B50"/>
    <w:rsid w:val="00293B82"/>
    <w:rsid w:val="0029421E"/>
    <w:rsid w:val="00294415"/>
    <w:rsid w:val="00294A58"/>
    <w:rsid w:val="00294C61"/>
    <w:rsid w:val="00294ECD"/>
    <w:rsid w:val="0029526A"/>
    <w:rsid w:val="00295635"/>
    <w:rsid w:val="0029595B"/>
    <w:rsid w:val="00295C0A"/>
    <w:rsid w:val="00295C2E"/>
    <w:rsid w:val="00295C7A"/>
    <w:rsid w:val="00295DCC"/>
    <w:rsid w:val="00295FF3"/>
    <w:rsid w:val="00296235"/>
    <w:rsid w:val="00296281"/>
    <w:rsid w:val="002966DE"/>
    <w:rsid w:val="00297051"/>
    <w:rsid w:val="002971CA"/>
    <w:rsid w:val="00297242"/>
    <w:rsid w:val="00297323"/>
    <w:rsid w:val="00297BFA"/>
    <w:rsid w:val="002A0187"/>
    <w:rsid w:val="002A0253"/>
    <w:rsid w:val="002A0857"/>
    <w:rsid w:val="002A0A12"/>
    <w:rsid w:val="002A0FF9"/>
    <w:rsid w:val="002A1553"/>
    <w:rsid w:val="002A1D5A"/>
    <w:rsid w:val="002A28C1"/>
    <w:rsid w:val="002A2ECB"/>
    <w:rsid w:val="002A351F"/>
    <w:rsid w:val="002A3830"/>
    <w:rsid w:val="002A3833"/>
    <w:rsid w:val="002A448D"/>
    <w:rsid w:val="002A44FB"/>
    <w:rsid w:val="002A466D"/>
    <w:rsid w:val="002A469B"/>
    <w:rsid w:val="002A47CC"/>
    <w:rsid w:val="002A47FF"/>
    <w:rsid w:val="002A4803"/>
    <w:rsid w:val="002A4B02"/>
    <w:rsid w:val="002A4D89"/>
    <w:rsid w:val="002A4F3F"/>
    <w:rsid w:val="002A4FCE"/>
    <w:rsid w:val="002A522A"/>
    <w:rsid w:val="002A52BB"/>
    <w:rsid w:val="002A5A0B"/>
    <w:rsid w:val="002A5CB4"/>
    <w:rsid w:val="002A5E47"/>
    <w:rsid w:val="002A6407"/>
    <w:rsid w:val="002A678B"/>
    <w:rsid w:val="002A6993"/>
    <w:rsid w:val="002A69C4"/>
    <w:rsid w:val="002A6AAA"/>
    <w:rsid w:val="002A6BAA"/>
    <w:rsid w:val="002A731D"/>
    <w:rsid w:val="002A74C7"/>
    <w:rsid w:val="002A751F"/>
    <w:rsid w:val="002A772E"/>
    <w:rsid w:val="002A7B04"/>
    <w:rsid w:val="002A7B26"/>
    <w:rsid w:val="002A7BEC"/>
    <w:rsid w:val="002B01F5"/>
    <w:rsid w:val="002B09CF"/>
    <w:rsid w:val="002B0D95"/>
    <w:rsid w:val="002B1021"/>
    <w:rsid w:val="002B1041"/>
    <w:rsid w:val="002B153C"/>
    <w:rsid w:val="002B1993"/>
    <w:rsid w:val="002B19B5"/>
    <w:rsid w:val="002B19E2"/>
    <w:rsid w:val="002B1AB0"/>
    <w:rsid w:val="002B1AD4"/>
    <w:rsid w:val="002B28BA"/>
    <w:rsid w:val="002B29CD"/>
    <w:rsid w:val="002B2AF4"/>
    <w:rsid w:val="002B30AD"/>
    <w:rsid w:val="002B31B9"/>
    <w:rsid w:val="002B3326"/>
    <w:rsid w:val="002B34AE"/>
    <w:rsid w:val="002B3711"/>
    <w:rsid w:val="002B394F"/>
    <w:rsid w:val="002B3ABB"/>
    <w:rsid w:val="002B3C64"/>
    <w:rsid w:val="002B3D8E"/>
    <w:rsid w:val="002B3E10"/>
    <w:rsid w:val="002B3EBF"/>
    <w:rsid w:val="002B4029"/>
    <w:rsid w:val="002B4124"/>
    <w:rsid w:val="002B433B"/>
    <w:rsid w:val="002B441B"/>
    <w:rsid w:val="002B443C"/>
    <w:rsid w:val="002B4EDF"/>
    <w:rsid w:val="002B51FD"/>
    <w:rsid w:val="002B5488"/>
    <w:rsid w:val="002B57C3"/>
    <w:rsid w:val="002B595A"/>
    <w:rsid w:val="002B5DEB"/>
    <w:rsid w:val="002B604A"/>
    <w:rsid w:val="002B636A"/>
    <w:rsid w:val="002B647E"/>
    <w:rsid w:val="002B6731"/>
    <w:rsid w:val="002B67BB"/>
    <w:rsid w:val="002B6C04"/>
    <w:rsid w:val="002B6D5F"/>
    <w:rsid w:val="002B6DEE"/>
    <w:rsid w:val="002B704E"/>
    <w:rsid w:val="002B7139"/>
    <w:rsid w:val="002B725C"/>
    <w:rsid w:val="002B7273"/>
    <w:rsid w:val="002B73E8"/>
    <w:rsid w:val="002B77DF"/>
    <w:rsid w:val="002B784E"/>
    <w:rsid w:val="002B78D2"/>
    <w:rsid w:val="002B7982"/>
    <w:rsid w:val="002B7A24"/>
    <w:rsid w:val="002B7FB9"/>
    <w:rsid w:val="002C0478"/>
    <w:rsid w:val="002C0ABB"/>
    <w:rsid w:val="002C0B5C"/>
    <w:rsid w:val="002C0B9F"/>
    <w:rsid w:val="002C106F"/>
    <w:rsid w:val="002C1626"/>
    <w:rsid w:val="002C16CF"/>
    <w:rsid w:val="002C1BB7"/>
    <w:rsid w:val="002C1F91"/>
    <w:rsid w:val="002C208F"/>
    <w:rsid w:val="002C2471"/>
    <w:rsid w:val="002C2531"/>
    <w:rsid w:val="002C2B7E"/>
    <w:rsid w:val="002C2CAA"/>
    <w:rsid w:val="002C3117"/>
    <w:rsid w:val="002C3362"/>
    <w:rsid w:val="002C4621"/>
    <w:rsid w:val="002C4858"/>
    <w:rsid w:val="002C48C7"/>
    <w:rsid w:val="002C4EFF"/>
    <w:rsid w:val="002C50CE"/>
    <w:rsid w:val="002C544B"/>
    <w:rsid w:val="002C56A3"/>
    <w:rsid w:val="002C58BC"/>
    <w:rsid w:val="002C5AF1"/>
    <w:rsid w:val="002C5CBB"/>
    <w:rsid w:val="002C5D18"/>
    <w:rsid w:val="002C5DA1"/>
    <w:rsid w:val="002C659C"/>
    <w:rsid w:val="002C67ED"/>
    <w:rsid w:val="002C682B"/>
    <w:rsid w:val="002C6972"/>
    <w:rsid w:val="002C721A"/>
    <w:rsid w:val="002C7EED"/>
    <w:rsid w:val="002C7FC2"/>
    <w:rsid w:val="002D04F4"/>
    <w:rsid w:val="002D05F1"/>
    <w:rsid w:val="002D07C6"/>
    <w:rsid w:val="002D0AED"/>
    <w:rsid w:val="002D0C36"/>
    <w:rsid w:val="002D0D21"/>
    <w:rsid w:val="002D13BC"/>
    <w:rsid w:val="002D145C"/>
    <w:rsid w:val="002D1634"/>
    <w:rsid w:val="002D1903"/>
    <w:rsid w:val="002D1CA1"/>
    <w:rsid w:val="002D2190"/>
    <w:rsid w:val="002D21CD"/>
    <w:rsid w:val="002D24CD"/>
    <w:rsid w:val="002D282B"/>
    <w:rsid w:val="002D28C2"/>
    <w:rsid w:val="002D2FCE"/>
    <w:rsid w:val="002D31DB"/>
    <w:rsid w:val="002D33B5"/>
    <w:rsid w:val="002D357B"/>
    <w:rsid w:val="002D3B6E"/>
    <w:rsid w:val="002D3EED"/>
    <w:rsid w:val="002D4253"/>
    <w:rsid w:val="002D44C9"/>
    <w:rsid w:val="002D4614"/>
    <w:rsid w:val="002D48CA"/>
    <w:rsid w:val="002D48F7"/>
    <w:rsid w:val="002D4A67"/>
    <w:rsid w:val="002D4DD4"/>
    <w:rsid w:val="002D51FE"/>
    <w:rsid w:val="002D5587"/>
    <w:rsid w:val="002D5654"/>
    <w:rsid w:val="002D5AD2"/>
    <w:rsid w:val="002D618D"/>
    <w:rsid w:val="002D64F9"/>
    <w:rsid w:val="002D6639"/>
    <w:rsid w:val="002D6666"/>
    <w:rsid w:val="002D6850"/>
    <w:rsid w:val="002D69A4"/>
    <w:rsid w:val="002D6B5A"/>
    <w:rsid w:val="002D6B71"/>
    <w:rsid w:val="002D70D4"/>
    <w:rsid w:val="002D727C"/>
    <w:rsid w:val="002D753D"/>
    <w:rsid w:val="002D7558"/>
    <w:rsid w:val="002D76B9"/>
    <w:rsid w:val="002D7F95"/>
    <w:rsid w:val="002D7FEF"/>
    <w:rsid w:val="002E0098"/>
    <w:rsid w:val="002E0590"/>
    <w:rsid w:val="002E086D"/>
    <w:rsid w:val="002E0AB7"/>
    <w:rsid w:val="002E0BDB"/>
    <w:rsid w:val="002E109D"/>
    <w:rsid w:val="002E1188"/>
    <w:rsid w:val="002E193A"/>
    <w:rsid w:val="002E1AA2"/>
    <w:rsid w:val="002E1D9E"/>
    <w:rsid w:val="002E23F2"/>
    <w:rsid w:val="002E24D6"/>
    <w:rsid w:val="002E250E"/>
    <w:rsid w:val="002E264E"/>
    <w:rsid w:val="002E2809"/>
    <w:rsid w:val="002E2938"/>
    <w:rsid w:val="002E2A6C"/>
    <w:rsid w:val="002E2DD8"/>
    <w:rsid w:val="002E2E98"/>
    <w:rsid w:val="002E3D4A"/>
    <w:rsid w:val="002E4119"/>
    <w:rsid w:val="002E42CF"/>
    <w:rsid w:val="002E42D5"/>
    <w:rsid w:val="002E4988"/>
    <w:rsid w:val="002E4BB0"/>
    <w:rsid w:val="002E5137"/>
    <w:rsid w:val="002E5481"/>
    <w:rsid w:val="002E5CB2"/>
    <w:rsid w:val="002E5E35"/>
    <w:rsid w:val="002E65AA"/>
    <w:rsid w:val="002E664B"/>
    <w:rsid w:val="002E66E1"/>
    <w:rsid w:val="002E67B3"/>
    <w:rsid w:val="002E69CD"/>
    <w:rsid w:val="002E6B93"/>
    <w:rsid w:val="002E6CEA"/>
    <w:rsid w:val="002E7080"/>
    <w:rsid w:val="002E70A8"/>
    <w:rsid w:val="002E713A"/>
    <w:rsid w:val="002E74B2"/>
    <w:rsid w:val="002E76F7"/>
    <w:rsid w:val="002E773B"/>
    <w:rsid w:val="002E774C"/>
    <w:rsid w:val="002E78EF"/>
    <w:rsid w:val="002E7E6A"/>
    <w:rsid w:val="002F00F3"/>
    <w:rsid w:val="002F085D"/>
    <w:rsid w:val="002F1005"/>
    <w:rsid w:val="002F130F"/>
    <w:rsid w:val="002F13BD"/>
    <w:rsid w:val="002F1474"/>
    <w:rsid w:val="002F169B"/>
    <w:rsid w:val="002F1AD8"/>
    <w:rsid w:val="002F2661"/>
    <w:rsid w:val="002F2C63"/>
    <w:rsid w:val="002F2D28"/>
    <w:rsid w:val="002F2E1D"/>
    <w:rsid w:val="002F2E39"/>
    <w:rsid w:val="002F3048"/>
    <w:rsid w:val="002F326A"/>
    <w:rsid w:val="002F356E"/>
    <w:rsid w:val="002F3597"/>
    <w:rsid w:val="002F39C0"/>
    <w:rsid w:val="002F4109"/>
    <w:rsid w:val="002F413D"/>
    <w:rsid w:val="002F48FA"/>
    <w:rsid w:val="002F49D0"/>
    <w:rsid w:val="002F4ABA"/>
    <w:rsid w:val="002F4C08"/>
    <w:rsid w:val="002F4EA9"/>
    <w:rsid w:val="002F4FD8"/>
    <w:rsid w:val="002F525A"/>
    <w:rsid w:val="002F57CC"/>
    <w:rsid w:val="002F5A54"/>
    <w:rsid w:val="002F5BE8"/>
    <w:rsid w:val="002F5C88"/>
    <w:rsid w:val="002F608E"/>
    <w:rsid w:val="002F6549"/>
    <w:rsid w:val="002F6628"/>
    <w:rsid w:val="002F6A9B"/>
    <w:rsid w:val="002F6B54"/>
    <w:rsid w:val="002F6BA4"/>
    <w:rsid w:val="002F6F1A"/>
    <w:rsid w:val="002F7250"/>
    <w:rsid w:val="002F7355"/>
    <w:rsid w:val="002F737B"/>
    <w:rsid w:val="002F74DC"/>
    <w:rsid w:val="00300309"/>
    <w:rsid w:val="0030039F"/>
    <w:rsid w:val="0030092E"/>
    <w:rsid w:val="00300B65"/>
    <w:rsid w:val="00300D67"/>
    <w:rsid w:val="003010B9"/>
    <w:rsid w:val="003013D9"/>
    <w:rsid w:val="00301458"/>
    <w:rsid w:val="0030152A"/>
    <w:rsid w:val="003015EA"/>
    <w:rsid w:val="0030167A"/>
    <w:rsid w:val="00301E7C"/>
    <w:rsid w:val="00301F1C"/>
    <w:rsid w:val="00302633"/>
    <w:rsid w:val="00302688"/>
    <w:rsid w:val="003027B4"/>
    <w:rsid w:val="00302A35"/>
    <w:rsid w:val="00302C33"/>
    <w:rsid w:val="00302C5C"/>
    <w:rsid w:val="00302D3D"/>
    <w:rsid w:val="00302DB6"/>
    <w:rsid w:val="00302EC7"/>
    <w:rsid w:val="00303069"/>
    <w:rsid w:val="003034BC"/>
    <w:rsid w:val="003034C5"/>
    <w:rsid w:val="003037AB"/>
    <w:rsid w:val="003038A0"/>
    <w:rsid w:val="00303A11"/>
    <w:rsid w:val="00303B57"/>
    <w:rsid w:val="00303EEC"/>
    <w:rsid w:val="003045E2"/>
    <w:rsid w:val="00304934"/>
    <w:rsid w:val="00304E86"/>
    <w:rsid w:val="00305126"/>
    <w:rsid w:val="003051A0"/>
    <w:rsid w:val="00305258"/>
    <w:rsid w:val="0030533D"/>
    <w:rsid w:val="003053B4"/>
    <w:rsid w:val="00305419"/>
    <w:rsid w:val="003054E1"/>
    <w:rsid w:val="0030575B"/>
    <w:rsid w:val="0030596D"/>
    <w:rsid w:val="00305A33"/>
    <w:rsid w:val="00305B55"/>
    <w:rsid w:val="00305BE7"/>
    <w:rsid w:val="00305D09"/>
    <w:rsid w:val="00305D8E"/>
    <w:rsid w:val="00305D9C"/>
    <w:rsid w:val="00305D9F"/>
    <w:rsid w:val="00305E9B"/>
    <w:rsid w:val="00305F5E"/>
    <w:rsid w:val="00306555"/>
    <w:rsid w:val="003066A5"/>
    <w:rsid w:val="00306733"/>
    <w:rsid w:val="0030689C"/>
    <w:rsid w:val="00306E36"/>
    <w:rsid w:val="00307390"/>
    <w:rsid w:val="00307691"/>
    <w:rsid w:val="00307D31"/>
    <w:rsid w:val="00307DB2"/>
    <w:rsid w:val="00307E42"/>
    <w:rsid w:val="00307F36"/>
    <w:rsid w:val="003108FB"/>
    <w:rsid w:val="003109FC"/>
    <w:rsid w:val="00310AC7"/>
    <w:rsid w:val="00310D9B"/>
    <w:rsid w:val="00311059"/>
    <w:rsid w:val="003113BD"/>
    <w:rsid w:val="0031190F"/>
    <w:rsid w:val="00311946"/>
    <w:rsid w:val="0031199A"/>
    <w:rsid w:val="00311F4F"/>
    <w:rsid w:val="0031220D"/>
    <w:rsid w:val="003124A0"/>
    <w:rsid w:val="003127D1"/>
    <w:rsid w:val="0031286E"/>
    <w:rsid w:val="00312C37"/>
    <w:rsid w:val="00312EFA"/>
    <w:rsid w:val="00312EFD"/>
    <w:rsid w:val="0031351B"/>
    <w:rsid w:val="00313546"/>
    <w:rsid w:val="00313573"/>
    <w:rsid w:val="003138DB"/>
    <w:rsid w:val="00313911"/>
    <w:rsid w:val="00313AF7"/>
    <w:rsid w:val="00313DA3"/>
    <w:rsid w:val="00313E72"/>
    <w:rsid w:val="00313EB6"/>
    <w:rsid w:val="00314409"/>
    <w:rsid w:val="00314587"/>
    <w:rsid w:val="0031459E"/>
    <w:rsid w:val="003147E7"/>
    <w:rsid w:val="00314C2F"/>
    <w:rsid w:val="00314D64"/>
    <w:rsid w:val="00314FCD"/>
    <w:rsid w:val="003150C5"/>
    <w:rsid w:val="00315274"/>
    <w:rsid w:val="0031539D"/>
    <w:rsid w:val="003153BA"/>
    <w:rsid w:val="00315E04"/>
    <w:rsid w:val="00315E07"/>
    <w:rsid w:val="00316695"/>
    <w:rsid w:val="00316D1B"/>
    <w:rsid w:val="00316DF1"/>
    <w:rsid w:val="00317194"/>
    <w:rsid w:val="00317285"/>
    <w:rsid w:val="003172F4"/>
    <w:rsid w:val="003202FA"/>
    <w:rsid w:val="00320523"/>
    <w:rsid w:val="003205FB"/>
    <w:rsid w:val="003208B6"/>
    <w:rsid w:val="003209FC"/>
    <w:rsid w:val="00320F82"/>
    <w:rsid w:val="00321034"/>
    <w:rsid w:val="00321339"/>
    <w:rsid w:val="00321458"/>
    <w:rsid w:val="003214A6"/>
    <w:rsid w:val="00321506"/>
    <w:rsid w:val="003215C2"/>
    <w:rsid w:val="003216B3"/>
    <w:rsid w:val="00321B8F"/>
    <w:rsid w:val="00321E9C"/>
    <w:rsid w:val="00321F90"/>
    <w:rsid w:val="00322026"/>
    <w:rsid w:val="00322090"/>
    <w:rsid w:val="00322446"/>
    <w:rsid w:val="00322697"/>
    <w:rsid w:val="00322806"/>
    <w:rsid w:val="00322B9B"/>
    <w:rsid w:val="00322BD8"/>
    <w:rsid w:val="00322C45"/>
    <w:rsid w:val="00323775"/>
    <w:rsid w:val="00324355"/>
    <w:rsid w:val="00324541"/>
    <w:rsid w:val="00324C55"/>
    <w:rsid w:val="00325007"/>
    <w:rsid w:val="003259FA"/>
    <w:rsid w:val="00325BF2"/>
    <w:rsid w:val="00325CFF"/>
    <w:rsid w:val="0032620E"/>
    <w:rsid w:val="003268B2"/>
    <w:rsid w:val="00326A74"/>
    <w:rsid w:val="00326ED1"/>
    <w:rsid w:val="00327199"/>
    <w:rsid w:val="00327975"/>
    <w:rsid w:val="00327DC7"/>
    <w:rsid w:val="00327E77"/>
    <w:rsid w:val="00327F13"/>
    <w:rsid w:val="003300A0"/>
    <w:rsid w:val="00330176"/>
    <w:rsid w:val="003302A7"/>
    <w:rsid w:val="003306BE"/>
    <w:rsid w:val="00330827"/>
    <w:rsid w:val="003308CA"/>
    <w:rsid w:val="00330C0A"/>
    <w:rsid w:val="00330F8E"/>
    <w:rsid w:val="003314FE"/>
    <w:rsid w:val="00331897"/>
    <w:rsid w:val="0033192F"/>
    <w:rsid w:val="003319A5"/>
    <w:rsid w:val="00331A7D"/>
    <w:rsid w:val="00331C5F"/>
    <w:rsid w:val="00331F67"/>
    <w:rsid w:val="0033236C"/>
    <w:rsid w:val="003327ED"/>
    <w:rsid w:val="00332A5E"/>
    <w:rsid w:val="00332C4C"/>
    <w:rsid w:val="00332CF2"/>
    <w:rsid w:val="003333EC"/>
    <w:rsid w:val="00333B94"/>
    <w:rsid w:val="00333BEC"/>
    <w:rsid w:val="00333E93"/>
    <w:rsid w:val="0033428D"/>
    <w:rsid w:val="00334603"/>
    <w:rsid w:val="003352FA"/>
    <w:rsid w:val="0033556A"/>
    <w:rsid w:val="003355DC"/>
    <w:rsid w:val="0033597E"/>
    <w:rsid w:val="00335CEE"/>
    <w:rsid w:val="00335D4B"/>
    <w:rsid w:val="00335EC4"/>
    <w:rsid w:val="00336F71"/>
    <w:rsid w:val="00337142"/>
    <w:rsid w:val="00337978"/>
    <w:rsid w:val="00337DB7"/>
    <w:rsid w:val="00337DB9"/>
    <w:rsid w:val="0034046C"/>
    <w:rsid w:val="00340639"/>
    <w:rsid w:val="003407DD"/>
    <w:rsid w:val="00340827"/>
    <w:rsid w:val="00341182"/>
    <w:rsid w:val="0034149D"/>
    <w:rsid w:val="00341FB6"/>
    <w:rsid w:val="00342292"/>
    <w:rsid w:val="00342C02"/>
    <w:rsid w:val="00342D02"/>
    <w:rsid w:val="00343982"/>
    <w:rsid w:val="003439D4"/>
    <w:rsid w:val="00343A4A"/>
    <w:rsid w:val="00343AF7"/>
    <w:rsid w:val="00343CD5"/>
    <w:rsid w:val="00344027"/>
    <w:rsid w:val="003440C3"/>
    <w:rsid w:val="00344284"/>
    <w:rsid w:val="00344406"/>
    <w:rsid w:val="003446C1"/>
    <w:rsid w:val="0034496F"/>
    <w:rsid w:val="00344C42"/>
    <w:rsid w:val="00344DA3"/>
    <w:rsid w:val="0034568C"/>
    <w:rsid w:val="003456BD"/>
    <w:rsid w:val="00345EC7"/>
    <w:rsid w:val="00346015"/>
    <w:rsid w:val="003462BA"/>
    <w:rsid w:val="00346884"/>
    <w:rsid w:val="0034696D"/>
    <w:rsid w:val="003471AF"/>
    <w:rsid w:val="003472A8"/>
    <w:rsid w:val="00347311"/>
    <w:rsid w:val="003475FF"/>
    <w:rsid w:val="00347834"/>
    <w:rsid w:val="00347C06"/>
    <w:rsid w:val="003506B1"/>
    <w:rsid w:val="00350790"/>
    <w:rsid w:val="00350E20"/>
    <w:rsid w:val="00351143"/>
    <w:rsid w:val="00351199"/>
    <w:rsid w:val="00351851"/>
    <w:rsid w:val="003518CD"/>
    <w:rsid w:val="003519DD"/>
    <w:rsid w:val="00351AC4"/>
    <w:rsid w:val="00351BE8"/>
    <w:rsid w:val="00351F41"/>
    <w:rsid w:val="00352589"/>
    <w:rsid w:val="003526BE"/>
    <w:rsid w:val="0035271E"/>
    <w:rsid w:val="0035291D"/>
    <w:rsid w:val="00352B65"/>
    <w:rsid w:val="003531AE"/>
    <w:rsid w:val="003532F6"/>
    <w:rsid w:val="003533AE"/>
    <w:rsid w:val="00353443"/>
    <w:rsid w:val="0035350F"/>
    <w:rsid w:val="0035375E"/>
    <w:rsid w:val="00354245"/>
    <w:rsid w:val="003542AF"/>
    <w:rsid w:val="00354851"/>
    <w:rsid w:val="00354917"/>
    <w:rsid w:val="0035491E"/>
    <w:rsid w:val="00354D56"/>
    <w:rsid w:val="00354E28"/>
    <w:rsid w:val="00354E64"/>
    <w:rsid w:val="0035519A"/>
    <w:rsid w:val="00355243"/>
    <w:rsid w:val="003552F8"/>
    <w:rsid w:val="0035578C"/>
    <w:rsid w:val="003558AE"/>
    <w:rsid w:val="003558BC"/>
    <w:rsid w:val="00355EE8"/>
    <w:rsid w:val="00355F53"/>
    <w:rsid w:val="00355FFA"/>
    <w:rsid w:val="0035604B"/>
    <w:rsid w:val="00356619"/>
    <w:rsid w:val="003567CB"/>
    <w:rsid w:val="00356928"/>
    <w:rsid w:val="00356F33"/>
    <w:rsid w:val="00356FF7"/>
    <w:rsid w:val="00357676"/>
    <w:rsid w:val="003578EE"/>
    <w:rsid w:val="00357A9A"/>
    <w:rsid w:val="00357C46"/>
    <w:rsid w:val="00357E97"/>
    <w:rsid w:val="00360A97"/>
    <w:rsid w:val="00360AB6"/>
    <w:rsid w:val="00360AC3"/>
    <w:rsid w:val="00360BD3"/>
    <w:rsid w:val="00360E38"/>
    <w:rsid w:val="00360E84"/>
    <w:rsid w:val="00360F0F"/>
    <w:rsid w:val="003613A6"/>
    <w:rsid w:val="003613AB"/>
    <w:rsid w:val="00361579"/>
    <w:rsid w:val="00361816"/>
    <w:rsid w:val="00361944"/>
    <w:rsid w:val="00361996"/>
    <w:rsid w:val="00361D2F"/>
    <w:rsid w:val="003620DB"/>
    <w:rsid w:val="00362114"/>
    <w:rsid w:val="003626C8"/>
    <w:rsid w:val="00362AC5"/>
    <w:rsid w:val="00362B2B"/>
    <w:rsid w:val="00362BEC"/>
    <w:rsid w:val="00362D36"/>
    <w:rsid w:val="00362DEA"/>
    <w:rsid w:val="00362E37"/>
    <w:rsid w:val="00362F43"/>
    <w:rsid w:val="003630B7"/>
    <w:rsid w:val="003637B4"/>
    <w:rsid w:val="00363F4E"/>
    <w:rsid w:val="003640CB"/>
    <w:rsid w:val="00364700"/>
    <w:rsid w:val="0036487E"/>
    <w:rsid w:val="00364967"/>
    <w:rsid w:val="00364BF1"/>
    <w:rsid w:val="003650F1"/>
    <w:rsid w:val="00365687"/>
    <w:rsid w:val="003656E6"/>
    <w:rsid w:val="00365932"/>
    <w:rsid w:val="003659B7"/>
    <w:rsid w:val="00365D02"/>
    <w:rsid w:val="00366323"/>
    <w:rsid w:val="003665CF"/>
    <w:rsid w:val="00366C63"/>
    <w:rsid w:val="003670DC"/>
    <w:rsid w:val="00367377"/>
    <w:rsid w:val="00367641"/>
    <w:rsid w:val="003676B5"/>
    <w:rsid w:val="003676E5"/>
    <w:rsid w:val="00367BC3"/>
    <w:rsid w:val="00367CAF"/>
    <w:rsid w:val="00367EDE"/>
    <w:rsid w:val="00370487"/>
    <w:rsid w:val="003704C8"/>
    <w:rsid w:val="003706C0"/>
    <w:rsid w:val="00370D5A"/>
    <w:rsid w:val="00370D86"/>
    <w:rsid w:val="00370F0E"/>
    <w:rsid w:val="00370F2C"/>
    <w:rsid w:val="00370FAF"/>
    <w:rsid w:val="003710FD"/>
    <w:rsid w:val="003716C3"/>
    <w:rsid w:val="00371905"/>
    <w:rsid w:val="00371D08"/>
    <w:rsid w:val="00371FF5"/>
    <w:rsid w:val="0037247B"/>
    <w:rsid w:val="00372486"/>
    <w:rsid w:val="00372537"/>
    <w:rsid w:val="00372588"/>
    <w:rsid w:val="003725EC"/>
    <w:rsid w:val="0037293A"/>
    <w:rsid w:val="00372F93"/>
    <w:rsid w:val="00373161"/>
    <w:rsid w:val="00373180"/>
    <w:rsid w:val="00373257"/>
    <w:rsid w:val="003736FA"/>
    <w:rsid w:val="00373B36"/>
    <w:rsid w:val="00373B53"/>
    <w:rsid w:val="00373CC1"/>
    <w:rsid w:val="00373DCB"/>
    <w:rsid w:val="00373DE3"/>
    <w:rsid w:val="00373F55"/>
    <w:rsid w:val="00374197"/>
    <w:rsid w:val="00374389"/>
    <w:rsid w:val="003744A5"/>
    <w:rsid w:val="0037461F"/>
    <w:rsid w:val="0037494A"/>
    <w:rsid w:val="00374993"/>
    <w:rsid w:val="00374D46"/>
    <w:rsid w:val="00375038"/>
    <w:rsid w:val="00375393"/>
    <w:rsid w:val="00375497"/>
    <w:rsid w:val="00375570"/>
    <w:rsid w:val="00375646"/>
    <w:rsid w:val="00375848"/>
    <w:rsid w:val="003758C9"/>
    <w:rsid w:val="00375D97"/>
    <w:rsid w:val="00375E53"/>
    <w:rsid w:val="003762C5"/>
    <w:rsid w:val="00376A79"/>
    <w:rsid w:val="00376EC9"/>
    <w:rsid w:val="003773A4"/>
    <w:rsid w:val="003773ED"/>
    <w:rsid w:val="00377457"/>
    <w:rsid w:val="0037776A"/>
    <w:rsid w:val="00377A1D"/>
    <w:rsid w:val="00377A8E"/>
    <w:rsid w:val="00377D42"/>
    <w:rsid w:val="0038008B"/>
    <w:rsid w:val="00380397"/>
    <w:rsid w:val="003805F0"/>
    <w:rsid w:val="003807EF"/>
    <w:rsid w:val="00380842"/>
    <w:rsid w:val="003808E7"/>
    <w:rsid w:val="00380A70"/>
    <w:rsid w:val="00380FE2"/>
    <w:rsid w:val="00381358"/>
    <w:rsid w:val="003818EB"/>
    <w:rsid w:val="00381B05"/>
    <w:rsid w:val="00381CAA"/>
    <w:rsid w:val="00381F1C"/>
    <w:rsid w:val="00381FA5"/>
    <w:rsid w:val="003820C3"/>
    <w:rsid w:val="00382768"/>
    <w:rsid w:val="00382BF0"/>
    <w:rsid w:val="00382C64"/>
    <w:rsid w:val="00383126"/>
    <w:rsid w:val="0038346B"/>
    <w:rsid w:val="00383E24"/>
    <w:rsid w:val="003841BE"/>
    <w:rsid w:val="00384249"/>
    <w:rsid w:val="003847DA"/>
    <w:rsid w:val="003848C2"/>
    <w:rsid w:val="00384F80"/>
    <w:rsid w:val="00384FCC"/>
    <w:rsid w:val="003851DD"/>
    <w:rsid w:val="003853A4"/>
    <w:rsid w:val="0038545D"/>
    <w:rsid w:val="003855FA"/>
    <w:rsid w:val="00385759"/>
    <w:rsid w:val="00385957"/>
    <w:rsid w:val="003859B4"/>
    <w:rsid w:val="00385AFC"/>
    <w:rsid w:val="00385F6D"/>
    <w:rsid w:val="0038634A"/>
    <w:rsid w:val="003863C5"/>
    <w:rsid w:val="00386599"/>
    <w:rsid w:val="00386780"/>
    <w:rsid w:val="00386AB3"/>
    <w:rsid w:val="00386BB4"/>
    <w:rsid w:val="00387029"/>
    <w:rsid w:val="0038717D"/>
    <w:rsid w:val="003876B9"/>
    <w:rsid w:val="00387D71"/>
    <w:rsid w:val="00390536"/>
    <w:rsid w:val="0039054A"/>
    <w:rsid w:val="00390877"/>
    <w:rsid w:val="00390A31"/>
    <w:rsid w:val="00390B33"/>
    <w:rsid w:val="003911C4"/>
    <w:rsid w:val="00391512"/>
    <w:rsid w:val="0039151D"/>
    <w:rsid w:val="003919A9"/>
    <w:rsid w:val="00391B13"/>
    <w:rsid w:val="00391D91"/>
    <w:rsid w:val="0039251F"/>
    <w:rsid w:val="003926C1"/>
    <w:rsid w:val="0039280A"/>
    <w:rsid w:val="00392BF1"/>
    <w:rsid w:val="00392C2F"/>
    <w:rsid w:val="00392E33"/>
    <w:rsid w:val="0039309D"/>
    <w:rsid w:val="00393263"/>
    <w:rsid w:val="00393379"/>
    <w:rsid w:val="0039346A"/>
    <w:rsid w:val="0039364E"/>
    <w:rsid w:val="0039378A"/>
    <w:rsid w:val="00393A9A"/>
    <w:rsid w:val="00393AF4"/>
    <w:rsid w:val="00393B77"/>
    <w:rsid w:val="00393E78"/>
    <w:rsid w:val="00394427"/>
    <w:rsid w:val="003946D2"/>
    <w:rsid w:val="003946F1"/>
    <w:rsid w:val="003946FA"/>
    <w:rsid w:val="00394B3A"/>
    <w:rsid w:val="00394C83"/>
    <w:rsid w:val="00394F5A"/>
    <w:rsid w:val="00395233"/>
    <w:rsid w:val="00395CBC"/>
    <w:rsid w:val="00396160"/>
    <w:rsid w:val="003964BA"/>
    <w:rsid w:val="003969E4"/>
    <w:rsid w:val="00396A70"/>
    <w:rsid w:val="00396B5E"/>
    <w:rsid w:val="00396DF5"/>
    <w:rsid w:val="00397018"/>
    <w:rsid w:val="00397575"/>
    <w:rsid w:val="0039770C"/>
    <w:rsid w:val="00397800"/>
    <w:rsid w:val="00397935"/>
    <w:rsid w:val="00397B1A"/>
    <w:rsid w:val="003A0240"/>
    <w:rsid w:val="003A0BAD"/>
    <w:rsid w:val="003A1D83"/>
    <w:rsid w:val="003A200A"/>
    <w:rsid w:val="003A21DD"/>
    <w:rsid w:val="003A2487"/>
    <w:rsid w:val="003A262E"/>
    <w:rsid w:val="003A26DF"/>
    <w:rsid w:val="003A2F6A"/>
    <w:rsid w:val="003A363E"/>
    <w:rsid w:val="003A38C5"/>
    <w:rsid w:val="003A3B0B"/>
    <w:rsid w:val="003A3D8A"/>
    <w:rsid w:val="003A3DD4"/>
    <w:rsid w:val="003A44FC"/>
    <w:rsid w:val="003A499E"/>
    <w:rsid w:val="003A4D3A"/>
    <w:rsid w:val="003A512D"/>
    <w:rsid w:val="003A5346"/>
    <w:rsid w:val="003A5506"/>
    <w:rsid w:val="003A5934"/>
    <w:rsid w:val="003A5ACC"/>
    <w:rsid w:val="003A6277"/>
    <w:rsid w:val="003A6379"/>
    <w:rsid w:val="003A6B35"/>
    <w:rsid w:val="003A6FB9"/>
    <w:rsid w:val="003A6FDA"/>
    <w:rsid w:val="003A7357"/>
    <w:rsid w:val="003A74E5"/>
    <w:rsid w:val="003A75A9"/>
    <w:rsid w:val="003A768E"/>
    <w:rsid w:val="003A77E2"/>
    <w:rsid w:val="003A782C"/>
    <w:rsid w:val="003A7CC8"/>
    <w:rsid w:val="003A7CFE"/>
    <w:rsid w:val="003A7F54"/>
    <w:rsid w:val="003A7F68"/>
    <w:rsid w:val="003B02B1"/>
    <w:rsid w:val="003B045F"/>
    <w:rsid w:val="003B06A3"/>
    <w:rsid w:val="003B0D5F"/>
    <w:rsid w:val="003B16EB"/>
    <w:rsid w:val="003B1809"/>
    <w:rsid w:val="003B1AE2"/>
    <w:rsid w:val="003B1DDB"/>
    <w:rsid w:val="003B1DE4"/>
    <w:rsid w:val="003B1E1B"/>
    <w:rsid w:val="003B219B"/>
    <w:rsid w:val="003B237A"/>
    <w:rsid w:val="003B2518"/>
    <w:rsid w:val="003B2564"/>
    <w:rsid w:val="003B2C0A"/>
    <w:rsid w:val="003B2E0F"/>
    <w:rsid w:val="003B300F"/>
    <w:rsid w:val="003B303C"/>
    <w:rsid w:val="003B3145"/>
    <w:rsid w:val="003B3D94"/>
    <w:rsid w:val="003B5088"/>
    <w:rsid w:val="003B50B9"/>
    <w:rsid w:val="003B530E"/>
    <w:rsid w:val="003B5B04"/>
    <w:rsid w:val="003B5BDE"/>
    <w:rsid w:val="003B5C8E"/>
    <w:rsid w:val="003B619E"/>
    <w:rsid w:val="003B63F9"/>
    <w:rsid w:val="003B69E8"/>
    <w:rsid w:val="003B6CD9"/>
    <w:rsid w:val="003B6DD0"/>
    <w:rsid w:val="003B6F3B"/>
    <w:rsid w:val="003B722F"/>
    <w:rsid w:val="003B7272"/>
    <w:rsid w:val="003B7871"/>
    <w:rsid w:val="003B7A2F"/>
    <w:rsid w:val="003B7AB3"/>
    <w:rsid w:val="003B7AC8"/>
    <w:rsid w:val="003B7B22"/>
    <w:rsid w:val="003B7B28"/>
    <w:rsid w:val="003B7C69"/>
    <w:rsid w:val="003B7E30"/>
    <w:rsid w:val="003B7F30"/>
    <w:rsid w:val="003C03A6"/>
    <w:rsid w:val="003C0521"/>
    <w:rsid w:val="003C05C0"/>
    <w:rsid w:val="003C1122"/>
    <w:rsid w:val="003C1142"/>
    <w:rsid w:val="003C133B"/>
    <w:rsid w:val="003C1496"/>
    <w:rsid w:val="003C1F7E"/>
    <w:rsid w:val="003C20AE"/>
    <w:rsid w:val="003C28AA"/>
    <w:rsid w:val="003C29EE"/>
    <w:rsid w:val="003C2BB6"/>
    <w:rsid w:val="003C2FF1"/>
    <w:rsid w:val="003C3044"/>
    <w:rsid w:val="003C30A2"/>
    <w:rsid w:val="003C3224"/>
    <w:rsid w:val="003C355F"/>
    <w:rsid w:val="003C369F"/>
    <w:rsid w:val="003C3A52"/>
    <w:rsid w:val="003C3C68"/>
    <w:rsid w:val="003C3D30"/>
    <w:rsid w:val="003C3F42"/>
    <w:rsid w:val="003C4150"/>
    <w:rsid w:val="003C46C2"/>
    <w:rsid w:val="003C48F5"/>
    <w:rsid w:val="003C4AE2"/>
    <w:rsid w:val="003C4C0C"/>
    <w:rsid w:val="003C4D25"/>
    <w:rsid w:val="003C4F64"/>
    <w:rsid w:val="003C4FF9"/>
    <w:rsid w:val="003C50AD"/>
    <w:rsid w:val="003C528D"/>
    <w:rsid w:val="003C54A6"/>
    <w:rsid w:val="003C54D5"/>
    <w:rsid w:val="003C57AF"/>
    <w:rsid w:val="003C5DE9"/>
    <w:rsid w:val="003C6365"/>
    <w:rsid w:val="003C665D"/>
    <w:rsid w:val="003C66AA"/>
    <w:rsid w:val="003C68F4"/>
    <w:rsid w:val="003C6AA7"/>
    <w:rsid w:val="003C6BBF"/>
    <w:rsid w:val="003C7019"/>
    <w:rsid w:val="003C7088"/>
    <w:rsid w:val="003C711D"/>
    <w:rsid w:val="003C7605"/>
    <w:rsid w:val="003C7800"/>
    <w:rsid w:val="003C789F"/>
    <w:rsid w:val="003C7AA3"/>
    <w:rsid w:val="003C7C45"/>
    <w:rsid w:val="003C7E86"/>
    <w:rsid w:val="003D00C8"/>
    <w:rsid w:val="003D0624"/>
    <w:rsid w:val="003D0F19"/>
    <w:rsid w:val="003D1240"/>
    <w:rsid w:val="003D1303"/>
    <w:rsid w:val="003D13EA"/>
    <w:rsid w:val="003D16CF"/>
    <w:rsid w:val="003D1957"/>
    <w:rsid w:val="003D1B6D"/>
    <w:rsid w:val="003D214A"/>
    <w:rsid w:val="003D216C"/>
    <w:rsid w:val="003D2579"/>
    <w:rsid w:val="003D2731"/>
    <w:rsid w:val="003D2749"/>
    <w:rsid w:val="003D2AC8"/>
    <w:rsid w:val="003D2C29"/>
    <w:rsid w:val="003D2C5D"/>
    <w:rsid w:val="003D2F85"/>
    <w:rsid w:val="003D3056"/>
    <w:rsid w:val="003D3170"/>
    <w:rsid w:val="003D33A4"/>
    <w:rsid w:val="003D344E"/>
    <w:rsid w:val="003D359F"/>
    <w:rsid w:val="003D35D7"/>
    <w:rsid w:val="003D36F4"/>
    <w:rsid w:val="003D378D"/>
    <w:rsid w:val="003D37A8"/>
    <w:rsid w:val="003D38D4"/>
    <w:rsid w:val="003D4576"/>
    <w:rsid w:val="003D462F"/>
    <w:rsid w:val="003D466F"/>
    <w:rsid w:val="003D4896"/>
    <w:rsid w:val="003D491E"/>
    <w:rsid w:val="003D4920"/>
    <w:rsid w:val="003D4A15"/>
    <w:rsid w:val="003D4BEC"/>
    <w:rsid w:val="003D4D71"/>
    <w:rsid w:val="003D53EA"/>
    <w:rsid w:val="003D5515"/>
    <w:rsid w:val="003D6232"/>
    <w:rsid w:val="003D6A28"/>
    <w:rsid w:val="003D6BE3"/>
    <w:rsid w:val="003D728F"/>
    <w:rsid w:val="003D74AF"/>
    <w:rsid w:val="003E0275"/>
    <w:rsid w:val="003E02A1"/>
    <w:rsid w:val="003E037B"/>
    <w:rsid w:val="003E0931"/>
    <w:rsid w:val="003E0F7D"/>
    <w:rsid w:val="003E1017"/>
    <w:rsid w:val="003E1033"/>
    <w:rsid w:val="003E1851"/>
    <w:rsid w:val="003E18A6"/>
    <w:rsid w:val="003E2125"/>
    <w:rsid w:val="003E21CC"/>
    <w:rsid w:val="003E22E0"/>
    <w:rsid w:val="003E2BD2"/>
    <w:rsid w:val="003E2C0B"/>
    <w:rsid w:val="003E371D"/>
    <w:rsid w:val="003E3C7E"/>
    <w:rsid w:val="003E4035"/>
    <w:rsid w:val="003E4295"/>
    <w:rsid w:val="003E42B9"/>
    <w:rsid w:val="003E4529"/>
    <w:rsid w:val="003E4816"/>
    <w:rsid w:val="003E4A88"/>
    <w:rsid w:val="003E4D49"/>
    <w:rsid w:val="003E4E7C"/>
    <w:rsid w:val="003E4E8E"/>
    <w:rsid w:val="003E577C"/>
    <w:rsid w:val="003E5A46"/>
    <w:rsid w:val="003E6537"/>
    <w:rsid w:val="003E6556"/>
    <w:rsid w:val="003E665C"/>
    <w:rsid w:val="003E680D"/>
    <w:rsid w:val="003E6A6D"/>
    <w:rsid w:val="003E6B76"/>
    <w:rsid w:val="003E6B7D"/>
    <w:rsid w:val="003E6CE5"/>
    <w:rsid w:val="003E6D6A"/>
    <w:rsid w:val="003E6DA5"/>
    <w:rsid w:val="003E7040"/>
    <w:rsid w:val="003E7496"/>
    <w:rsid w:val="003E7562"/>
    <w:rsid w:val="003E75CF"/>
    <w:rsid w:val="003F01AC"/>
    <w:rsid w:val="003F027D"/>
    <w:rsid w:val="003F0764"/>
    <w:rsid w:val="003F0B2C"/>
    <w:rsid w:val="003F0F0F"/>
    <w:rsid w:val="003F11A3"/>
    <w:rsid w:val="003F1BDC"/>
    <w:rsid w:val="003F211F"/>
    <w:rsid w:val="003F2173"/>
    <w:rsid w:val="003F21BA"/>
    <w:rsid w:val="003F2AE3"/>
    <w:rsid w:val="003F3537"/>
    <w:rsid w:val="003F3C56"/>
    <w:rsid w:val="003F3DC6"/>
    <w:rsid w:val="003F3F53"/>
    <w:rsid w:val="003F3FAE"/>
    <w:rsid w:val="003F40A0"/>
    <w:rsid w:val="003F422F"/>
    <w:rsid w:val="003F42E6"/>
    <w:rsid w:val="003F47AF"/>
    <w:rsid w:val="003F490C"/>
    <w:rsid w:val="003F554C"/>
    <w:rsid w:val="003F563C"/>
    <w:rsid w:val="003F5997"/>
    <w:rsid w:val="003F5D10"/>
    <w:rsid w:val="003F5FDC"/>
    <w:rsid w:val="003F6303"/>
    <w:rsid w:val="003F6412"/>
    <w:rsid w:val="003F6462"/>
    <w:rsid w:val="003F66AA"/>
    <w:rsid w:val="003F6767"/>
    <w:rsid w:val="003F698D"/>
    <w:rsid w:val="003F6B69"/>
    <w:rsid w:val="003F6BC0"/>
    <w:rsid w:val="003F737A"/>
    <w:rsid w:val="003F772F"/>
    <w:rsid w:val="003F77FD"/>
    <w:rsid w:val="003F78BB"/>
    <w:rsid w:val="003F7C2E"/>
    <w:rsid w:val="003F7C7F"/>
    <w:rsid w:val="003F7CAD"/>
    <w:rsid w:val="00400133"/>
    <w:rsid w:val="00400333"/>
    <w:rsid w:val="00400554"/>
    <w:rsid w:val="00400580"/>
    <w:rsid w:val="00400AB1"/>
    <w:rsid w:val="00400AC1"/>
    <w:rsid w:val="00400B00"/>
    <w:rsid w:val="00400F93"/>
    <w:rsid w:val="004010BE"/>
    <w:rsid w:val="004010F8"/>
    <w:rsid w:val="0040142C"/>
    <w:rsid w:val="00401502"/>
    <w:rsid w:val="0040169A"/>
    <w:rsid w:val="004017DD"/>
    <w:rsid w:val="00401A45"/>
    <w:rsid w:val="00401DBB"/>
    <w:rsid w:val="00401DEC"/>
    <w:rsid w:val="004022A2"/>
    <w:rsid w:val="00402496"/>
    <w:rsid w:val="00402795"/>
    <w:rsid w:val="004029F4"/>
    <w:rsid w:val="00402C32"/>
    <w:rsid w:val="00402DEA"/>
    <w:rsid w:val="00403019"/>
    <w:rsid w:val="00403285"/>
    <w:rsid w:val="004032B7"/>
    <w:rsid w:val="004036E2"/>
    <w:rsid w:val="00403EC0"/>
    <w:rsid w:val="004040B3"/>
    <w:rsid w:val="00404787"/>
    <w:rsid w:val="00404788"/>
    <w:rsid w:val="004047E4"/>
    <w:rsid w:val="00404A6C"/>
    <w:rsid w:val="00404D6E"/>
    <w:rsid w:val="00405134"/>
    <w:rsid w:val="004052CB"/>
    <w:rsid w:val="00405703"/>
    <w:rsid w:val="00405A87"/>
    <w:rsid w:val="00405F22"/>
    <w:rsid w:val="0040618A"/>
    <w:rsid w:val="004063C4"/>
    <w:rsid w:val="004067C3"/>
    <w:rsid w:val="00406888"/>
    <w:rsid w:val="0040699D"/>
    <w:rsid w:val="00406D45"/>
    <w:rsid w:val="004070CC"/>
    <w:rsid w:val="004070EA"/>
    <w:rsid w:val="00407421"/>
    <w:rsid w:val="0040763A"/>
    <w:rsid w:val="004077DD"/>
    <w:rsid w:val="00407C9A"/>
    <w:rsid w:val="0041010D"/>
    <w:rsid w:val="00410285"/>
    <w:rsid w:val="00410339"/>
    <w:rsid w:val="00410A70"/>
    <w:rsid w:val="004110DE"/>
    <w:rsid w:val="0041116F"/>
    <w:rsid w:val="004112B8"/>
    <w:rsid w:val="00411810"/>
    <w:rsid w:val="0041198C"/>
    <w:rsid w:val="0041226C"/>
    <w:rsid w:val="004122A3"/>
    <w:rsid w:val="004122A8"/>
    <w:rsid w:val="0041258F"/>
    <w:rsid w:val="00412E60"/>
    <w:rsid w:val="00413029"/>
    <w:rsid w:val="004131CA"/>
    <w:rsid w:val="004133F8"/>
    <w:rsid w:val="0041347F"/>
    <w:rsid w:val="004139CF"/>
    <w:rsid w:val="00413A82"/>
    <w:rsid w:val="00413D18"/>
    <w:rsid w:val="00413EBA"/>
    <w:rsid w:val="00413FE7"/>
    <w:rsid w:val="0041412D"/>
    <w:rsid w:val="0041433A"/>
    <w:rsid w:val="004144CB"/>
    <w:rsid w:val="0041466E"/>
    <w:rsid w:val="004148E2"/>
    <w:rsid w:val="00414DEB"/>
    <w:rsid w:val="0041518B"/>
    <w:rsid w:val="004157C9"/>
    <w:rsid w:val="00415801"/>
    <w:rsid w:val="00415940"/>
    <w:rsid w:val="00416187"/>
    <w:rsid w:val="004163F8"/>
    <w:rsid w:val="00416540"/>
    <w:rsid w:val="00416577"/>
    <w:rsid w:val="00416A2B"/>
    <w:rsid w:val="00416A69"/>
    <w:rsid w:val="00416D42"/>
    <w:rsid w:val="00416EBF"/>
    <w:rsid w:val="004173D0"/>
    <w:rsid w:val="00417532"/>
    <w:rsid w:val="00417596"/>
    <w:rsid w:val="004178F3"/>
    <w:rsid w:val="00417CCE"/>
    <w:rsid w:val="00417DB1"/>
    <w:rsid w:val="00417E0B"/>
    <w:rsid w:val="004208FA"/>
    <w:rsid w:val="00420E2C"/>
    <w:rsid w:val="00420E39"/>
    <w:rsid w:val="00420EC5"/>
    <w:rsid w:val="00420FE4"/>
    <w:rsid w:val="0042111F"/>
    <w:rsid w:val="004214B4"/>
    <w:rsid w:val="00421971"/>
    <w:rsid w:val="00422128"/>
    <w:rsid w:val="00422406"/>
    <w:rsid w:val="004224E0"/>
    <w:rsid w:val="00422F8A"/>
    <w:rsid w:val="004230D8"/>
    <w:rsid w:val="004230F3"/>
    <w:rsid w:val="00423122"/>
    <w:rsid w:val="004232BE"/>
    <w:rsid w:val="0042380F"/>
    <w:rsid w:val="004239F3"/>
    <w:rsid w:val="00423C26"/>
    <w:rsid w:val="00423E12"/>
    <w:rsid w:val="00424813"/>
    <w:rsid w:val="00424B93"/>
    <w:rsid w:val="00424FC6"/>
    <w:rsid w:val="0042543A"/>
    <w:rsid w:val="004257B7"/>
    <w:rsid w:val="00426508"/>
    <w:rsid w:val="0042654D"/>
    <w:rsid w:val="004269A2"/>
    <w:rsid w:val="004269D5"/>
    <w:rsid w:val="00426D08"/>
    <w:rsid w:val="00426DE0"/>
    <w:rsid w:val="00426ECA"/>
    <w:rsid w:val="00427376"/>
    <w:rsid w:val="00427434"/>
    <w:rsid w:val="004275E3"/>
    <w:rsid w:val="0042792F"/>
    <w:rsid w:val="00427B7D"/>
    <w:rsid w:val="00427CB1"/>
    <w:rsid w:val="00427DB6"/>
    <w:rsid w:val="00430236"/>
    <w:rsid w:val="00430260"/>
    <w:rsid w:val="0043036B"/>
    <w:rsid w:val="00430872"/>
    <w:rsid w:val="004309F1"/>
    <w:rsid w:val="00430CFF"/>
    <w:rsid w:val="00430FF0"/>
    <w:rsid w:val="004312F5"/>
    <w:rsid w:val="004317DD"/>
    <w:rsid w:val="0043187F"/>
    <w:rsid w:val="00431AC8"/>
    <w:rsid w:val="00431CA3"/>
    <w:rsid w:val="00431DAD"/>
    <w:rsid w:val="004325D0"/>
    <w:rsid w:val="00432625"/>
    <w:rsid w:val="00432855"/>
    <w:rsid w:val="00432A32"/>
    <w:rsid w:val="00432BC8"/>
    <w:rsid w:val="00433ACB"/>
    <w:rsid w:val="00433CA5"/>
    <w:rsid w:val="00433E7A"/>
    <w:rsid w:val="00434098"/>
    <w:rsid w:val="004345ED"/>
    <w:rsid w:val="00434610"/>
    <w:rsid w:val="00434BF2"/>
    <w:rsid w:val="00434DD6"/>
    <w:rsid w:val="004350C9"/>
    <w:rsid w:val="0043528E"/>
    <w:rsid w:val="00435677"/>
    <w:rsid w:val="00435729"/>
    <w:rsid w:val="0043598B"/>
    <w:rsid w:val="004359E7"/>
    <w:rsid w:val="00435B74"/>
    <w:rsid w:val="00435CB4"/>
    <w:rsid w:val="00435ED4"/>
    <w:rsid w:val="00436092"/>
    <w:rsid w:val="0043723E"/>
    <w:rsid w:val="00437604"/>
    <w:rsid w:val="004376DE"/>
    <w:rsid w:val="00437729"/>
    <w:rsid w:val="004378E6"/>
    <w:rsid w:val="004379C3"/>
    <w:rsid w:val="00437C01"/>
    <w:rsid w:val="00437F06"/>
    <w:rsid w:val="00437F15"/>
    <w:rsid w:val="0044086C"/>
    <w:rsid w:val="0044090F"/>
    <w:rsid w:val="00440D58"/>
    <w:rsid w:val="00440F02"/>
    <w:rsid w:val="00441288"/>
    <w:rsid w:val="0044152F"/>
    <w:rsid w:val="004415D6"/>
    <w:rsid w:val="00441992"/>
    <w:rsid w:val="00441C99"/>
    <w:rsid w:val="00442A56"/>
    <w:rsid w:val="00442D46"/>
    <w:rsid w:val="00442E76"/>
    <w:rsid w:val="00442F51"/>
    <w:rsid w:val="00443181"/>
    <w:rsid w:val="004432EA"/>
    <w:rsid w:val="0044378B"/>
    <w:rsid w:val="00443A9D"/>
    <w:rsid w:val="00443DA7"/>
    <w:rsid w:val="0044401A"/>
    <w:rsid w:val="004441A6"/>
    <w:rsid w:val="00444529"/>
    <w:rsid w:val="004445DD"/>
    <w:rsid w:val="00444636"/>
    <w:rsid w:val="0044478B"/>
    <w:rsid w:val="004449E1"/>
    <w:rsid w:val="00444B81"/>
    <w:rsid w:val="00445410"/>
    <w:rsid w:val="00445A98"/>
    <w:rsid w:val="0044643C"/>
    <w:rsid w:val="00446588"/>
    <w:rsid w:val="00446608"/>
    <w:rsid w:val="00446B8D"/>
    <w:rsid w:val="004470DB"/>
    <w:rsid w:val="00447199"/>
    <w:rsid w:val="00447613"/>
    <w:rsid w:val="00450069"/>
    <w:rsid w:val="004500A9"/>
    <w:rsid w:val="004500C8"/>
    <w:rsid w:val="0045058B"/>
    <w:rsid w:val="00450A0F"/>
    <w:rsid w:val="00450CA3"/>
    <w:rsid w:val="004511C3"/>
    <w:rsid w:val="0045123B"/>
    <w:rsid w:val="00451261"/>
    <w:rsid w:val="004515B3"/>
    <w:rsid w:val="0045178C"/>
    <w:rsid w:val="00451B8B"/>
    <w:rsid w:val="00451DBE"/>
    <w:rsid w:val="00451E1D"/>
    <w:rsid w:val="00451E67"/>
    <w:rsid w:val="00451F67"/>
    <w:rsid w:val="004525F2"/>
    <w:rsid w:val="004526FE"/>
    <w:rsid w:val="004528F5"/>
    <w:rsid w:val="004529A9"/>
    <w:rsid w:val="004529B4"/>
    <w:rsid w:val="0045330C"/>
    <w:rsid w:val="00454245"/>
    <w:rsid w:val="00454254"/>
    <w:rsid w:val="004543AB"/>
    <w:rsid w:val="00454642"/>
    <w:rsid w:val="00454867"/>
    <w:rsid w:val="004549B6"/>
    <w:rsid w:val="004549DA"/>
    <w:rsid w:val="00454BED"/>
    <w:rsid w:val="0045546C"/>
    <w:rsid w:val="00455F70"/>
    <w:rsid w:val="00456226"/>
    <w:rsid w:val="00456572"/>
    <w:rsid w:val="00456882"/>
    <w:rsid w:val="004569D3"/>
    <w:rsid w:val="00456F97"/>
    <w:rsid w:val="0045713C"/>
    <w:rsid w:val="00457276"/>
    <w:rsid w:val="004573D9"/>
    <w:rsid w:val="00457638"/>
    <w:rsid w:val="00457B93"/>
    <w:rsid w:val="00457EEE"/>
    <w:rsid w:val="0046022D"/>
    <w:rsid w:val="00460327"/>
    <w:rsid w:val="004605C5"/>
    <w:rsid w:val="004606C4"/>
    <w:rsid w:val="00460728"/>
    <w:rsid w:val="00460A40"/>
    <w:rsid w:val="00460DDF"/>
    <w:rsid w:val="0046134B"/>
    <w:rsid w:val="00461573"/>
    <w:rsid w:val="004615D4"/>
    <w:rsid w:val="00461B9F"/>
    <w:rsid w:val="00461C91"/>
    <w:rsid w:val="00462169"/>
    <w:rsid w:val="00462311"/>
    <w:rsid w:val="00462373"/>
    <w:rsid w:val="00462423"/>
    <w:rsid w:val="00462BF2"/>
    <w:rsid w:val="00462D27"/>
    <w:rsid w:val="00462E40"/>
    <w:rsid w:val="004630FC"/>
    <w:rsid w:val="00463141"/>
    <w:rsid w:val="00463346"/>
    <w:rsid w:val="00463884"/>
    <w:rsid w:val="00464148"/>
    <w:rsid w:val="00464276"/>
    <w:rsid w:val="00464D80"/>
    <w:rsid w:val="004652CA"/>
    <w:rsid w:val="00465488"/>
    <w:rsid w:val="0046595C"/>
    <w:rsid w:val="00465DD5"/>
    <w:rsid w:val="00465F7A"/>
    <w:rsid w:val="00465FE6"/>
    <w:rsid w:val="004664DF"/>
    <w:rsid w:val="00466609"/>
    <w:rsid w:val="004666BC"/>
    <w:rsid w:val="00466D5F"/>
    <w:rsid w:val="004676D4"/>
    <w:rsid w:val="004677BB"/>
    <w:rsid w:val="00467B4A"/>
    <w:rsid w:val="00467CC7"/>
    <w:rsid w:val="00467E8F"/>
    <w:rsid w:val="00467EFA"/>
    <w:rsid w:val="00470520"/>
    <w:rsid w:val="0047061B"/>
    <w:rsid w:val="00470BFB"/>
    <w:rsid w:val="00470C29"/>
    <w:rsid w:val="00470EEC"/>
    <w:rsid w:val="00471023"/>
    <w:rsid w:val="00471025"/>
    <w:rsid w:val="00471138"/>
    <w:rsid w:val="0047144E"/>
    <w:rsid w:val="00471485"/>
    <w:rsid w:val="004714A8"/>
    <w:rsid w:val="00471A2A"/>
    <w:rsid w:val="00471A5F"/>
    <w:rsid w:val="00472312"/>
    <w:rsid w:val="004724E5"/>
    <w:rsid w:val="0047277B"/>
    <w:rsid w:val="004727B6"/>
    <w:rsid w:val="00472992"/>
    <w:rsid w:val="004729F5"/>
    <w:rsid w:val="00472A4C"/>
    <w:rsid w:val="00472D28"/>
    <w:rsid w:val="00472EAF"/>
    <w:rsid w:val="00473058"/>
    <w:rsid w:val="00473957"/>
    <w:rsid w:val="00473CF9"/>
    <w:rsid w:val="00473D4B"/>
    <w:rsid w:val="00473F64"/>
    <w:rsid w:val="004741D7"/>
    <w:rsid w:val="004742DC"/>
    <w:rsid w:val="00474724"/>
    <w:rsid w:val="00474B86"/>
    <w:rsid w:val="00474C42"/>
    <w:rsid w:val="00474E55"/>
    <w:rsid w:val="0047523D"/>
    <w:rsid w:val="00475294"/>
    <w:rsid w:val="0047575A"/>
    <w:rsid w:val="004757B9"/>
    <w:rsid w:val="00475CA5"/>
    <w:rsid w:val="00475CCE"/>
    <w:rsid w:val="00476141"/>
    <w:rsid w:val="00476412"/>
    <w:rsid w:val="0047646F"/>
    <w:rsid w:val="004767CD"/>
    <w:rsid w:val="00476BDE"/>
    <w:rsid w:val="00476DC9"/>
    <w:rsid w:val="004770B8"/>
    <w:rsid w:val="004771ED"/>
    <w:rsid w:val="00477315"/>
    <w:rsid w:val="00477347"/>
    <w:rsid w:val="00477AD0"/>
    <w:rsid w:val="00477CEE"/>
    <w:rsid w:val="00480281"/>
    <w:rsid w:val="00480612"/>
    <w:rsid w:val="00480840"/>
    <w:rsid w:val="00481204"/>
    <w:rsid w:val="00481627"/>
    <w:rsid w:val="004818C4"/>
    <w:rsid w:val="00481ECF"/>
    <w:rsid w:val="004824B0"/>
    <w:rsid w:val="0048264B"/>
    <w:rsid w:val="00482B0B"/>
    <w:rsid w:val="00482E51"/>
    <w:rsid w:val="00482E54"/>
    <w:rsid w:val="00482F25"/>
    <w:rsid w:val="0048338D"/>
    <w:rsid w:val="0048344E"/>
    <w:rsid w:val="00483506"/>
    <w:rsid w:val="004837A7"/>
    <w:rsid w:val="00483887"/>
    <w:rsid w:val="004839B5"/>
    <w:rsid w:val="00483B61"/>
    <w:rsid w:val="00483E5E"/>
    <w:rsid w:val="00484836"/>
    <w:rsid w:val="0048495F"/>
    <w:rsid w:val="00484B33"/>
    <w:rsid w:val="00484C5F"/>
    <w:rsid w:val="00484CC5"/>
    <w:rsid w:val="00484CF9"/>
    <w:rsid w:val="004854C6"/>
    <w:rsid w:val="0048640E"/>
    <w:rsid w:val="00486729"/>
    <w:rsid w:val="0048674E"/>
    <w:rsid w:val="00486D7E"/>
    <w:rsid w:val="00486EB1"/>
    <w:rsid w:val="00487499"/>
    <w:rsid w:val="0048752D"/>
    <w:rsid w:val="004900DC"/>
    <w:rsid w:val="004905A1"/>
    <w:rsid w:val="00490680"/>
    <w:rsid w:val="00490BDA"/>
    <w:rsid w:val="00490CE7"/>
    <w:rsid w:val="00490E9F"/>
    <w:rsid w:val="00491187"/>
    <w:rsid w:val="00491263"/>
    <w:rsid w:val="00491310"/>
    <w:rsid w:val="00491782"/>
    <w:rsid w:val="00491A96"/>
    <w:rsid w:val="00491FC9"/>
    <w:rsid w:val="0049209E"/>
    <w:rsid w:val="00492329"/>
    <w:rsid w:val="0049233F"/>
    <w:rsid w:val="004926CB"/>
    <w:rsid w:val="0049274F"/>
    <w:rsid w:val="004928D6"/>
    <w:rsid w:val="00492EF9"/>
    <w:rsid w:val="00492FCF"/>
    <w:rsid w:val="00493523"/>
    <w:rsid w:val="00493553"/>
    <w:rsid w:val="00493B1B"/>
    <w:rsid w:val="00493E4E"/>
    <w:rsid w:val="00493EAD"/>
    <w:rsid w:val="0049438C"/>
    <w:rsid w:val="0049453B"/>
    <w:rsid w:val="00494A86"/>
    <w:rsid w:val="00494B78"/>
    <w:rsid w:val="004953AC"/>
    <w:rsid w:val="0049570D"/>
    <w:rsid w:val="0049588E"/>
    <w:rsid w:val="00495D5A"/>
    <w:rsid w:val="0049638B"/>
    <w:rsid w:val="004973A5"/>
    <w:rsid w:val="00497405"/>
    <w:rsid w:val="004979D9"/>
    <w:rsid w:val="00497A1A"/>
    <w:rsid w:val="00497EBE"/>
    <w:rsid w:val="004A0162"/>
    <w:rsid w:val="004A0544"/>
    <w:rsid w:val="004A0599"/>
    <w:rsid w:val="004A05F5"/>
    <w:rsid w:val="004A0772"/>
    <w:rsid w:val="004A0972"/>
    <w:rsid w:val="004A097C"/>
    <w:rsid w:val="004A0996"/>
    <w:rsid w:val="004A0DD7"/>
    <w:rsid w:val="004A0E8D"/>
    <w:rsid w:val="004A111F"/>
    <w:rsid w:val="004A12ED"/>
    <w:rsid w:val="004A1472"/>
    <w:rsid w:val="004A175B"/>
    <w:rsid w:val="004A1DA0"/>
    <w:rsid w:val="004A1F49"/>
    <w:rsid w:val="004A2534"/>
    <w:rsid w:val="004A2CB6"/>
    <w:rsid w:val="004A2DF4"/>
    <w:rsid w:val="004A3B82"/>
    <w:rsid w:val="004A3C4A"/>
    <w:rsid w:val="004A3D69"/>
    <w:rsid w:val="004A4282"/>
    <w:rsid w:val="004A4305"/>
    <w:rsid w:val="004A49C0"/>
    <w:rsid w:val="004A4D46"/>
    <w:rsid w:val="004A4F43"/>
    <w:rsid w:val="004A548D"/>
    <w:rsid w:val="004A5498"/>
    <w:rsid w:val="004A577E"/>
    <w:rsid w:val="004A58F4"/>
    <w:rsid w:val="004A5A32"/>
    <w:rsid w:val="004A5BD3"/>
    <w:rsid w:val="004A6426"/>
    <w:rsid w:val="004A698C"/>
    <w:rsid w:val="004A6E81"/>
    <w:rsid w:val="004A7073"/>
    <w:rsid w:val="004A7A3D"/>
    <w:rsid w:val="004A7BF7"/>
    <w:rsid w:val="004A7C27"/>
    <w:rsid w:val="004A7F37"/>
    <w:rsid w:val="004A7FE4"/>
    <w:rsid w:val="004B0207"/>
    <w:rsid w:val="004B02BF"/>
    <w:rsid w:val="004B0445"/>
    <w:rsid w:val="004B0961"/>
    <w:rsid w:val="004B0AD6"/>
    <w:rsid w:val="004B0AD9"/>
    <w:rsid w:val="004B0BA3"/>
    <w:rsid w:val="004B0DC0"/>
    <w:rsid w:val="004B0E21"/>
    <w:rsid w:val="004B12D0"/>
    <w:rsid w:val="004B153B"/>
    <w:rsid w:val="004B1575"/>
    <w:rsid w:val="004B1691"/>
    <w:rsid w:val="004B1965"/>
    <w:rsid w:val="004B203B"/>
    <w:rsid w:val="004B218A"/>
    <w:rsid w:val="004B22DA"/>
    <w:rsid w:val="004B2944"/>
    <w:rsid w:val="004B2A45"/>
    <w:rsid w:val="004B2A76"/>
    <w:rsid w:val="004B2C82"/>
    <w:rsid w:val="004B2D50"/>
    <w:rsid w:val="004B3024"/>
    <w:rsid w:val="004B3167"/>
    <w:rsid w:val="004B34B2"/>
    <w:rsid w:val="004B34F0"/>
    <w:rsid w:val="004B38E9"/>
    <w:rsid w:val="004B3A40"/>
    <w:rsid w:val="004B3C7C"/>
    <w:rsid w:val="004B3FF3"/>
    <w:rsid w:val="004B428A"/>
    <w:rsid w:val="004B42D3"/>
    <w:rsid w:val="004B434B"/>
    <w:rsid w:val="004B435D"/>
    <w:rsid w:val="004B44F6"/>
    <w:rsid w:val="004B489F"/>
    <w:rsid w:val="004B4A7D"/>
    <w:rsid w:val="004B4C1F"/>
    <w:rsid w:val="004B4D09"/>
    <w:rsid w:val="004B518B"/>
    <w:rsid w:val="004B5416"/>
    <w:rsid w:val="004B5650"/>
    <w:rsid w:val="004B58AF"/>
    <w:rsid w:val="004B5C73"/>
    <w:rsid w:val="004B5F85"/>
    <w:rsid w:val="004B608B"/>
    <w:rsid w:val="004B6163"/>
    <w:rsid w:val="004B651E"/>
    <w:rsid w:val="004B6AB3"/>
    <w:rsid w:val="004B6D30"/>
    <w:rsid w:val="004B72D7"/>
    <w:rsid w:val="004B7EBF"/>
    <w:rsid w:val="004C0019"/>
    <w:rsid w:val="004C01DC"/>
    <w:rsid w:val="004C020F"/>
    <w:rsid w:val="004C023C"/>
    <w:rsid w:val="004C0475"/>
    <w:rsid w:val="004C04B7"/>
    <w:rsid w:val="004C0646"/>
    <w:rsid w:val="004C0E8A"/>
    <w:rsid w:val="004C0FBA"/>
    <w:rsid w:val="004C1237"/>
    <w:rsid w:val="004C1C92"/>
    <w:rsid w:val="004C1FDC"/>
    <w:rsid w:val="004C2292"/>
    <w:rsid w:val="004C264F"/>
    <w:rsid w:val="004C29B5"/>
    <w:rsid w:val="004C2C6D"/>
    <w:rsid w:val="004C2EAB"/>
    <w:rsid w:val="004C2F9C"/>
    <w:rsid w:val="004C2F9F"/>
    <w:rsid w:val="004C30EC"/>
    <w:rsid w:val="004C3368"/>
    <w:rsid w:val="004C3625"/>
    <w:rsid w:val="004C3760"/>
    <w:rsid w:val="004C39CC"/>
    <w:rsid w:val="004C3B1B"/>
    <w:rsid w:val="004C3B47"/>
    <w:rsid w:val="004C3CD3"/>
    <w:rsid w:val="004C3E22"/>
    <w:rsid w:val="004C4839"/>
    <w:rsid w:val="004C4A57"/>
    <w:rsid w:val="004C4AE8"/>
    <w:rsid w:val="004C4CF3"/>
    <w:rsid w:val="004C4D0F"/>
    <w:rsid w:val="004C516E"/>
    <w:rsid w:val="004C55AE"/>
    <w:rsid w:val="004C590F"/>
    <w:rsid w:val="004C597C"/>
    <w:rsid w:val="004C5BC1"/>
    <w:rsid w:val="004C5C33"/>
    <w:rsid w:val="004C613D"/>
    <w:rsid w:val="004C62FE"/>
    <w:rsid w:val="004C64DE"/>
    <w:rsid w:val="004C64E9"/>
    <w:rsid w:val="004C6615"/>
    <w:rsid w:val="004C679F"/>
    <w:rsid w:val="004C69AE"/>
    <w:rsid w:val="004C6B75"/>
    <w:rsid w:val="004C6C9D"/>
    <w:rsid w:val="004C6E5B"/>
    <w:rsid w:val="004C729F"/>
    <w:rsid w:val="004C7545"/>
    <w:rsid w:val="004C7B0C"/>
    <w:rsid w:val="004C7E7A"/>
    <w:rsid w:val="004D00F6"/>
    <w:rsid w:val="004D0156"/>
    <w:rsid w:val="004D0267"/>
    <w:rsid w:val="004D04D7"/>
    <w:rsid w:val="004D06B1"/>
    <w:rsid w:val="004D06D2"/>
    <w:rsid w:val="004D0EDD"/>
    <w:rsid w:val="004D1077"/>
    <w:rsid w:val="004D11B2"/>
    <w:rsid w:val="004D1200"/>
    <w:rsid w:val="004D1721"/>
    <w:rsid w:val="004D185E"/>
    <w:rsid w:val="004D1C36"/>
    <w:rsid w:val="004D1F11"/>
    <w:rsid w:val="004D2156"/>
    <w:rsid w:val="004D21E3"/>
    <w:rsid w:val="004D2C60"/>
    <w:rsid w:val="004D2D04"/>
    <w:rsid w:val="004D303A"/>
    <w:rsid w:val="004D310C"/>
    <w:rsid w:val="004D378A"/>
    <w:rsid w:val="004D3830"/>
    <w:rsid w:val="004D3CC9"/>
    <w:rsid w:val="004D3DA9"/>
    <w:rsid w:val="004D3DEF"/>
    <w:rsid w:val="004D40F3"/>
    <w:rsid w:val="004D4785"/>
    <w:rsid w:val="004D482F"/>
    <w:rsid w:val="004D4BD1"/>
    <w:rsid w:val="004D4D52"/>
    <w:rsid w:val="004D556A"/>
    <w:rsid w:val="004D565F"/>
    <w:rsid w:val="004D58D4"/>
    <w:rsid w:val="004D59C3"/>
    <w:rsid w:val="004D5F59"/>
    <w:rsid w:val="004D648B"/>
    <w:rsid w:val="004D6A72"/>
    <w:rsid w:val="004D7093"/>
    <w:rsid w:val="004D729F"/>
    <w:rsid w:val="004D7489"/>
    <w:rsid w:val="004D74FE"/>
    <w:rsid w:val="004D76EB"/>
    <w:rsid w:val="004D77C7"/>
    <w:rsid w:val="004D77D7"/>
    <w:rsid w:val="004D7819"/>
    <w:rsid w:val="004D7C7A"/>
    <w:rsid w:val="004D7D0E"/>
    <w:rsid w:val="004E0045"/>
    <w:rsid w:val="004E026D"/>
    <w:rsid w:val="004E0749"/>
    <w:rsid w:val="004E0946"/>
    <w:rsid w:val="004E095B"/>
    <w:rsid w:val="004E0CA6"/>
    <w:rsid w:val="004E17BA"/>
    <w:rsid w:val="004E1911"/>
    <w:rsid w:val="004E1A05"/>
    <w:rsid w:val="004E1B35"/>
    <w:rsid w:val="004E1C59"/>
    <w:rsid w:val="004E1E03"/>
    <w:rsid w:val="004E1E0F"/>
    <w:rsid w:val="004E208A"/>
    <w:rsid w:val="004E2798"/>
    <w:rsid w:val="004E2AF5"/>
    <w:rsid w:val="004E2B83"/>
    <w:rsid w:val="004E2E21"/>
    <w:rsid w:val="004E32C3"/>
    <w:rsid w:val="004E33EE"/>
    <w:rsid w:val="004E3544"/>
    <w:rsid w:val="004E3CBD"/>
    <w:rsid w:val="004E3CD1"/>
    <w:rsid w:val="004E3EFE"/>
    <w:rsid w:val="004E428B"/>
    <w:rsid w:val="004E4B07"/>
    <w:rsid w:val="004E4CE8"/>
    <w:rsid w:val="004E4EC5"/>
    <w:rsid w:val="004E5390"/>
    <w:rsid w:val="004E5520"/>
    <w:rsid w:val="004E58B6"/>
    <w:rsid w:val="004E5E49"/>
    <w:rsid w:val="004E612C"/>
    <w:rsid w:val="004E62B6"/>
    <w:rsid w:val="004E6356"/>
    <w:rsid w:val="004E6506"/>
    <w:rsid w:val="004E651F"/>
    <w:rsid w:val="004E682B"/>
    <w:rsid w:val="004E6A1A"/>
    <w:rsid w:val="004E6B38"/>
    <w:rsid w:val="004E75D3"/>
    <w:rsid w:val="004E76A0"/>
    <w:rsid w:val="004E7C33"/>
    <w:rsid w:val="004E7F58"/>
    <w:rsid w:val="004E7F6E"/>
    <w:rsid w:val="004F0A19"/>
    <w:rsid w:val="004F0DAE"/>
    <w:rsid w:val="004F187D"/>
    <w:rsid w:val="004F1B8E"/>
    <w:rsid w:val="004F2185"/>
    <w:rsid w:val="004F2AD6"/>
    <w:rsid w:val="004F2E4C"/>
    <w:rsid w:val="004F2EFC"/>
    <w:rsid w:val="004F325F"/>
    <w:rsid w:val="004F37FF"/>
    <w:rsid w:val="004F3955"/>
    <w:rsid w:val="004F3A65"/>
    <w:rsid w:val="004F3FD3"/>
    <w:rsid w:val="004F4072"/>
    <w:rsid w:val="004F436C"/>
    <w:rsid w:val="004F45B0"/>
    <w:rsid w:val="004F47A7"/>
    <w:rsid w:val="004F4931"/>
    <w:rsid w:val="004F4D37"/>
    <w:rsid w:val="004F4FAF"/>
    <w:rsid w:val="004F503F"/>
    <w:rsid w:val="004F529C"/>
    <w:rsid w:val="004F5415"/>
    <w:rsid w:val="004F54E2"/>
    <w:rsid w:val="004F56A4"/>
    <w:rsid w:val="004F57E5"/>
    <w:rsid w:val="004F5886"/>
    <w:rsid w:val="004F5B1C"/>
    <w:rsid w:val="004F5B35"/>
    <w:rsid w:val="004F5F7F"/>
    <w:rsid w:val="004F6043"/>
    <w:rsid w:val="004F6CE7"/>
    <w:rsid w:val="004F6D3B"/>
    <w:rsid w:val="004F6E5E"/>
    <w:rsid w:val="004F7097"/>
    <w:rsid w:val="004F70D7"/>
    <w:rsid w:val="004F73AA"/>
    <w:rsid w:val="004F73B4"/>
    <w:rsid w:val="004F74A9"/>
    <w:rsid w:val="004F7988"/>
    <w:rsid w:val="004F7C22"/>
    <w:rsid w:val="004F7DF7"/>
    <w:rsid w:val="0050005B"/>
    <w:rsid w:val="00500157"/>
    <w:rsid w:val="00500A30"/>
    <w:rsid w:val="00500A35"/>
    <w:rsid w:val="00500AF3"/>
    <w:rsid w:val="00500C13"/>
    <w:rsid w:val="005010A9"/>
    <w:rsid w:val="005012D3"/>
    <w:rsid w:val="00501766"/>
    <w:rsid w:val="0050185B"/>
    <w:rsid w:val="00501F85"/>
    <w:rsid w:val="00502233"/>
    <w:rsid w:val="005025CD"/>
    <w:rsid w:val="00502988"/>
    <w:rsid w:val="0050307E"/>
    <w:rsid w:val="0050347C"/>
    <w:rsid w:val="00503BF0"/>
    <w:rsid w:val="00503CD6"/>
    <w:rsid w:val="00503FF7"/>
    <w:rsid w:val="00504298"/>
    <w:rsid w:val="00504613"/>
    <w:rsid w:val="00504642"/>
    <w:rsid w:val="00504A56"/>
    <w:rsid w:val="00504B3E"/>
    <w:rsid w:val="00504C9A"/>
    <w:rsid w:val="005053E7"/>
    <w:rsid w:val="005055C3"/>
    <w:rsid w:val="005067C4"/>
    <w:rsid w:val="005068B1"/>
    <w:rsid w:val="00506B7E"/>
    <w:rsid w:val="00506D91"/>
    <w:rsid w:val="00506F9E"/>
    <w:rsid w:val="00507007"/>
    <w:rsid w:val="00507146"/>
    <w:rsid w:val="005071CD"/>
    <w:rsid w:val="00507201"/>
    <w:rsid w:val="0050751C"/>
    <w:rsid w:val="00507EF0"/>
    <w:rsid w:val="00510121"/>
    <w:rsid w:val="0051018C"/>
    <w:rsid w:val="005105C3"/>
    <w:rsid w:val="005107CE"/>
    <w:rsid w:val="00510C0C"/>
    <w:rsid w:val="00510E4C"/>
    <w:rsid w:val="00511284"/>
    <w:rsid w:val="005112E3"/>
    <w:rsid w:val="00511983"/>
    <w:rsid w:val="00511DF5"/>
    <w:rsid w:val="00512048"/>
    <w:rsid w:val="00512148"/>
    <w:rsid w:val="005124FA"/>
    <w:rsid w:val="005125EA"/>
    <w:rsid w:val="005126DD"/>
    <w:rsid w:val="005128B9"/>
    <w:rsid w:val="00512A33"/>
    <w:rsid w:val="00512CC3"/>
    <w:rsid w:val="00512E77"/>
    <w:rsid w:val="00513251"/>
    <w:rsid w:val="00513296"/>
    <w:rsid w:val="005132AA"/>
    <w:rsid w:val="00513E37"/>
    <w:rsid w:val="00513E9F"/>
    <w:rsid w:val="00514AF7"/>
    <w:rsid w:val="00515608"/>
    <w:rsid w:val="00515F84"/>
    <w:rsid w:val="005160AF"/>
    <w:rsid w:val="00516176"/>
    <w:rsid w:val="005161AB"/>
    <w:rsid w:val="00516357"/>
    <w:rsid w:val="0051684F"/>
    <w:rsid w:val="005168EC"/>
    <w:rsid w:val="00516AF4"/>
    <w:rsid w:val="00516EA2"/>
    <w:rsid w:val="00517302"/>
    <w:rsid w:val="0051730A"/>
    <w:rsid w:val="005173BC"/>
    <w:rsid w:val="00517C05"/>
    <w:rsid w:val="00520295"/>
    <w:rsid w:val="00520602"/>
    <w:rsid w:val="00520823"/>
    <w:rsid w:val="00520E1C"/>
    <w:rsid w:val="005210EA"/>
    <w:rsid w:val="00521283"/>
    <w:rsid w:val="00521712"/>
    <w:rsid w:val="0052192A"/>
    <w:rsid w:val="00521D2F"/>
    <w:rsid w:val="00521F6A"/>
    <w:rsid w:val="0052223D"/>
    <w:rsid w:val="0052281C"/>
    <w:rsid w:val="00522B32"/>
    <w:rsid w:val="00522D74"/>
    <w:rsid w:val="00523063"/>
    <w:rsid w:val="00523621"/>
    <w:rsid w:val="005239EA"/>
    <w:rsid w:val="00523DD5"/>
    <w:rsid w:val="00524299"/>
    <w:rsid w:val="005246FD"/>
    <w:rsid w:val="00524806"/>
    <w:rsid w:val="00524A5B"/>
    <w:rsid w:val="00524AE4"/>
    <w:rsid w:val="00524DF3"/>
    <w:rsid w:val="00524E38"/>
    <w:rsid w:val="005257F6"/>
    <w:rsid w:val="005259B8"/>
    <w:rsid w:val="00525CF2"/>
    <w:rsid w:val="00525E2C"/>
    <w:rsid w:val="00525E87"/>
    <w:rsid w:val="00525F52"/>
    <w:rsid w:val="00525FD1"/>
    <w:rsid w:val="00526494"/>
    <w:rsid w:val="0052663B"/>
    <w:rsid w:val="00526962"/>
    <w:rsid w:val="00526A47"/>
    <w:rsid w:val="00526D17"/>
    <w:rsid w:val="00526D4F"/>
    <w:rsid w:val="005274A1"/>
    <w:rsid w:val="0052759C"/>
    <w:rsid w:val="005275BB"/>
    <w:rsid w:val="00527A61"/>
    <w:rsid w:val="00527CA1"/>
    <w:rsid w:val="00527E6F"/>
    <w:rsid w:val="00530321"/>
    <w:rsid w:val="00530393"/>
    <w:rsid w:val="0053071E"/>
    <w:rsid w:val="00530AFB"/>
    <w:rsid w:val="00530F7F"/>
    <w:rsid w:val="00531154"/>
    <w:rsid w:val="005313FE"/>
    <w:rsid w:val="0053179D"/>
    <w:rsid w:val="00531D3B"/>
    <w:rsid w:val="00531F65"/>
    <w:rsid w:val="005323D7"/>
    <w:rsid w:val="005329B5"/>
    <w:rsid w:val="00532A0B"/>
    <w:rsid w:val="00532A0E"/>
    <w:rsid w:val="00532BDE"/>
    <w:rsid w:val="00532D40"/>
    <w:rsid w:val="0053313D"/>
    <w:rsid w:val="0053319B"/>
    <w:rsid w:val="00533380"/>
    <w:rsid w:val="005335F3"/>
    <w:rsid w:val="005336E4"/>
    <w:rsid w:val="00533893"/>
    <w:rsid w:val="00533C15"/>
    <w:rsid w:val="00533DE0"/>
    <w:rsid w:val="0053453F"/>
    <w:rsid w:val="005347C8"/>
    <w:rsid w:val="005347F0"/>
    <w:rsid w:val="00534CAB"/>
    <w:rsid w:val="00534EBB"/>
    <w:rsid w:val="00534F1F"/>
    <w:rsid w:val="0053520A"/>
    <w:rsid w:val="005352F0"/>
    <w:rsid w:val="005357FB"/>
    <w:rsid w:val="00535859"/>
    <w:rsid w:val="00535949"/>
    <w:rsid w:val="00535B64"/>
    <w:rsid w:val="005360E0"/>
    <w:rsid w:val="0053649E"/>
    <w:rsid w:val="00536686"/>
    <w:rsid w:val="0053677F"/>
    <w:rsid w:val="00536D54"/>
    <w:rsid w:val="00536DF6"/>
    <w:rsid w:val="0053712E"/>
    <w:rsid w:val="00537256"/>
    <w:rsid w:val="00537330"/>
    <w:rsid w:val="005373E0"/>
    <w:rsid w:val="0053754B"/>
    <w:rsid w:val="00537F67"/>
    <w:rsid w:val="0054019E"/>
    <w:rsid w:val="005403E6"/>
    <w:rsid w:val="00540610"/>
    <w:rsid w:val="0054075B"/>
    <w:rsid w:val="00541321"/>
    <w:rsid w:val="00541428"/>
    <w:rsid w:val="00541AB1"/>
    <w:rsid w:val="00541F41"/>
    <w:rsid w:val="00541FD9"/>
    <w:rsid w:val="00542068"/>
    <w:rsid w:val="005422AC"/>
    <w:rsid w:val="00542984"/>
    <w:rsid w:val="00542CE7"/>
    <w:rsid w:val="00543293"/>
    <w:rsid w:val="00543698"/>
    <w:rsid w:val="005439C2"/>
    <w:rsid w:val="00543AE8"/>
    <w:rsid w:val="00543D8F"/>
    <w:rsid w:val="00544424"/>
    <w:rsid w:val="00544503"/>
    <w:rsid w:val="00544524"/>
    <w:rsid w:val="00544671"/>
    <w:rsid w:val="005447B2"/>
    <w:rsid w:val="00544F25"/>
    <w:rsid w:val="005451AB"/>
    <w:rsid w:val="005452BE"/>
    <w:rsid w:val="005453DB"/>
    <w:rsid w:val="00545448"/>
    <w:rsid w:val="005454ED"/>
    <w:rsid w:val="00545A68"/>
    <w:rsid w:val="00546210"/>
    <w:rsid w:val="0054622D"/>
    <w:rsid w:val="0054641F"/>
    <w:rsid w:val="005466D9"/>
    <w:rsid w:val="0054676B"/>
    <w:rsid w:val="00546CD7"/>
    <w:rsid w:val="00546E6F"/>
    <w:rsid w:val="00546F63"/>
    <w:rsid w:val="00546FCB"/>
    <w:rsid w:val="00546FD8"/>
    <w:rsid w:val="005470F1"/>
    <w:rsid w:val="00547206"/>
    <w:rsid w:val="005479C0"/>
    <w:rsid w:val="00550591"/>
    <w:rsid w:val="0055085A"/>
    <w:rsid w:val="00550A68"/>
    <w:rsid w:val="00550B58"/>
    <w:rsid w:val="00550C64"/>
    <w:rsid w:val="00550C72"/>
    <w:rsid w:val="00550DB5"/>
    <w:rsid w:val="00551052"/>
    <w:rsid w:val="00551270"/>
    <w:rsid w:val="005515C2"/>
    <w:rsid w:val="00551693"/>
    <w:rsid w:val="00551740"/>
    <w:rsid w:val="0055198B"/>
    <w:rsid w:val="00551D43"/>
    <w:rsid w:val="00551F86"/>
    <w:rsid w:val="005524DB"/>
    <w:rsid w:val="0055266E"/>
    <w:rsid w:val="00552CFF"/>
    <w:rsid w:val="00552E8C"/>
    <w:rsid w:val="00553362"/>
    <w:rsid w:val="005533D3"/>
    <w:rsid w:val="00553706"/>
    <w:rsid w:val="00553AF1"/>
    <w:rsid w:val="00553BC5"/>
    <w:rsid w:val="00553BC8"/>
    <w:rsid w:val="005546A9"/>
    <w:rsid w:val="0055486B"/>
    <w:rsid w:val="005548CC"/>
    <w:rsid w:val="005549B5"/>
    <w:rsid w:val="005555E4"/>
    <w:rsid w:val="00555C12"/>
    <w:rsid w:val="00556669"/>
    <w:rsid w:val="00556DF7"/>
    <w:rsid w:val="00556E3D"/>
    <w:rsid w:val="005574B1"/>
    <w:rsid w:val="00557B31"/>
    <w:rsid w:val="00557CB9"/>
    <w:rsid w:val="00557D9F"/>
    <w:rsid w:val="00557EF1"/>
    <w:rsid w:val="00560059"/>
    <w:rsid w:val="005600A3"/>
    <w:rsid w:val="005600D9"/>
    <w:rsid w:val="005600F8"/>
    <w:rsid w:val="00560102"/>
    <w:rsid w:val="005601E1"/>
    <w:rsid w:val="0056042C"/>
    <w:rsid w:val="00560729"/>
    <w:rsid w:val="00560777"/>
    <w:rsid w:val="00560866"/>
    <w:rsid w:val="00560A25"/>
    <w:rsid w:val="00560C2E"/>
    <w:rsid w:val="00560D3F"/>
    <w:rsid w:val="00560E8F"/>
    <w:rsid w:val="00560F68"/>
    <w:rsid w:val="005612D3"/>
    <w:rsid w:val="00561C67"/>
    <w:rsid w:val="00561DF3"/>
    <w:rsid w:val="00562257"/>
    <w:rsid w:val="005624B5"/>
    <w:rsid w:val="00563088"/>
    <w:rsid w:val="00563957"/>
    <w:rsid w:val="00563960"/>
    <w:rsid w:val="005639C0"/>
    <w:rsid w:val="00563B5C"/>
    <w:rsid w:val="00564043"/>
    <w:rsid w:val="00564223"/>
    <w:rsid w:val="0056437E"/>
    <w:rsid w:val="005645FF"/>
    <w:rsid w:val="00564CDF"/>
    <w:rsid w:val="00564D7D"/>
    <w:rsid w:val="00565322"/>
    <w:rsid w:val="005657F4"/>
    <w:rsid w:val="00565823"/>
    <w:rsid w:val="0056637A"/>
    <w:rsid w:val="005666A2"/>
    <w:rsid w:val="005668E1"/>
    <w:rsid w:val="005671BF"/>
    <w:rsid w:val="00567843"/>
    <w:rsid w:val="00567A38"/>
    <w:rsid w:val="00567A49"/>
    <w:rsid w:val="00567C70"/>
    <w:rsid w:val="00567D13"/>
    <w:rsid w:val="00567EFE"/>
    <w:rsid w:val="00570123"/>
    <w:rsid w:val="005703F2"/>
    <w:rsid w:val="00570581"/>
    <w:rsid w:val="00570AD9"/>
    <w:rsid w:val="00570BA2"/>
    <w:rsid w:val="00570C16"/>
    <w:rsid w:val="00570C2A"/>
    <w:rsid w:val="00571024"/>
    <w:rsid w:val="0057107C"/>
    <w:rsid w:val="00571090"/>
    <w:rsid w:val="005710CF"/>
    <w:rsid w:val="005711CE"/>
    <w:rsid w:val="0057127A"/>
    <w:rsid w:val="00571330"/>
    <w:rsid w:val="00571471"/>
    <w:rsid w:val="00571819"/>
    <w:rsid w:val="00571BA1"/>
    <w:rsid w:val="005720C1"/>
    <w:rsid w:val="00572186"/>
    <w:rsid w:val="005722C7"/>
    <w:rsid w:val="00572517"/>
    <w:rsid w:val="005726EB"/>
    <w:rsid w:val="00572735"/>
    <w:rsid w:val="00572A6C"/>
    <w:rsid w:val="00572C54"/>
    <w:rsid w:val="00573113"/>
    <w:rsid w:val="00573824"/>
    <w:rsid w:val="00573A4C"/>
    <w:rsid w:val="00573DF8"/>
    <w:rsid w:val="005741DB"/>
    <w:rsid w:val="00574BFD"/>
    <w:rsid w:val="00574C49"/>
    <w:rsid w:val="00574D97"/>
    <w:rsid w:val="00574D98"/>
    <w:rsid w:val="005750C6"/>
    <w:rsid w:val="005751E2"/>
    <w:rsid w:val="00575462"/>
    <w:rsid w:val="00575499"/>
    <w:rsid w:val="00575739"/>
    <w:rsid w:val="0057596A"/>
    <w:rsid w:val="00575B7D"/>
    <w:rsid w:val="00575B9E"/>
    <w:rsid w:val="00575C41"/>
    <w:rsid w:val="00575F96"/>
    <w:rsid w:val="005761B5"/>
    <w:rsid w:val="005762D4"/>
    <w:rsid w:val="0057649A"/>
    <w:rsid w:val="00576833"/>
    <w:rsid w:val="005769DF"/>
    <w:rsid w:val="00576A95"/>
    <w:rsid w:val="00576BBF"/>
    <w:rsid w:val="00576C0B"/>
    <w:rsid w:val="00576C40"/>
    <w:rsid w:val="00576E2F"/>
    <w:rsid w:val="0057704F"/>
    <w:rsid w:val="005772DD"/>
    <w:rsid w:val="00577433"/>
    <w:rsid w:val="005776F8"/>
    <w:rsid w:val="005777D6"/>
    <w:rsid w:val="00577920"/>
    <w:rsid w:val="00577C1E"/>
    <w:rsid w:val="00577C68"/>
    <w:rsid w:val="00577DA7"/>
    <w:rsid w:val="00577DFA"/>
    <w:rsid w:val="00580319"/>
    <w:rsid w:val="00580B37"/>
    <w:rsid w:val="00580BA9"/>
    <w:rsid w:val="00580E96"/>
    <w:rsid w:val="005815D1"/>
    <w:rsid w:val="00581620"/>
    <w:rsid w:val="00581663"/>
    <w:rsid w:val="00582388"/>
    <w:rsid w:val="005825E9"/>
    <w:rsid w:val="00582A46"/>
    <w:rsid w:val="00582B6A"/>
    <w:rsid w:val="0058311E"/>
    <w:rsid w:val="005832A7"/>
    <w:rsid w:val="00583610"/>
    <w:rsid w:val="0058364A"/>
    <w:rsid w:val="00583B55"/>
    <w:rsid w:val="00584122"/>
    <w:rsid w:val="00584497"/>
    <w:rsid w:val="00584904"/>
    <w:rsid w:val="0058499D"/>
    <w:rsid w:val="00584C47"/>
    <w:rsid w:val="00584E64"/>
    <w:rsid w:val="00584F49"/>
    <w:rsid w:val="00584F68"/>
    <w:rsid w:val="0058531B"/>
    <w:rsid w:val="005853FD"/>
    <w:rsid w:val="00585850"/>
    <w:rsid w:val="005859F1"/>
    <w:rsid w:val="00585BDE"/>
    <w:rsid w:val="005860CF"/>
    <w:rsid w:val="0058610D"/>
    <w:rsid w:val="0058624F"/>
    <w:rsid w:val="00586487"/>
    <w:rsid w:val="005864A5"/>
    <w:rsid w:val="00586501"/>
    <w:rsid w:val="0058669B"/>
    <w:rsid w:val="00586849"/>
    <w:rsid w:val="00586A6A"/>
    <w:rsid w:val="00586FF1"/>
    <w:rsid w:val="005873C1"/>
    <w:rsid w:val="005875D9"/>
    <w:rsid w:val="0058771D"/>
    <w:rsid w:val="005879A5"/>
    <w:rsid w:val="00587AEA"/>
    <w:rsid w:val="00590059"/>
    <w:rsid w:val="005903FB"/>
    <w:rsid w:val="00590A91"/>
    <w:rsid w:val="00590CD7"/>
    <w:rsid w:val="00590D7F"/>
    <w:rsid w:val="005911BF"/>
    <w:rsid w:val="005911C7"/>
    <w:rsid w:val="00591930"/>
    <w:rsid w:val="00591A0A"/>
    <w:rsid w:val="00591E57"/>
    <w:rsid w:val="005922CB"/>
    <w:rsid w:val="00592377"/>
    <w:rsid w:val="00592454"/>
    <w:rsid w:val="00592E6E"/>
    <w:rsid w:val="00592F10"/>
    <w:rsid w:val="005930FC"/>
    <w:rsid w:val="005935B7"/>
    <w:rsid w:val="00593994"/>
    <w:rsid w:val="00593DEE"/>
    <w:rsid w:val="00594080"/>
    <w:rsid w:val="0059456E"/>
    <w:rsid w:val="00594ACE"/>
    <w:rsid w:val="00594DFD"/>
    <w:rsid w:val="00595C79"/>
    <w:rsid w:val="00595D78"/>
    <w:rsid w:val="0059623A"/>
    <w:rsid w:val="00596482"/>
    <w:rsid w:val="005965B0"/>
    <w:rsid w:val="00596850"/>
    <w:rsid w:val="00596A87"/>
    <w:rsid w:val="00596C0F"/>
    <w:rsid w:val="005970D3"/>
    <w:rsid w:val="0059734B"/>
    <w:rsid w:val="0059750A"/>
    <w:rsid w:val="005975ED"/>
    <w:rsid w:val="0059762B"/>
    <w:rsid w:val="005976B9"/>
    <w:rsid w:val="005976EF"/>
    <w:rsid w:val="005979D6"/>
    <w:rsid w:val="00597D99"/>
    <w:rsid w:val="00597E00"/>
    <w:rsid w:val="005A01AC"/>
    <w:rsid w:val="005A01B3"/>
    <w:rsid w:val="005A0898"/>
    <w:rsid w:val="005A08B9"/>
    <w:rsid w:val="005A08BB"/>
    <w:rsid w:val="005A0CCE"/>
    <w:rsid w:val="005A10F0"/>
    <w:rsid w:val="005A131B"/>
    <w:rsid w:val="005A1562"/>
    <w:rsid w:val="005A1617"/>
    <w:rsid w:val="005A1893"/>
    <w:rsid w:val="005A1907"/>
    <w:rsid w:val="005A191B"/>
    <w:rsid w:val="005A1A9D"/>
    <w:rsid w:val="005A1C97"/>
    <w:rsid w:val="005A1D87"/>
    <w:rsid w:val="005A1DBB"/>
    <w:rsid w:val="005A243C"/>
    <w:rsid w:val="005A27E9"/>
    <w:rsid w:val="005A2FD8"/>
    <w:rsid w:val="005A3010"/>
    <w:rsid w:val="005A33A4"/>
    <w:rsid w:val="005A347B"/>
    <w:rsid w:val="005A3632"/>
    <w:rsid w:val="005A37CA"/>
    <w:rsid w:val="005A3826"/>
    <w:rsid w:val="005A384E"/>
    <w:rsid w:val="005A399E"/>
    <w:rsid w:val="005A3C54"/>
    <w:rsid w:val="005A3C99"/>
    <w:rsid w:val="005A3D4D"/>
    <w:rsid w:val="005A3F09"/>
    <w:rsid w:val="005A40A9"/>
    <w:rsid w:val="005A40C6"/>
    <w:rsid w:val="005A42A9"/>
    <w:rsid w:val="005A43C6"/>
    <w:rsid w:val="005A43F5"/>
    <w:rsid w:val="005A463A"/>
    <w:rsid w:val="005A4879"/>
    <w:rsid w:val="005A49BC"/>
    <w:rsid w:val="005A4CB0"/>
    <w:rsid w:val="005A5011"/>
    <w:rsid w:val="005A53C0"/>
    <w:rsid w:val="005A57D9"/>
    <w:rsid w:val="005A6146"/>
    <w:rsid w:val="005A6A4E"/>
    <w:rsid w:val="005A7303"/>
    <w:rsid w:val="005A771C"/>
    <w:rsid w:val="005A78DB"/>
    <w:rsid w:val="005A7A35"/>
    <w:rsid w:val="005A7A6E"/>
    <w:rsid w:val="005A7B82"/>
    <w:rsid w:val="005A7D7D"/>
    <w:rsid w:val="005A7D81"/>
    <w:rsid w:val="005B02FD"/>
    <w:rsid w:val="005B06DB"/>
    <w:rsid w:val="005B0A10"/>
    <w:rsid w:val="005B0B4C"/>
    <w:rsid w:val="005B0C98"/>
    <w:rsid w:val="005B0D4D"/>
    <w:rsid w:val="005B1144"/>
    <w:rsid w:val="005B125A"/>
    <w:rsid w:val="005B1430"/>
    <w:rsid w:val="005B1460"/>
    <w:rsid w:val="005B1BCF"/>
    <w:rsid w:val="005B1DC8"/>
    <w:rsid w:val="005B20ED"/>
    <w:rsid w:val="005B276C"/>
    <w:rsid w:val="005B2BEE"/>
    <w:rsid w:val="005B2CFC"/>
    <w:rsid w:val="005B2D41"/>
    <w:rsid w:val="005B323A"/>
    <w:rsid w:val="005B338D"/>
    <w:rsid w:val="005B35FF"/>
    <w:rsid w:val="005B3C18"/>
    <w:rsid w:val="005B3FB7"/>
    <w:rsid w:val="005B4448"/>
    <w:rsid w:val="005B45E5"/>
    <w:rsid w:val="005B461F"/>
    <w:rsid w:val="005B48F8"/>
    <w:rsid w:val="005B4996"/>
    <w:rsid w:val="005B4C45"/>
    <w:rsid w:val="005B4E39"/>
    <w:rsid w:val="005B511C"/>
    <w:rsid w:val="005B5135"/>
    <w:rsid w:val="005B518A"/>
    <w:rsid w:val="005B5276"/>
    <w:rsid w:val="005B5280"/>
    <w:rsid w:val="005B5468"/>
    <w:rsid w:val="005B551A"/>
    <w:rsid w:val="005B57C2"/>
    <w:rsid w:val="005B57C4"/>
    <w:rsid w:val="005B5A5C"/>
    <w:rsid w:val="005B5B0A"/>
    <w:rsid w:val="005B5F7C"/>
    <w:rsid w:val="005B6072"/>
    <w:rsid w:val="005B6224"/>
    <w:rsid w:val="005B6747"/>
    <w:rsid w:val="005B7752"/>
    <w:rsid w:val="005B79CB"/>
    <w:rsid w:val="005B7AF8"/>
    <w:rsid w:val="005B7B71"/>
    <w:rsid w:val="005B7C98"/>
    <w:rsid w:val="005C0130"/>
    <w:rsid w:val="005C0368"/>
    <w:rsid w:val="005C07EB"/>
    <w:rsid w:val="005C0987"/>
    <w:rsid w:val="005C130C"/>
    <w:rsid w:val="005C13F2"/>
    <w:rsid w:val="005C152E"/>
    <w:rsid w:val="005C175E"/>
    <w:rsid w:val="005C1984"/>
    <w:rsid w:val="005C1ABF"/>
    <w:rsid w:val="005C1BF3"/>
    <w:rsid w:val="005C1D74"/>
    <w:rsid w:val="005C2814"/>
    <w:rsid w:val="005C292F"/>
    <w:rsid w:val="005C2A09"/>
    <w:rsid w:val="005C2A71"/>
    <w:rsid w:val="005C2FB3"/>
    <w:rsid w:val="005C3310"/>
    <w:rsid w:val="005C3CFA"/>
    <w:rsid w:val="005C3D2C"/>
    <w:rsid w:val="005C4298"/>
    <w:rsid w:val="005C4888"/>
    <w:rsid w:val="005C48A7"/>
    <w:rsid w:val="005C4E67"/>
    <w:rsid w:val="005C4E79"/>
    <w:rsid w:val="005C542A"/>
    <w:rsid w:val="005C5537"/>
    <w:rsid w:val="005C55BC"/>
    <w:rsid w:val="005C564D"/>
    <w:rsid w:val="005C57DF"/>
    <w:rsid w:val="005C5D20"/>
    <w:rsid w:val="005C5D4C"/>
    <w:rsid w:val="005C5E78"/>
    <w:rsid w:val="005C61ED"/>
    <w:rsid w:val="005C61F0"/>
    <w:rsid w:val="005C6259"/>
    <w:rsid w:val="005C6C8C"/>
    <w:rsid w:val="005C710A"/>
    <w:rsid w:val="005C71F2"/>
    <w:rsid w:val="005C727B"/>
    <w:rsid w:val="005C750F"/>
    <w:rsid w:val="005C75E0"/>
    <w:rsid w:val="005C7624"/>
    <w:rsid w:val="005C7652"/>
    <w:rsid w:val="005C7B3C"/>
    <w:rsid w:val="005C7E9A"/>
    <w:rsid w:val="005D036D"/>
    <w:rsid w:val="005D0643"/>
    <w:rsid w:val="005D0A32"/>
    <w:rsid w:val="005D123F"/>
    <w:rsid w:val="005D127D"/>
    <w:rsid w:val="005D135A"/>
    <w:rsid w:val="005D19E7"/>
    <w:rsid w:val="005D1C68"/>
    <w:rsid w:val="005D1D48"/>
    <w:rsid w:val="005D2263"/>
    <w:rsid w:val="005D2486"/>
    <w:rsid w:val="005D24CF"/>
    <w:rsid w:val="005D2579"/>
    <w:rsid w:val="005D25FF"/>
    <w:rsid w:val="005D26B9"/>
    <w:rsid w:val="005D2892"/>
    <w:rsid w:val="005D294D"/>
    <w:rsid w:val="005D2A8E"/>
    <w:rsid w:val="005D2C46"/>
    <w:rsid w:val="005D2CD7"/>
    <w:rsid w:val="005D2E50"/>
    <w:rsid w:val="005D342B"/>
    <w:rsid w:val="005D34A2"/>
    <w:rsid w:val="005D373D"/>
    <w:rsid w:val="005D3A05"/>
    <w:rsid w:val="005D3D56"/>
    <w:rsid w:val="005D3D60"/>
    <w:rsid w:val="005D3EA4"/>
    <w:rsid w:val="005D3EFA"/>
    <w:rsid w:val="005D41CF"/>
    <w:rsid w:val="005D439E"/>
    <w:rsid w:val="005D453C"/>
    <w:rsid w:val="005D4625"/>
    <w:rsid w:val="005D4794"/>
    <w:rsid w:val="005D49D2"/>
    <w:rsid w:val="005D4D06"/>
    <w:rsid w:val="005D51F5"/>
    <w:rsid w:val="005D5ADB"/>
    <w:rsid w:val="005D5E6F"/>
    <w:rsid w:val="005D5EC5"/>
    <w:rsid w:val="005D63CD"/>
    <w:rsid w:val="005D64A0"/>
    <w:rsid w:val="005D6560"/>
    <w:rsid w:val="005D6578"/>
    <w:rsid w:val="005D6B39"/>
    <w:rsid w:val="005D6E67"/>
    <w:rsid w:val="005D6E74"/>
    <w:rsid w:val="005D70C8"/>
    <w:rsid w:val="005D71A6"/>
    <w:rsid w:val="005D72E5"/>
    <w:rsid w:val="005D7527"/>
    <w:rsid w:val="005D752B"/>
    <w:rsid w:val="005D7560"/>
    <w:rsid w:val="005D7680"/>
    <w:rsid w:val="005D77C8"/>
    <w:rsid w:val="005D7CDB"/>
    <w:rsid w:val="005D7FE7"/>
    <w:rsid w:val="005E0303"/>
    <w:rsid w:val="005E0374"/>
    <w:rsid w:val="005E03FE"/>
    <w:rsid w:val="005E0764"/>
    <w:rsid w:val="005E07B0"/>
    <w:rsid w:val="005E09D1"/>
    <w:rsid w:val="005E0A8A"/>
    <w:rsid w:val="005E0CC6"/>
    <w:rsid w:val="005E0E69"/>
    <w:rsid w:val="005E16AE"/>
    <w:rsid w:val="005E1A03"/>
    <w:rsid w:val="005E1CCA"/>
    <w:rsid w:val="005E2011"/>
    <w:rsid w:val="005E2BB0"/>
    <w:rsid w:val="005E2C84"/>
    <w:rsid w:val="005E2CE5"/>
    <w:rsid w:val="005E2D1C"/>
    <w:rsid w:val="005E2D48"/>
    <w:rsid w:val="005E2DBB"/>
    <w:rsid w:val="005E3229"/>
    <w:rsid w:val="005E35A1"/>
    <w:rsid w:val="005E37EF"/>
    <w:rsid w:val="005E3FEE"/>
    <w:rsid w:val="005E44DB"/>
    <w:rsid w:val="005E454D"/>
    <w:rsid w:val="005E45B0"/>
    <w:rsid w:val="005E47F2"/>
    <w:rsid w:val="005E4E4A"/>
    <w:rsid w:val="005E4F9C"/>
    <w:rsid w:val="005E5071"/>
    <w:rsid w:val="005E5226"/>
    <w:rsid w:val="005E63FC"/>
    <w:rsid w:val="005E6594"/>
    <w:rsid w:val="005E66A8"/>
    <w:rsid w:val="005E69E4"/>
    <w:rsid w:val="005E69E8"/>
    <w:rsid w:val="005E6D2B"/>
    <w:rsid w:val="005E6DDA"/>
    <w:rsid w:val="005E7020"/>
    <w:rsid w:val="005E70B3"/>
    <w:rsid w:val="005E713B"/>
    <w:rsid w:val="005E7250"/>
    <w:rsid w:val="005E72D9"/>
    <w:rsid w:val="005E7332"/>
    <w:rsid w:val="005E7378"/>
    <w:rsid w:val="005E7BEA"/>
    <w:rsid w:val="005E7FF7"/>
    <w:rsid w:val="005F0073"/>
    <w:rsid w:val="005F00A1"/>
    <w:rsid w:val="005F07CA"/>
    <w:rsid w:val="005F08B4"/>
    <w:rsid w:val="005F0C00"/>
    <w:rsid w:val="005F0F3F"/>
    <w:rsid w:val="005F17FB"/>
    <w:rsid w:val="005F1816"/>
    <w:rsid w:val="005F1F50"/>
    <w:rsid w:val="005F2575"/>
    <w:rsid w:val="005F25BF"/>
    <w:rsid w:val="005F269C"/>
    <w:rsid w:val="005F26A2"/>
    <w:rsid w:val="005F26B7"/>
    <w:rsid w:val="005F383A"/>
    <w:rsid w:val="005F3B8E"/>
    <w:rsid w:val="005F3CCC"/>
    <w:rsid w:val="005F4195"/>
    <w:rsid w:val="005F42BC"/>
    <w:rsid w:val="005F436F"/>
    <w:rsid w:val="005F44A5"/>
    <w:rsid w:val="005F48D8"/>
    <w:rsid w:val="005F494D"/>
    <w:rsid w:val="005F4D47"/>
    <w:rsid w:val="005F4ED3"/>
    <w:rsid w:val="005F58F0"/>
    <w:rsid w:val="005F5A28"/>
    <w:rsid w:val="005F5C78"/>
    <w:rsid w:val="005F5CA1"/>
    <w:rsid w:val="005F61D7"/>
    <w:rsid w:val="005F6383"/>
    <w:rsid w:val="005F6A61"/>
    <w:rsid w:val="005F6FE9"/>
    <w:rsid w:val="005F72A7"/>
    <w:rsid w:val="005F72F5"/>
    <w:rsid w:val="005F7453"/>
    <w:rsid w:val="005F7641"/>
    <w:rsid w:val="005F7939"/>
    <w:rsid w:val="005F7BDB"/>
    <w:rsid w:val="0060023B"/>
    <w:rsid w:val="00600876"/>
    <w:rsid w:val="00600928"/>
    <w:rsid w:val="00600B5A"/>
    <w:rsid w:val="00600D8C"/>
    <w:rsid w:val="00600DEC"/>
    <w:rsid w:val="00600F90"/>
    <w:rsid w:val="006014F5"/>
    <w:rsid w:val="00601777"/>
    <w:rsid w:val="0060188A"/>
    <w:rsid w:val="00601ECD"/>
    <w:rsid w:val="00601F51"/>
    <w:rsid w:val="006020B1"/>
    <w:rsid w:val="00602501"/>
    <w:rsid w:val="00602738"/>
    <w:rsid w:val="00602ABC"/>
    <w:rsid w:val="00602BC9"/>
    <w:rsid w:val="00602BF8"/>
    <w:rsid w:val="00602C79"/>
    <w:rsid w:val="00602E47"/>
    <w:rsid w:val="006035C4"/>
    <w:rsid w:val="00603766"/>
    <w:rsid w:val="0060392E"/>
    <w:rsid w:val="00603CBD"/>
    <w:rsid w:val="00603F43"/>
    <w:rsid w:val="006041EC"/>
    <w:rsid w:val="00604809"/>
    <w:rsid w:val="00604920"/>
    <w:rsid w:val="00604B6D"/>
    <w:rsid w:val="00604C34"/>
    <w:rsid w:val="00604D1D"/>
    <w:rsid w:val="00604E6B"/>
    <w:rsid w:val="00605132"/>
    <w:rsid w:val="00605A3E"/>
    <w:rsid w:val="00605A58"/>
    <w:rsid w:val="00605F92"/>
    <w:rsid w:val="00606128"/>
    <w:rsid w:val="0060689D"/>
    <w:rsid w:val="00606E9E"/>
    <w:rsid w:val="0060713D"/>
    <w:rsid w:val="00607466"/>
    <w:rsid w:val="00607502"/>
    <w:rsid w:val="006078D8"/>
    <w:rsid w:val="00607BA6"/>
    <w:rsid w:val="00610035"/>
    <w:rsid w:val="006101D4"/>
    <w:rsid w:val="00610717"/>
    <w:rsid w:val="0061172C"/>
    <w:rsid w:val="0061192E"/>
    <w:rsid w:val="00611B39"/>
    <w:rsid w:val="00611CC3"/>
    <w:rsid w:val="006121B4"/>
    <w:rsid w:val="006121C0"/>
    <w:rsid w:val="0061261E"/>
    <w:rsid w:val="00612FDB"/>
    <w:rsid w:val="00614050"/>
    <w:rsid w:val="00614210"/>
    <w:rsid w:val="006144BC"/>
    <w:rsid w:val="006146E3"/>
    <w:rsid w:val="00614918"/>
    <w:rsid w:val="00614BA7"/>
    <w:rsid w:val="00614D21"/>
    <w:rsid w:val="00615011"/>
    <w:rsid w:val="006152DC"/>
    <w:rsid w:val="006153AD"/>
    <w:rsid w:val="006159DD"/>
    <w:rsid w:val="00615C27"/>
    <w:rsid w:val="00616F49"/>
    <w:rsid w:val="00617CD1"/>
    <w:rsid w:val="00617E3E"/>
    <w:rsid w:val="00617EB7"/>
    <w:rsid w:val="00617F29"/>
    <w:rsid w:val="006201A2"/>
    <w:rsid w:val="00620613"/>
    <w:rsid w:val="0062092A"/>
    <w:rsid w:val="00620AF0"/>
    <w:rsid w:val="00620C09"/>
    <w:rsid w:val="00620D35"/>
    <w:rsid w:val="00620ED0"/>
    <w:rsid w:val="00620ED8"/>
    <w:rsid w:val="006210F3"/>
    <w:rsid w:val="0062117B"/>
    <w:rsid w:val="0062131F"/>
    <w:rsid w:val="0062139D"/>
    <w:rsid w:val="00621561"/>
    <w:rsid w:val="006215A4"/>
    <w:rsid w:val="00621D2F"/>
    <w:rsid w:val="00621D4E"/>
    <w:rsid w:val="00621ECF"/>
    <w:rsid w:val="00622301"/>
    <w:rsid w:val="00622EE7"/>
    <w:rsid w:val="00622F01"/>
    <w:rsid w:val="00623202"/>
    <w:rsid w:val="006232D7"/>
    <w:rsid w:val="006234C6"/>
    <w:rsid w:val="006235EB"/>
    <w:rsid w:val="00623744"/>
    <w:rsid w:val="00623ADE"/>
    <w:rsid w:val="00623DFF"/>
    <w:rsid w:val="0062453D"/>
    <w:rsid w:val="00624908"/>
    <w:rsid w:val="0062494E"/>
    <w:rsid w:val="00624BDE"/>
    <w:rsid w:val="006252E9"/>
    <w:rsid w:val="0062541D"/>
    <w:rsid w:val="00625659"/>
    <w:rsid w:val="00625A76"/>
    <w:rsid w:val="00626017"/>
    <w:rsid w:val="0062602E"/>
    <w:rsid w:val="0062638C"/>
    <w:rsid w:val="00626503"/>
    <w:rsid w:val="0062655C"/>
    <w:rsid w:val="00626ADC"/>
    <w:rsid w:val="00626DD6"/>
    <w:rsid w:val="00626DF8"/>
    <w:rsid w:val="0062728E"/>
    <w:rsid w:val="006277B6"/>
    <w:rsid w:val="00627D9E"/>
    <w:rsid w:val="00627E4F"/>
    <w:rsid w:val="0063034D"/>
    <w:rsid w:val="00630362"/>
    <w:rsid w:val="00630591"/>
    <w:rsid w:val="00630676"/>
    <w:rsid w:val="0063166A"/>
    <w:rsid w:val="00631710"/>
    <w:rsid w:val="00631E7D"/>
    <w:rsid w:val="00632053"/>
    <w:rsid w:val="006321F3"/>
    <w:rsid w:val="006322FC"/>
    <w:rsid w:val="0063237B"/>
    <w:rsid w:val="00632799"/>
    <w:rsid w:val="006333FC"/>
    <w:rsid w:val="006337DB"/>
    <w:rsid w:val="00633895"/>
    <w:rsid w:val="006338FA"/>
    <w:rsid w:val="006339B0"/>
    <w:rsid w:val="00633A30"/>
    <w:rsid w:val="00633BE2"/>
    <w:rsid w:val="00633C82"/>
    <w:rsid w:val="00633E0C"/>
    <w:rsid w:val="00633F5D"/>
    <w:rsid w:val="00633FF0"/>
    <w:rsid w:val="006340F7"/>
    <w:rsid w:val="00634135"/>
    <w:rsid w:val="00634286"/>
    <w:rsid w:val="0063475C"/>
    <w:rsid w:val="0063489A"/>
    <w:rsid w:val="00634DAB"/>
    <w:rsid w:val="00635487"/>
    <w:rsid w:val="00635612"/>
    <w:rsid w:val="006358FD"/>
    <w:rsid w:val="00635AF1"/>
    <w:rsid w:val="00635AFC"/>
    <w:rsid w:val="00635FA5"/>
    <w:rsid w:val="0063614B"/>
    <w:rsid w:val="006362D7"/>
    <w:rsid w:val="006362F2"/>
    <w:rsid w:val="00636A58"/>
    <w:rsid w:val="00636D89"/>
    <w:rsid w:val="00636E3A"/>
    <w:rsid w:val="00636F34"/>
    <w:rsid w:val="0063712C"/>
    <w:rsid w:val="006371BD"/>
    <w:rsid w:val="00637307"/>
    <w:rsid w:val="00637359"/>
    <w:rsid w:val="00637391"/>
    <w:rsid w:val="006373CB"/>
    <w:rsid w:val="006376FD"/>
    <w:rsid w:val="0063788F"/>
    <w:rsid w:val="00637A3B"/>
    <w:rsid w:val="00637A4F"/>
    <w:rsid w:val="00637A96"/>
    <w:rsid w:val="00637AB6"/>
    <w:rsid w:val="00637B09"/>
    <w:rsid w:val="00637B3B"/>
    <w:rsid w:val="00640088"/>
    <w:rsid w:val="006400F8"/>
    <w:rsid w:val="006405E5"/>
    <w:rsid w:val="0064091B"/>
    <w:rsid w:val="00640B42"/>
    <w:rsid w:val="00640DAE"/>
    <w:rsid w:val="00640EEB"/>
    <w:rsid w:val="00640F36"/>
    <w:rsid w:val="006410B9"/>
    <w:rsid w:val="006413DF"/>
    <w:rsid w:val="006415DE"/>
    <w:rsid w:val="006416C6"/>
    <w:rsid w:val="006417D7"/>
    <w:rsid w:val="00641904"/>
    <w:rsid w:val="00641B7C"/>
    <w:rsid w:val="00642086"/>
    <w:rsid w:val="006420A3"/>
    <w:rsid w:val="00642229"/>
    <w:rsid w:val="0064239F"/>
    <w:rsid w:val="00642677"/>
    <w:rsid w:val="00642737"/>
    <w:rsid w:val="00642FD3"/>
    <w:rsid w:val="00643DBB"/>
    <w:rsid w:val="00643EAA"/>
    <w:rsid w:val="0064472B"/>
    <w:rsid w:val="00644A0A"/>
    <w:rsid w:val="00644CDC"/>
    <w:rsid w:val="006454F4"/>
    <w:rsid w:val="00645560"/>
    <w:rsid w:val="00645B28"/>
    <w:rsid w:val="00645C28"/>
    <w:rsid w:val="00645D76"/>
    <w:rsid w:val="0064611D"/>
    <w:rsid w:val="006461DB"/>
    <w:rsid w:val="0064647A"/>
    <w:rsid w:val="00646657"/>
    <w:rsid w:val="00646832"/>
    <w:rsid w:val="00646AF2"/>
    <w:rsid w:val="00646D2B"/>
    <w:rsid w:val="0064739E"/>
    <w:rsid w:val="006477BC"/>
    <w:rsid w:val="0064785E"/>
    <w:rsid w:val="00647C32"/>
    <w:rsid w:val="0065051E"/>
    <w:rsid w:val="0065078B"/>
    <w:rsid w:val="0065078C"/>
    <w:rsid w:val="00650939"/>
    <w:rsid w:val="00650A09"/>
    <w:rsid w:val="00650A75"/>
    <w:rsid w:val="00650DAE"/>
    <w:rsid w:val="006512F7"/>
    <w:rsid w:val="00651B18"/>
    <w:rsid w:val="00651B56"/>
    <w:rsid w:val="006521C7"/>
    <w:rsid w:val="00652776"/>
    <w:rsid w:val="00652EA9"/>
    <w:rsid w:val="00653046"/>
    <w:rsid w:val="00653195"/>
    <w:rsid w:val="006531AB"/>
    <w:rsid w:val="006538F6"/>
    <w:rsid w:val="00653F1D"/>
    <w:rsid w:val="0065497C"/>
    <w:rsid w:val="00654ABF"/>
    <w:rsid w:val="00654B3B"/>
    <w:rsid w:val="00654CAB"/>
    <w:rsid w:val="00654CC2"/>
    <w:rsid w:val="0065526B"/>
    <w:rsid w:val="006552D4"/>
    <w:rsid w:val="00655994"/>
    <w:rsid w:val="006564F6"/>
    <w:rsid w:val="00656533"/>
    <w:rsid w:val="0065673C"/>
    <w:rsid w:val="00656A18"/>
    <w:rsid w:val="00656D93"/>
    <w:rsid w:val="00657051"/>
    <w:rsid w:val="006573BA"/>
    <w:rsid w:val="006574FC"/>
    <w:rsid w:val="00657A2C"/>
    <w:rsid w:val="00657BCC"/>
    <w:rsid w:val="00657E8E"/>
    <w:rsid w:val="00660322"/>
    <w:rsid w:val="006603A4"/>
    <w:rsid w:val="0066093F"/>
    <w:rsid w:val="006609C9"/>
    <w:rsid w:val="00660E81"/>
    <w:rsid w:val="0066112C"/>
    <w:rsid w:val="006614A9"/>
    <w:rsid w:val="00661676"/>
    <w:rsid w:val="00661728"/>
    <w:rsid w:val="00661743"/>
    <w:rsid w:val="00661A5F"/>
    <w:rsid w:val="00661B19"/>
    <w:rsid w:val="00662802"/>
    <w:rsid w:val="00662952"/>
    <w:rsid w:val="00662ADA"/>
    <w:rsid w:val="00662F29"/>
    <w:rsid w:val="006630A6"/>
    <w:rsid w:val="00663799"/>
    <w:rsid w:val="00663AEA"/>
    <w:rsid w:val="00663D30"/>
    <w:rsid w:val="00663DFA"/>
    <w:rsid w:val="00663FD2"/>
    <w:rsid w:val="00664458"/>
    <w:rsid w:val="006645A4"/>
    <w:rsid w:val="00664D45"/>
    <w:rsid w:val="00664EC1"/>
    <w:rsid w:val="00665BAB"/>
    <w:rsid w:val="00665C21"/>
    <w:rsid w:val="00665FF5"/>
    <w:rsid w:val="006660C7"/>
    <w:rsid w:val="0066636F"/>
    <w:rsid w:val="006663FB"/>
    <w:rsid w:val="00666538"/>
    <w:rsid w:val="00666B10"/>
    <w:rsid w:val="00666CB2"/>
    <w:rsid w:val="00666F33"/>
    <w:rsid w:val="00666FFC"/>
    <w:rsid w:val="0066724F"/>
    <w:rsid w:val="00667332"/>
    <w:rsid w:val="006674D1"/>
    <w:rsid w:val="00667979"/>
    <w:rsid w:val="00667AB1"/>
    <w:rsid w:val="00667CA3"/>
    <w:rsid w:val="00667E04"/>
    <w:rsid w:val="00667EBF"/>
    <w:rsid w:val="0067080D"/>
    <w:rsid w:val="00670C5E"/>
    <w:rsid w:val="00670DD3"/>
    <w:rsid w:val="00670F40"/>
    <w:rsid w:val="00670FDE"/>
    <w:rsid w:val="006714F5"/>
    <w:rsid w:val="006716B2"/>
    <w:rsid w:val="00671AEB"/>
    <w:rsid w:val="00671D2C"/>
    <w:rsid w:val="00671EDA"/>
    <w:rsid w:val="00672347"/>
    <w:rsid w:val="006727F8"/>
    <w:rsid w:val="00672AD6"/>
    <w:rsid w:val="00672E82"/>
    <w:rsid w:val="00672F76"/>
    <w:rsid w:val="00673519"/>
    <w:rsid w:val="0067365F"/>
    <w:rsid w:val="00673684"/>
    <w:rsid w:val="00673B49"/>
    <w:rsid w:val="00673E40"/>
    <w:rsid w:val="0067450C"/>
    <w:rsid w:val="006746B7"/>
    <w:rsid w:val="0067493E"/>
    <w:rsid w:val="00674A37"/>
    <w:rsid w:val="00674D7A"/>
    <w:rsid w:val="00674DF2"/>
    <w:rsid w:val="00674F1E"/>
    <w:rsid w:val="00675225"/>
    <w:rsid w:val="00675462"/>
    <w:rsid w:val="006754C5"/>
    <w:rsid w:val="00675536"/>
    <w:rsid w:val="00675642"/>
    <w:rsid w:val="006756FD"/>
    <w:rsid w:val="00675E9E"/>
    <w:rsid w:val="00675EF9"/>
    <w:rsid w:val="006763AA"/>
    <w:rsid w:val="006769F8"/>
    <w:rsid w:val="00676EE8"/>
    <w:rsid w:val="00676F8B"/>
    <w:rsid w:val="00677096"/>
    <w:rsid w:val="00677549"/>
    <w:rsid w:val="0067775E"/>
    <w:rsid w:val="00677C88"/>
    <w:rsid w:val="00677F7F"/>
    <w:rsid w:val="006803DB"/>
    <w:rsid w:val="00680748"/>
    <w:rsid w:val="00680A5E"/>
    <w:rsid w:val="00680B1E"/>
    <w:rsid w:val="00680FDB"/>
    <w:rsid w:val="006810D5"/>
    <w:rsid w:val="006819C9"/>
    <w:rsid w:val="00681CB7"/>
    <w:rsid w:val="00681EDD"/>
    <w:rsid w:val="006825F6"/>
    <w:rsid w:val="0068279B"/>
    <w:rsid w:val="00682C82"/>
    <w:rsid w:val="00682CC7"/>
    <w:rsid w:val="00682F83"/>
    <w:rsid w:val="00683074"/>
    <w:rsid w:val="006837FC"/>
    <w:rsid w:val="00683CAC"/>
    <w:rsid w:val="00683F35"/>
    <w:rsid w:val="00684061"/>
    <w:rsid w:val="00684081"/>
    <w:rsid w:val="00684309"/>
    <w:rsid w:val="00684391"/>
    <w:rsid w:val="006844E4"/>
    <w:rsid w:val="0068462B"/>
    <w:rsid w:val="006849CB"/>
    <w:rsid w:val="006854D6"/>
    <w:rsid w:val="0068576C"/>
    <w:rsid w:val="0068591A"/>
    <w:rsid w:val="00685970"/>
    <w:rsid w:val="00685EB9"/>
    <w:rsid w:val="00685F45"/>
    <w:rsid w:val="00685F62"/>
    <w:rsid w:val="00686102"/>
    <w:rsid w:val="0068627A"/>
    <w:rsid w:val="00686C54"/>
    <w:rsid w:val="00686C84"/>
    <w:rsid w:val="00686CBE"/>
    <w:rsid w:val="00687D98"/>
    <w:rsid w:val="00687F40"/>
    <w:rsid w:val="00690002"/>
    <w:rsid w:val="006904EF"/>
    <w:rsid w:val="00690AB7"/>
    <w:rsid w:val="00690B56"/>
    <w:rsid w:val="00690D0C"/>
    <w:rsid w:val="00690E9B"/>
    <w:rsid w:val="00691021"/>
    <w:rsid w:val="006910CE"/>
    <w:rsid w:val="00691101"/>
    <w:rsid w:val="006914A1"/>
    <w:rsid w:val="0069202C"/>
    <w:rsid w:val="00692140"/>
    <w:rsid w:val="00692318"/>
    <w:rsid w:val="006923AE"/>
    <w:rsid w:val="006923E3"/>
    <w:rsid w:val="0069254B"/>
    <w:rsid w:val="00692739"/>
    <w:rsid w:val="006928A6"/>
    <w:rsid w:val="006929BD"/>
    <w:rsid w:val="0069304F"/>
    <w:rsid w:val="006932F8"/>
    <w:rsid w:val="00693376"/>
    <w:rsid w:val="006933D8"/>
    <w:rsid w:val="00693462"/>
    <w:rsid w:val="006936AC"/>
    <w:rsid w:val="006936AD"/>
    <w:rsid w:val="006937B3"/>
    <w:rsid w:val="00693943"/>
    <w:rsid w:val="006939F9"/>
    <w:rsid w:val="00693A45"/>
    <w:rsid w:val="00693D1A"/>
    <w:rsid w:val="00693EAD"/>
    <w:rsid w:val="00693FE2"/>
    <w:rsid w:val="00694013"/>
    <w:rsid w:val="00694304"/>
    <w:rsid w:val="0069498E"/>
    <w:rsid w:val="00694C00"/>
    <w:rsid w:val="00694F3D"/>
    <w:rsid w:val="0069508D"/>
    <w:rsid w:val="0069525C"/>
    <w:rsid w:val="00695346"/>
    <w:rsid w:val="00695587"/>
    <w:rsid w:val="006956F2"/>
    <w:rsid w:val="0069578D"/>
    <w:rsid w:val="00695A64"/>
    <w:rsid w:val="00695BDD"/>
    <w:rsid w:val="00695C23"/>
    <w:rsid w:val="00695CFB"/>
    <w:rsid w:val="00695E0C"/>
    <w:rsid w:val="00695FFB"/>
    <w:rsid w:val="006961D1"/>
    <w:rsid w:val="00696814"/>
    <w:rsid w:val="00696A5D"/>
    <w:rsid w:val="00696E19"/>
    <w:rsid w:val="00696ED9"/>
    <w:rsid w:val="0069745C"/>
    <w:rsid w:val="006976C7"/>
    <w:rsid w:val="006977E8"/>
    <w:rsid w:val="00697E3F"/>
    <w:rsid w:val="00697FB5"/>
    <w:rsid w:val="006A01C8"/>
    <w:rsid w:val="006A0637"/>
    <w:rsid w:val="006A08CA"/>
    <w:rsid w:val="006A0B4D"/>
    <w:rsid w:val="006A0C0D"/>
    <w:rsid w:val="006A0C2E"/>
    <w:rsid w:val="006A0CDC"/>
    <w:rsid w:val="006A0E51"/>
    <w:rsid w:val="006A10BE"/>
    <w:rsid w:val="006A1148"/>
    <w:rsid w:val="006A1802"/>
    <w:rsid w:val="006A18B7"/>
    <w:rsid w:val="006A1CCF"/>
    <w:rsid w:val="006A1CE8"/>
    <w:rsid w:val="006A1FDF"/>
    <w:rsid w:val="006A20C3"/>
    <w:rsid w:val="006A28E4"/>
    <w:rsid w:val="006A291F"/>
    <w:rsid w:val="006A2AF6"/>
    <w:rsid w:val="006A3723"/>
    <w:rsid w:val="006A39EF"/>
    <w:rsid w:val="006A3B76"/>
    <w:rsid w:val="006A3C8B"/>
    <w:rsid w:val="006A3FEA"/>
    <w:rsid w:val="006A408D"/>
    <w:rsid w:val="006A46C1"/>
    <w:rsid w:val="006A4743"/>
    <w:rsid w:val="006A47E5"/>
    <w:rsid w:val="006A484C"/>
    <w:rsid w:val="006A4B23"/>
    <w:rsid w:val="006A4B9E"/>
    <w:rsid w:val="006A4E4F"/>
    <w:rsid w:val="006A5323"/>
    <w:rsid w:val="006A566C"/>
    <w:rsid w:val="006A59C3"/>
    <w:rsid w:val="006A6185"/>
    <w:rsid w:val="006A642F"/>
    <w:rsid w:val="006A6982"/>
    <w:rsid w:val="006A6A42"/>
    <w:rsid w:val="006A6A70"/>
    <w:rsid w:val="006A6CFC"/>
    <w:rsid w:val="006A6D56"/>
    <w:rsid w:val="006A6FEE"/>
    <w:rsid w:val="006A71B9"/>
    <w:rsid w:val="006A746A"/>
    <w:rsid w:val="006A7540"/>
    <w:rsid w:val="006A761A"/>
    <w:rsid w:val="006A7701"/>
    <w:rsid w:val="006A786D"/>
    <w:rsid w:val="006A793C"/>
    <w:rsid w:val="006A7955"/>
    <w:rsid w:val="006A79BE"/>
    <w:rsid w:val="006A79FE"/>
    <w:rsid w:val="006A7CD6"/>
    <w:rsid w:val="006A7FB0"/>
    <w:rsid w:val="006B00C2"/>
    <w:rsid w:val="006B027E"/>
    <w:rsid w:val="006B05B8"/>
    <w:rsid w:val="006B06C5"/>
    <w:rsid w:val="006B072D"/>
    <w:rsid w:val="006B09D6"/>
    <w:rsid w:val="006B0AD2"/>
    <w:rsid w:val="006B0D7B"/>
    <w:rsid w:val="006B0DBF"/>
    <w:rsid w:val="006B0E9D"/>
    <w:rsid w:val="006B0EF0"/>
    <w:rsid w:val="006B17AC"/>
    <w:rsid w:val="006B2091"/>
    <w:rsid w:val="006B21DD"/>
    <w:rsid w:val="006B30AA"/>
    <w:rsid w:val="006B31A2"/>
    <w:rsid w:val="006B3387"/>
    <w:rsid w:val="006B37C8"/>
    <w:rsid w:val="006B3924"/>
    <w:rsid w:val="006B3A98"/>
    <w:rsid w:val="006B3BA1"/>
    <w:rsid w:val="006B3FA0"/>
    <w:rsid w:val="006B4420"/>
    <w:rsid w:val="006B4989"/>
    <w:rsid w:val="006B4BC5"/>
    <w:rsid w:val="006B4C28"/>
    <w:rsid w:val="006B4D99"/>
    <w:rsid w:val="006B4FEE"/>
    <w:rsid w:val="006B563F"/>
    <w:rsid w:val="006B5648"/>
    <w:rsid w:val="006B5BC5"/>
    <w:rsid w:val="006B5C96"/>
    <w:rsid w:val="006B6234"/>
    <w:rsid w:val="006B6E6C"/>
    <w:rsid w:val="006B78F6"/>
    <w:rsid w:val="006B7DF2"/>
    <w:rsid w:val="006C0119"/>
    <w:rsid w:val="006C0732"/>
    <w:rsid w:val="006C0B42"/>
    <w:rsid w:val="006C0D5A"/>
    <w:rsid w:val="006C0F29"/>
    <w:rsid w:val="006C11B2"/>
    <w:rsid w:val="006C11F6"/>
    <w:rsid w:val="006C12D5"/>
    <w:rsid w:val="006C1428"/>
    <w:rsid w:val="006C1496"/>
    <w:rsid w:val="006C1601"/>
    <w:rsid w:val="006C19A4"/>
    <w:rsid w:val="006C216B"/>
    <w:rsid w:val="006C21A9"/>
    <w:rsid w:val="006C2211"/>
    <w:rsid w:val="006C2570"/>
    <w:rsid w:val="006C2577"/>
    <w:rsid w:val="006C2C43"/>
    <w:rsid w:val="006C2D8A"/>
    <w:rsid w:val="006C3417"/>
    <w:rsid w:val="006C3530"/>
    <w:rsid w:val="006C36A2"/>
    <w:rsid w:val="006C37E0"/>
    <w:rsid w:val="006C38C5"/>
    <w:rsid w:val="006C39DF"/>
    <w:rsid w:val="006C3B50"/>
    <w:rsid w:val="006C3CE1"/>
    <w:rsid w:val="006C40A3"/>
    <w:rsid w:val="006C439D"/>
    <w:rsid w:val="006C4481"/>
    <w:rsid w:val="006C4698"/>
    <w:rsid w:val="006C46F6"/>
    <w:rsid w:val="006C498C"/>
    <w:rsid w:val="006C4C0A"/>
    <w:rsid w:val="006C4C1C"/>
    <w:rsid w:val="006C4DCD"/>
    <w:rsid w:val="006C4E54"/>
    <w:rsid w:val="006C4E84"/>
    <w:rsid w:val="006C4F4D"/>
    <w:rsid w:val="006C501F"/>
    <w:rsid w:val="006C54A5"/>
    <w:rsid w:val="006C5550"/>
    <w:rsid w:val="006C55C2"/>
    <w:rsid w:val="006C593D"/>
    <w:rsid w:val="006C5D2B"/>
    <w:rsid w:val="006C5F52"/>
    <w:rsid w:val="006C6115"/>
    <w:rsid w:val="006C67C9"/>
    <w:rsid w:val="006C6BA2"/>
    <w:rsid w:val="006C6BF8"/>
    <w:rsid w:val="006C6D6C"/>
    <w:rsid w:val="006C6F3D"/>
    <w:rsid w:val="006C6FD5"/>
    <w:rsid w:val="006C7046"/>
    <w:rsid w:val="006C7630"/>
    <w:rsid w:val="006C766B"/>
    <w:rsid w:val="006C7A1E"/>
    <w:rsid w:val="006C7B5A"/>
    <w:rsid w:val="006C7C4F"/>
    <w:rsid w:val="006C7CD3"/>
    <w:rsid w:val="006C7ECD"/>
    <w:rsid w:val="006D0095"/>
    <w:rsid w:val="006D0A11"/>
    <w:rsid w:val="006D0E0F"/>
    <w:rsid w:val="006D0EE7"/>
    <w:rsid w:val="006D0FBB"/>
    <w:rsid w:val="006D1036"/>
    <w:rsid w:val="006D1084"/>
    <w:rsid w:val="006D10BB"/>
    <w:rsid w:val="006D1A58"/>
    <w:rsid w:val="006D1A7C"/>
    <w:rsid w:val="006D1CC5"/>
    <w:rsid w:val="006D2146"/>
    <w:rsid w:val="006D282C"/>
    <w:rsid w:val="006D2AE7"/>
    <w:rsid w:val="006D2CE5"/>
    <w:rsid w:val="006D310F"/>
    <w:rsid w:val="006D31D8"/>
    <w:rsid w:val="006D3405"/>
    <w:rsid w:val="006D35CF"/>
    <w:rsid w:val="006D379C"/>
    <w:rsid w:val="006D3F2D"/>
    <w:rsid w:val="006D3FFC"/>
    <w:rsid w:val="006D433C"/>
    <w:rsid w:val="006D53B9"/>
    <w:rsid w:val="006D5B37"/>
    <w:rsid w:val="006D5DA3"/>
    <w:rsid w:val="006D6195"/>
    <w:rsid w:val="006D67C5"/>
    <w:rsid w:val="006D6BAD"/>
    <w:rsid w:val="006D6C86"/>
    <w:rsid w:val="006D7348"/>
    <w:rsid w:val="006D7484"/>
    <w:rsid w:val="006D74D0"/>
    <w:rsid w:val="006D7688"/>
    <w:rsid w:val="006D76AA"/>
    <w:rsid w:val="006D7782"/>
    <w:rsid w:val="006D789F"/>
    <w:rsid w:val="006D7BDE"/>
    <w:rsid w:val="006E0017"/>
    <w:rsid w:val="006E005E"/>
    <w:rsid w:val="006E03EE"/>
    <w:rsid w:val="006E03F3"/>
    <w:rsid w:val="006E058D"/>
    <w:rsid w:val="006E0B37"/>
    <w:rsid w:val="006E0C0C"/>
    <w:rsid w:val="006E0CC3"/>
    <w:rsid w:val="006E0D0B"/>
    <w:rsid w:val="006E0D89"/>
    <w:rsid w:val="006E108F"/>
    <w:rsid w:val="006E1123"/>
    <w:rsid w:val="006E14A3"/>
    <w:rsid w:val="006E162A"/>
    <w:rsid w:val="006E1873"/>
    <w:rsid w:val="006E1A03"/>
    <w:rsid w:val="006E2211"/>
    <w:rsid w:val="006E2266"/>
    <w:rsid w:val="006E2556"/>
    <w:rsid w:val="006E262E"/>
    <w:rsid w:val="006E272C"/>
    <w:rsid w:val="006E283D"/>
    <w:rsid w:val="006E2A12"/>
    <w:rsid w:val="006E2AE7"/>
    <w:rsid w:val="006E2BC1"/>
    <w:rsid w:val="006E2EDA"/>
    <w:rsid w:val="006E33B3"/>
    <w:rsid w:val="006E347F"/>
    <w:rsid w:val="006E36D9"/>
    <w:rsid w:val="006E3E62"/>
    <w:rsid w:val="006E41E4"/>
    <w:rsid w:val="006E437F"/>
    <w:rsid w:val="006E449A"/>
    <w:rsid w:val="006E4E28"/>
    <w:rsid w:val="006E4F20"/>
    <w:rsid w:val="006E553C"/>
    <w:rsid w:val="006E5545"/>
    <w:rsid w:val="006E5982"/>
    <w:rsid w:val="006E5BCF"/>
    <w:rsid w:val="006E6020"/>
    <w:rsid w:val="006E61DA"/>
    <w:rsid w:val="006E6445"/>
    <w:rsid w:val="006E6CDA"/>
    <w:rsid w:val="006E72F3"/>
    <w:rsid w:val="006E7558"/>
    <w:rsid w:val="006E782E"/>
    <w:rsid w:val="006E79A6"/>
    <w:rsid w:val="006E7A22"/>
    <w:rsid w:val="006E7E24"/>
    <w:rsid w:val="006F00D9"/>
    <w:rsid w:val="006F0473"/>
    <w:rsid w:val="006F1137"/>
    <w:rsid w:val="006F1334"/>
    <w:rsid w:val="006F1C7B"/>
    <w:rsid w:val="006F1FD7"/>
    <w:rsid w:val="006F20AB"/>
    <w:rsid w:val="006F2145"/>
    <w:rsid w:val="006F23A2"/>
    <w:rsid w:val="006F28CC"/>
    <w:rsid w:val="006F2B36"/>
    <w:rsid w:val="006F2BAB"/>
    <w:rsid w:val="006F306D"/>
    <w:rsid w:val="006F31BB"/>
    <w:rsid w:val="006F3A65"/>
    <w:rsid w:val="006F3F78"/>
    <w:rsid w:val="006F416B"/>
    <w:rsid w:val="006F4374"/>
    <w:rsid w:val="006F43DA"/>
    <w:rsid w:val="006F441F"/>
    <w:rsid w:val="006F45AE"/>
    <w:rsid w:val="006F4989"/>
    <w:rsid w:val="006F4AD8"/>
    <w:rsid w:val="006F4B5D"/>
    <w:rsid w:val="006F4C6B"/>
    <w:rsid w:val="006F5106"/>
    <w:rsid w:val="006F5167"/>
    <w:rsid w:val="006F51C3"/>
    <w:rsid w:val="006F5285"/>
    <w:rsid w:val="006F561B"/>
    <w:rsid w:val="006F57E5"/>
    <w:rsid w:val="006F59F4"/>
    <w:rsid w:val="006F5BE3"/>
    <w:rsid w:val="006F5D42"/>
    <w:rsid w:val="006F5D5C"/>
    <w:rsid w:val="006F5F1F"/>
    <w:rsid w:val="006F6087"/>
    <w:rsid w:val="006F6607"/>
    <w:rsid w:val="006F6838"/>
    <w:rsid w:val="006F68EC"/>
    <w:rsid w:val="006F6A4C"/>
    <w:rsid w:val="006F6F0F"/>
    <w:rsid w:val="006F721A"/>
    <w:rsid w:val="006F78CD"/>
    <w:rsid w:val="006F7AA9"/>
    <w:rsid w:val="006F7D86"/>
    <w:rsid w:val="006F7F3D"/>
    <w:rsid w:val="0070028B"/>
    <w:rsid w:val="0070030B"/>
    <w:rsid w:val="00700708"/>
    <w:rsid w:val="00700867"/>
    <w:rsid w:val="00700978"/>
    <w:rsid w:val="00700B07"/>
    <w:rsid w:val="00700C2C"/>
    <w:rsid w:val="00700EFC"/>
    <w:rsid w:val="007010F5"/>
    <w:rsid w:val="00701AA7"/>
    <w:rsid w:val="00701FE2"/>
    <w:rsid w:val="0070212C"/>
    <w:rsid w:val="00702262"/>
    <w:rsid w:val="007024D4"/>
    <w:rsid w:val="0070274F"/>
    <w:rsid w:val="00702AC8"/>
    <w:rsid w:val="00702B18"/>
    <w:rsid w:val="007030AE"/>
    <w:rsid w:val="00703396"/>
    <w:rsid w:val="00703680"/>
    <w:rsid w:val="00703699"/>
    <w:rsid w:val="007037EA"/>
    <w:rsid w:val="007037EE"/>
    <w:rsid w:val="00703933"/>
    <w:rsid w:val="00703ACD"/>
    <w:rsid w:val="00703D16"/>
    <w:rsid w:val="007046C7"/>
    <w:rsid w:val="007048D2"/>
    <w:rsid w:val="007048F3"/>
    <w:rsid w:val="00704AFB"/>
    <w:rsid w:val="00704D3E"/>
    <w:rsid w:val="00704FCB"/>
    <w:rsid w:val="0070511D"/>
    <w:rsid w:val="0070568B"/>
    <w:rsid w:val="00705930"/>
    <w:rsid w:val="00705AEB"/>
    <w:rsid w:val="00706002"/>
    <w:rsid w:val="00706888"/>
    <w:rsid w:val="00706A1B"/>
    <w:rsid w:val="00706A24"/>
    <w:rsid w:val="00706C9E"/>
    <w:rsid w:val="00706D65"/>
    <w:rsid w:val="007073AB"/>
    <w:rsid w:val="007075BF"/>
    <w:rsid w:val="007100B0"/>
    <w:rsid w:val="007100D5"/>
    <w:rsid w:val="00710424"/>
    <w:rsid w:val="00710BA1"/>
    <w:rsid w:val="00710F1B"/>
    <w:rsid w:val="00711128"/>
    <w:rsid w:val="0071112B"/>
    <w:rsid w:val="0071150A"/>
    <w:rsid w:val="00711706"/>
    <w:rsid w:val="0071175D"/>
    <w:rsid w:val="00711829"/>
    <w:rsid w:val="00711A1E"/>
    <w:rsid w:val="00711AA6"/>
    <w:rsid w:val="00711C69"/>
    <w:rsid w:val="00711D27"/>
    <w:rsid w:val="00712075"/>
    <w:rsid w:val="007120AB"/>
    <w:rsid w:val="007126B3"/>
    <w:rsid w:val="00712A9F"/>
    <w:rsid w:val="00712CF8"/>
    <w:rsid w:val="00712D30"/>
    <w:rsid w:val="00712E1A"/>
    <w:rsid w:val="00712EA3"/>
    <w:rsid w:val="00713107"/>
    <w:rsid w:val="0071321D"/>
    <w:rsid w:val="00713435"/>
    <w:rsid w:val="007136DA"/>
    <w:rsid w:val="00713738"/>
    <w:rsid w:val="0071402A"/>
    <w:rsid w:val="00714299"/>
    <w:rsid w:val="007142D9"/>
    <w:rsid w:val="00714582"/>
    <w:rsid w:val="007145CC"/>
    <w:rsid w:val="007149E4"/>
    <w:rsid w:val="00714CCF"/>
    <w:rsid w:val="0071500E"/>
    <w:rsid w:val="0071506B"/>
    <w:rsid w:val="007153AC"/>
    <w:rsid w:val="00715745"/>
    <w:rsid w:val="00715771"/>
    <w:rsid w:val="0071595C"/>
    <w:rsid w:val="00715C5E"/>
    <w:rsid w:val="00715E26"/>
    <w:rsid w:val="00716069"/>
    <w:rsid w:val="007162B7"/>
    <w:rsid w:val="00716B9E"/>
    <w:rsid w:val="00716CF0"/>
    <w:rsid w:val="007177BE"/>
    <w:rsid w:val="007177C2"/>
    <w:rsid w:val="00717B35"/>
    <w:rsid w:val="00717BAF"/>
    <w:rsid w:val="00717CA8"/>
    <w:rsid w:val="00717CE0"/>
    <w:rsid w:val="00717DB8"/>
    <w:rsid w:val="00717E34"/>
    <w:rsid w:val="00717F02"/>
    <w:rsid w:val="007200EE"/>
    <w:rsid w:val="00720292"/>
    <w:rsid w:val="00720943"/>
    <w:rsid w:val="00720C30"/>
    <w:rsid w:val="00720FB7"/>
    <w:rsid w:val="00721262"/>
    <w:rsid w:val="007212A9"/>
    <w:rsid w:val="00721F17"/>
    <w:rsid w:val="0072243B"/>
    <w:rsid w:val="007224FC"/>
    <w:rsid w:val="00722556"/>
    <w:rsid w:val="00722798"/>
    <w:rsid w:val="007227E0"/>
    <w:rsid w:val="00722C4C"/>
    <w:rsid w:val="00722DAC"/>
    <w:rsid w:val="00723173"/>
    <w:rsid w:val="007235E8"/>
    <w:rsid w:val="00723C64"/>
    <w:rsid w:val="00723D7D"/>
    <w:rsid w:val="00723FD9"/>
    <w:rsid w:val="0072402D"/>
    <w:rsid w:val="0072493E"/>
    <w:rsid w:val="00724C12"/>
    <w:rsid w:val="00724E0F"/>
    <w:rsid w:val="00725B21"/>
    <w:rsid w:val="00725C4C"/>
    <w:rsid w:val="00726633"/>
    <w:rsid w:val="00726815"/>
    <w:rsid w:val="007268FA"/>
    <w:rsid w:val="00726A84"/>
    <w:rsid w:val="00726C03"/>
    <w:rsid w:val="00726FA4"/>
    <w:rsid w:val="007270F4"/>
    <w:rsid w:val="0072740C"/>
    <w:rsid w:val="0072754E"/>
    <w:rsid w:val="0072770A"/>
    <w:rsid w:val="0072785A"/>
    <w:rsid w:val="00727A08"/>
    <w:rsid w:val="00727C36"/>
    <w:rsid w:val="00727D69"/>
    <w:rsid w:val="00727DEB"/>
    <w:rsid w:val="00727E43"/>
    <w:rsid w:val="0073000E"/>
    <w:rsid w:val="00730BCC"/>
    <w:rsid w:val="00730C34"/>
    <w:rsid w:val="00731032"/>
    <w:rsid w:val="0073119E"/>
    <w:rsid w:val="007311A8"/>
    <w:rsid w:val="007312D1"/>
    <w:rsid w:val="00731375"/>
    <w:rsid w:val="007313EC"/>
    <w:rsid w:val="00731578"/>
    <w:rsid w:val="007315AD"/>
    <w:rsid w:val="00731C37"/>
    <w:rsid w:val="007321C2"/>
    <w:rsid w:val="0073255A"/>
    <w:rsid w:val="007328B6"/>
    <w:rsid w:val="00732CC2"/>
    <w:rsid w:val="00733606"/>
    <w:rsid w:val="00733801"/>
    <w:rsid w:val="00733D35"/>
    <w:rsid w:val="00733DD3"/>
    <w:rsid w:val="00733F8E"/>
    <w:rsid w:val="00734183"/>
    <w:rsid w:val="00734237"/>
    <w:rsid w:val="0073465A"/>
    <w:rsid w:val="00734D03"/>
    <w:rsid w:val="00734EF2"/>
    <w:rsid w:val="00735063"/>
    <w:rsid w:val="00735177"/>
    <w:rsid w:val="00735555"/>
    <w:rsid w:val="00735699"/>
    <w:rsid w:val="00735869"/>
    <w:rsid w:val="00735C3C"/>
    <w:rsid w:val="00735FD6"/>
    <w:rsid w:val="00736245"/>
    <w:rsid w:val="007363E9"/>
    <w:rsid w:val="0073643D"/>
    <w:rsid w:val="007367B1"/>
    <w:rsid w:val="00736CE1"/>
    <w:rsid w:val="00736DB7"/>
    <w:rsid w:val="00737016"/>
    <w:rsid w:val="00737686"/>
    <w:rsid w:val="007377F8"/>
    <w:rsid w:val="00740BED"/>
    <w:rsid w:val="00740EDC"/>
    <w:rsid w:val="007411D9"/>
    <w:rsid w:val="0074128A"/>
    <w:rsid w:val="00741377"/>
    <w:rsid w:val="00741BB7"/>
    <w:rsid w:val="00741C6C"/>
    <w:rsid w:val="00741D13"/>
    <w:rsid w:val="00741E2F"/>
    <w:rsid w:val="00742096"/>
    <w:rsid w:val="007424F5"/>
    <w:rsid w:val="0074264B"/>
    <w:rsid w:val="007427D9"/>
    <w:rsid w:val="007429D8"/>
    <w:rsid w:val="00742BBE"/>
    <w:rsid w:val="00742BE7"/>
    <w:rsid w:val="007430CD"/>
    <w:rsid w:val="00743A5D"/>
    <w:rsid w:val="00743A96"/>
    <w:rsid w:val="00743B8D"/>
    <w:rsid w:val="00743E28"/>
    <w:rsid w:val="00743FB8"/>
    <w:rsid w:val="007441B1"/>
    <w:rsid w:val="007442D7"/>
    <w:rsid w:val="007446FB"/>
    <w:rsid w:val="007448E2"/>
    <w:rsid w:val="00744955"/>
    <w:rsid w:val="007450FE"/>
    <w:rsid w:val="007453B6"/>
    <w:rsid w:val="00745501"/>
    <w:rsid w:val="0074559E"/>
    <w:rsid w:val="0074648C"/>
    <w:rsid w:val="00746767"/>
    <w:rsid w:val="00746867"/>
    <w:rsid w:val="00746EFE"/>
    <w:rsid w:val="00746F9E"/>
    <w:rsid w:val="00747239"/>
    <w:rsid w:val="0074741B"/>
    <w:rsid w:val="00747E67"/>
    <w:rsid w:val="00750388"/>
    <w:rsid w:val="007505A4"/>
    <w:rsid w:val="00750999"/>
    <w:rsid w:val="007510EA"/>
    <w:rsid w:val="00751156"/>
    <w:rsid w:val="00751260"/>
    <w:rsid w:val="007517A4"/>
    <w:rsid w:val="007518EE"/>
    <w:rsid w:val="00751A02"/>
    <w:rsid w:val="00751DCA"/>
    <w:rsid w:val="00751E01"/>
    <w:rsid w:val="00751E68"/>
    <w:rsid w:val="00752190"/>
    <w:rsid w:val="0075266E"/>
    <w:rsid w:val="007526F0"/>
    <w:rsid w:val="00752767"/>
    <w:rsid w:val="00752F63"/>
    <w:rsid w:val="007535A5"/>
    <w:rsid w:val="0075399B"/>
    <w:rsid w:val="00753C31"/>
    <w:rsid w:val="00753D52"/>
    <w:rsid w:val="00753D88"/>
    <w:rsid w:val="00753EEE"/>
    <w:rsid w:val="00754003"/>
    <w:rsid w:val="00754174"/>
    <w:rsid w:val="007543DF"/>
    <w:rsid w:val="00754797"/>
    <w:rsid w:val="00754885"/>
    <w:rsid w:val="00754D6B"/>
    <w:rsid w:val="00755BA7"/>
    <w:rsid w:val="00755C09"/>
    <w:rsid w:val="00755CC4"/>
    <w:rsid w:val="007561A1"/>
    <w:rsid w:val="0075647A"/>
    <w:rsid w:val="00756501"/>
    <w:rsid w:val="00756572"/>
    <w:rsid w:val="00756707"/>
    <w:rsid w:val="007568B9"/>
    <w:rsid w:val="007569CE"/>
    <w:rsid w:val="00756C92"/>
    <w:rsid w:val="0075712C"/>
    <w:rsid w:val="00757B6D"/>
    <w:rsid w:val="00760041"/>
    <w:rsid w:val="007603A3"/>
    <w:rsid w:val="0076107E"/>
    <w:rsid w:val="007610B2"/>
    <w:rsid w:val="007612ED"/>
    <w:rsid w:val="00761964"/>
    <w:rsid w:val="007623CA"/>
    <w:rsid w:val="007624B4"/>
    <w:rsid w:val="0076264A"/>
    <w:rsid w:val="00762828"/>
    <w:rsid w:val="0076282C"/>
    <w:rsid w:val="00762870"/>
    <w:rsid w:val="00762890"/>
    <w:rsid w:val="00762E84"/>
    <w:rsid w:val="00763007"/>
    <w:rsid w:val="00763160"/>
    <w:rsid w:val="00763260"/>
    <w:rsid w:val="007635E5"/>
    <w:rsid w:val="00763627"/>
    <w:rsid w:val="007637AD"/>
    <w:rsid w:val="0076384D"/>
    <w:rsid w:val="00763851"/>
    <w:rsid w:val="0076395A"/>
    <w:rsid w:val="00763970"/>
    <w:rsid w:val="00763F08"/>
    <w:rsid w:val="007641A9"/>
    <w:rsid w:val="007643ED"/>
    <w:rsid w:val="00764433"/>
    <w:rsid w:val="007644B7"/>
    <w:rsid w:val="007645B4"/>
    <w:rsid w:val="007645ED"/>
    <w:rsid w:val="0076463C"/>
    <w:rsid w:val="0076490F"/>
    <w:rsid w:val="00764FB7"/>
    <w:rsid w:val="00765024"/>
    <w:rsid w:val="0076528B"/>
    <w:rsid w:val="007653DF"/>
    <w:rsid w:val="00765432"/>
    <w:rsid w:val="00765452"/>
    <w:rsid w:val="007657EC"/>
    <w:rsid w:val="00765C87"/>
    <w:rsid w:val="00765D9B"/>
    <w:rsid w:val="00765E09"/>
    <w:rsid w:val="00765FA3"/>
    <w:rsid w:val="007661B9"/>
    <w:rsid w:val="00766252"/>
    <w:rsid w:val="00766256"/>
    <w:rsid w:val="007662C5"/>
    <w:rsid w:val="00766621"/>
    <w:rsid w:val="0076685F"/>
    <w:rsid w:val="00766C57"/>
    <w:rsid w:val="007670F4"/>
    <w:rsid w:val="007671C2"/>
    <w:rsid w:val="00767512"/>
    <w:rsid w:val="00767793"/>
    <w:rsid w:val="007677A7"/>
    <w:rsid w:val="0076797B"/>
    <w:rsid w:val="00767CA2"/>
    <w:rsid w:val="00767EC4"/>
    <w:rsid w:val="0077000B"/>
    <w:rsid w:val="00770070"/>
    <w:rsid w:val="00770369"/>
    <w:rsid w:val="007704A5"/>
    <w:rsid w:val="00770C8B"/>
    <w:rsid w:val="0077111A"/>
    <w:rsid w:val="0077152D"/>
    <w:rsid w:val="0077167D"/>
    <w:rsid w:val="00771877"/>
    <w:rsid w:val="00771ACA"/>
    <w:rsid w:val="007723BD"/>
    <w:rsid w:val="007724B9"/>
    <w:rsid w:val="00772997"/>
    <w:rsid w:val="00772BAD"/>
    <w:rsid w:val="00772F5A"/>
    <w:rsid w:val="00773071"/>
    <w:rsid w:val="0077312B"/>
    <w:rsid w:val="0077319A"/>
    <w:rsid w:val="007731B9"/>
    <w:rsid w:val="0077329A"/>
    <w:rsid w:val="007735E1"/>
    <w:rsid w:val="007736EA"/>
    <w:rsid w:val="0077398C"/>
    <w:rsid w:val="00773CB8"/>
    <w:rsid w:val="00773DC4"/>
    <w:rsid w:val="00774183"/>
    <w:rsid w:val="007741A4"/>
    <w:rsid w:val="007742FA"/>
    <w:rsid w:val="00774876"/>
    <w:rsid w:val="00774994"/>
    <w:rsid w:val="00774A66"/>
    <w:rsid w:val="00775A44"/>
    <w:rsid w:val="00775E18"/>
    <w:rsid w:val="00775F7C"/>
    <w:rsid w:val="00775FC1"/>
    <w:rsid w:val="00776007"/>
    <w:rsid w:val="00776337"/>
    <w:rsid w:val="00776F68"/>
    <w:rsid w:val="0077716A"/>
    <w:rsid w:val="0077756A"/>
    <w:rsid w:val="00777990"/>
    <w:rsid w:val="00777C5D"/>
    <w:rsid w:val="00777D1B"/>
    <w:rsid w:val="00777D9B"/>
    <w:rsid w:val="00780123"/>
    <w:rsid w:val="00780264"/>
    <w:rsid w:val="00780901"/>
    <w:rsid w:val="00780B0B"/>
    <w:rsid w:val="00780BEC"/>
    <w:rsid w:val="007810D3"/>
    <w:rsid w:val="00781192"/>
    <w:rsid w:val="00781218"/>
    <w:rsid w:val="007813FE"/>
    <w:rsid w:val="007816F5"/>
    <w:rsid w:val="0078174E"/>
    <w:rsid w:val="007818C0"/>
    <w:rsid w:val="00781EC3"/>
    <w:rsid w:val="00782065"/>
    <w:rsid w:val="0078206A"/>
    <w:rsid w:val="00782145"/>
    <w:rsid w:val="00782279"/>
    <w:rsid w:val="007823BB"/>
    <w:rsid w:val="00782703"/>
    <w:rsid w:val="00782855"/>
    <w:rsid w:val="00782948"/>
    <w:rsid w:val="007829A1"/>
    <w:rsid w:val="00782B2D"/>
    <w:rsid w:val="00782B86"/>
    <w:rsid w:val="007832CA"/>
    <w:rsid w:val="00783931"/>
    <w:rsid w:val="007839B8"/>
    <w:rsid w:val="007839BD"/>
    <w:rsid w:val="00783BAA"/>
    <w:rsid w:val="00783DCE"/>
    <w:rsid w:val="00783F86"/>
    <w:rsid w:val="00784088"/>
    <w:rsid w:val="007840FC"/>
    <w:rsid w:val="00784298"/>
    <w:rsid w:val="00784668"/>
    <w:rsid w:val="0078469F"/>
    <w:rsid w:val="00784F29"/>
    <w:rsid w:val="0078515F"/>
    <w:rsid w:val="007853EC"/>
    <w:rsid w:val="00785408"/>
    <w:rsid w:val="00785B43"/>
    <w:rsid w:val="00785C9D"/>
    <w:rsid w:val="00785CAF"/>
    <w:rsid w:val="00785ED1"/>
    <w:rsid w:val="007860D3"/>
    <w:rsid w:val="0078615A"/>
    <w:rsid w:val="00786241"/>
    <w:rsid w:val="00786443"/>
    <w:rsid w:val="00786605"/>
    <w:rsid w:val="007866EB"/>
    <w:rsid w:val="00786976"/>
    <w:rsid w:val="00786B87"/>
    <w:rsid w:val="00786E0F"/>
    <w:rsid w:val="007875FA"/>
    <w:rsid w:val="00787604"/>
    <w:rsid w:val="00787A63"/>
    <w:rsid w:val="00790983"/>
    <w:rsid w:val="00790D54"/>
    <w:rsid w:val="00790E53"/>
    <w:rsid w:val="007911A2"/>
    <w:rsid w:val="007914F8"/>
    <w:rsid w:val="0079182A"/>
    <w:rsid w:val="0079194C"/>
    <w:rsid w:val="00791AEE"/>
    <w:rsid w:val="00791B7D"/>
    <w:rsid w:val="0079217A"/>
    <w:rsid w:val="007923AD"/>
    <w:rsid w:val="00792674"/>
    <w:rsid w:val="00792922"/>
    <w:rsid w:val="007929C5"/>
    <w:rsid w:val="00792CB5"/>
    <w:rsid w:val="00792CFF"/>
    <w:rsid w:val="00792FCF"/>
    <w:rsid w:val="00793161"/>
    <w:rsid w:val="007935DD"/>
    <w:rsid w:val="0079365B"/>
    <w:rsid w:val="007936FE"/>
    <w:rsid w:val="007937BA"/>
    <w:rsid w:val="00793F2F"/>
    <w:rsid w:val="00794397"/>
    <w:rsid w:val="007948C4"/>
    <w:rsid w:val="007949FC"/>
    <w:rsid w:val="00794B5C"/>
    <w:rsid w:val="00794EE3"/>
    <w:rsid w:val="00794F79"/>
    <w:rsid w:val="00795121"/>
    <w:rsid w:val="007956F8"/>
    <w:rsid w:val="00795870"/>
    <w:rsid w:val="0079595B"/>
    <w:rsid w:val="00795C2E"/>
    <w:rsid w:val="00795C5A"/>
    <w:rsid w:val="00795E9E"/>
    <w:rsid w:val="00796160"/>
    <w:rsid w:val="00796190"/>
    <w:rsid w:val="0079629F"/>
    <w:rsid w:val="00796317"/>
    <w:rsid w:val="00796670"/>
    <w:rsid w:val="00796784"/>
    <w:rsid w:val="00796937"/>
    <w:rsid w:val="00796A29"/>
    <w:rsid w:val="00796BF1"/>
    <w:rsid w:val="0079717A"/>
    <w:rsid w:val="007973DD"/>
    <w:rsid w:val="00797406"/>
    <w:rsid w:val="00797AF6"/>
    <w:rsid w:val="007A047B"/>
    <w:rsid w:val="007A080C"/>
    <w:rsid w:val="007A0996"/>
    <w:rsid w:val="007A0F11"/>
    <w:rsid w:val="007A122E"/>
    <w:rsid w:val="007A134F"/>
    <w:rsid w:val="007A13EA"/>
    <w:rsid w:val="007A1642"/>
    <w:rsid w:val="007A1F13"/>
    <w:rsid w:val="007A1FFD"/>
    <w:rsid w:val="007A2260"/>
    <w:rsid w:val="007A2477"/>
    <w:rsid w:val="007A2518"/>
    <w:rsid w:val="007A29BC"/>
    <w:rsid w:val="007A2ABE"/>
    <w:rsid w:val="007A2B4B"/>
    <w:rsid w:val="007A2F14"/>
    <w:rsid w:val="007A2F6D"/>
    <w:rsid w:val="007A2FC9"/>
    <w:rsid w:val="007A3301"/>
    <w:rsid w:val="007A33D5"/>
    <w:rsid w:val="007A3819"/>
    <w:rsid w:val="007A3A4C"/>
    <w:rsid w:val="007A3DC2"/>
    <w:rsid w:val="007A3EF2"/>
    <w:rsid w:val="007A3FE7"/>
    <w:rsid w:val="007A4106"/>
    <w:rsid w:val="007A414B"/>
    <w:rsid w:val="007A4168"/>
    <w:rsid w:val="007A421F"/>
    <w:rsid w:val="007A44CE"/>
    <w:rsid w:val="007A4922"/>
    <w:rsid w:val="007A4C65"/>
    <w:rsid w:val="007A4CB2"/>
    <w:rsid w:val="007A6910"/>
    <w:rsid w:val="007A6CB4"/>
    <w:rsid w:val="007A6DA1"/>
    <w:rsid w:val="007A7037"/>
    <w:rsid w:val="007A753E"/>
    <w:rsid w:val="007A7620"/>
    <w:rsid w:val="007A7822"/>
    <w:rsid w:val="007A7CE9"/>
    <w:rsid w:val="007A7E21"/>
    <w:rsid w:val="007A7EDC"/>
    <w:rsid w:val="007A7F4B"/>
    <w:rsid w:val="007A7FD8"/>
    <w:rsid w:val="007B0020"/>
    <w:rsid w:val="007B02D4"/>
    <w:rsid w:val="007B02F3"/>
    <w:rsid w:val="007B0AF9"/>
    <w:rsid w:val="007B0D71"/>
    <w:rsid w:val="007B0D8B"/>
    <w:rsid w:val="007B11D8"/>
    <w:rsid w:val="007B13D5"/>
    <w:rsid w:val="007B16AA"/>
    <w:rsid w:val="007B1814"/>
    <w:rsid w:val="007B1AB0"/>
    <w:rsid w:val="007B1BD5"/>
    <w:rsid w:val="007B1C7F"/>
    <w:rsid w:val="007B258D"/>
    <w:rsid w:val="007B28A9"/>
    <w:rsid w:val="007B292B"/>
    <w:rsid w:val="007B306D"/>
    <w:rsid w:val="007B3401"/>
    <w:rsid w:val="007B34A1"/>
    <w:rsid w:val="007B372F"/>
    <w:rsid w:val="007B3993"/>
    <w:rsid w:val="007B3C4F"/>
    <w:rsid w:val="007B3EE8"/>
    <w:rsid w:val="007B3F3A"/>
    <w:rsid w:val="007B4123"/>
    <w:rsid w:val="007B448B"/>
    <w:rsid w:val="007B4F0C"/>
    <w:rsid w:val="007B5345"/>
    <w:rsid w:val="007B535F"/>
    <w:rsid w:val="007B53DD"/>
    <w:rsid w:val="007B54E9"/>
    <w:rsid w:val="007B579E"/>
    <w:rsid w:val="007B5869"/>
    <w:rsid w:val="007B5BD6"/>
    <w:rsid w:val="007B5CDC"/>
    <w:rsid w:val="007B5D25"/>
    <w:rsid w:val="007B5FE3"/>
    <w:rsid w:val="007B6237"/>
    <w:rsid w:val="007B625A"/>
    <w:rsid w:val="007B6452"/>
    <w:rsid w:val="007B6DB4"/>
    <w:rsid w:val="007B6DFF"/>
    <w:rsid w:val="007B7395"/>
    <w:rsid w:val="007B74AE"/>
    <w:rsid w:val="007B768A"/>
    <w:rsid w:val="007B76DC"/>
    <w:rsid w:val="007B7D45"/>
    <w:rsid w:val="007B7F36"/>
    <w:rsid w:val="007C0290"/>
    <w:rsid w:val="007C0429"/>
    <w:rsid w:val="007C06C4"/>
    <w:rsid w:val="007C0975"/>
    <w:rsid w:val="007C09C8"/>
    <w:rsid w:val="007C0BD0"/>
    <w:rsid w:val="007C11FE"/>
    <w:rsid w:val="007C1366"/>
    <w:rsid w:val="007C1C8E"/>
    <w:rsid w:val="007C2132"/>
    <w:rsid w:val="007C226B"/>
    <w:rsid w:val="007C2413"/>
    <w:rsid w:val="007C24D8"/>
    <w:rsid w:val="007C253A"/>
    <w:rsid w:val="007C26F2"/>
    <w:rsid w:val="007C2A12"/>
    <w:rsid w:val="007C2CBB"/>
    <w:rsid w:val="007C2DDD"/>
    <w:rsid w:val="007C3185"/>
    <w:rsid w:val="007C346B"/>
    <w:rsid w:val="007C388E"/>
    <w:rsid w:val="007C3B28"/>
    <w:rsid w:val="007C3BEF"/>
    <w:rsid w:val="007C3F21"/>
    <w:rsid w:val="007C49C1"/>
    <w:rsid w:val="007C4A6D"/>
    <w:rsid w:val="007C4D92"/>
    <w:rsid w:val="007C4D9E"/>
    <w:rsid w:val="007C4F2F"/>
    <w:rsid w:val="007C5039"/>
    <w:rsid w:val="007C50C9"/>
    <w:rsid w:val="007C524E"/>
    <w:rsid w:val="007C5937"/>
    <w:rsid w:val="007C597F"/>
    <w:rsid w:val="007C5D16"/>
    <w:rsid w:val="007C5F0F"/>
    <w:rsid w:val="007C5FED"/>
    <w:rsid w:val="007C6280"/>
    <w:rsid w:val="007C682E"/>
    <w:rsid w:val="007C6A2B"/>
    <w:rsid w:val="007C6BB9"/>
    <w:rsid w:val="007C7327"/>
    <w:rsid w:val="007C7675"/>
    <w:rsid w:val="007C7A2E"/>
    <w:rsid w:val="007C7C4B"/>
    <w:rsid w:val="007C7C75"/>
    <w:rsid w:val="007C7E60"/>
    <w:rsid w:val="007D02CE"/>
    <w:rsid w:val="007D03B1"/>
    <w:rsid w:val="007D073C"/>
    <w:rsid w:val="007D095D"/>
    <w:rsid w:val="007D0AE9"/>
    <w:rsid w:val="007D0E4A"/>
    <w:rsid w:val="007D1146"/>
    <w:rsid w:val="007D12AA"/>
    <w:rsid w:val="007D1365"/>
    <w:rsid w:val="007D13CD"/>
    <w:rsid w:val="007D1556"/>
    <w:rsid w:val="007D15E2"/>
    <w:rsid w:val="007D189C"/>
    <w:rsid w:val="007D199A"/>
    <w:rsid w:val="007D1A03"/>
    <w:rsid w:val="007D1BF6"/>
    <w:rsid w:val="007D2314"/>
    <w:rsid w:val="007D2ADD"/>
    <w:rsid w:val="007D2CBC"/>
    <w:rsid w:val="007D2FD0"/>
    <w:rsid w:val="007D3331"/>
    <w:rsid w:val="007D3803"/>
    <w:rsid w:val="007D3B2D"/>
    <w:rsid w:val="007D4169"/>
    <w:rsid w:val="007D4BB7"/>
    <w:rsid w:val="007D50E2"/>
    <w:rsid w:val="007D5542"/>
    <w:rsid w:val="007D5578"/>
    <w:rsid w:val="007D5B66"/>
    <w:rsid w:val="007D5C76"/>
    <w:rsid w:val="007D5DBE"/>
    <w:rsid w:val="007D5F6D"/>
    <w:rsid w:val="007D6325"/>
    <w:rsid w:val="007D63C9"/>
    <w:rsid w:val="007D68AB"/>
    <w:rsid w:val="007D6922"/>
    <w:rsid w:val="007D6A63"/>
    <w:rsid w:val="007D6AB1"/>
    <w:rsid w:val="007D7299"/>
    <w:rsid w:val="007D73A3"/>
    <w:rsid w:val="007D7AB4"/>
    <w:rsid w:val="007D7C3F"/>
    <w:rsid w:val="007D7C7F"/>
    <w:rsid w:val="007E040E"/>
    <w:rsid w:val="007E06F3"/>
    <w:rsid w:val="007E0D09"/>
    <w:rsid w:val="007E0D84"/>
    <w:rsid w:val="007E10BF"/>
    <w:rsid w:val="007E12CC"/>
    <w:rsid w:val="007E1350"/>
    <w:rsid w:val="007E13E8"/>
    <w:rsid w:val="007E13FB"/>
    <w:rsid w:val="007E14D1"/>
    <w:rsid w:val="007E1578"/>
    <w:rsid w:val="007E186D"/>
    <w:rsid w:val="007E1CA6"/>
    <w:rsid w:val="007E1E5E"/>
    <w:rsid w:val="007E1E8E"/>
    <w:rsid w:val="007E1F85"/>
    <w:rsid w:val="007E249F"/>
    <w:rsid w:val="007E257E"/>
    <w:rsid w:val="007E25EA"/>
    <w:rsid w:val="007E2BED"/>
    <w:rsid w:val="007E2EFC"/>
    <w:rsid w:val="007E2F08"/>
    <w:rsid w:val="007E3100"/>
    <w:rsid w:val="007E338B"/>
    <w:rsid w:val="007E3AC2"/>
    <w:rsid w:val="007E3D2B"/>
    <w:rsid w:val="007E47F2"/>
    <w:rsid w:val="007E490B"/>
    <w:rsid w:val="007E49F3"/>
    <w:rsid w:val="007E4C2A"/>
    <w:rsid w:val="007E4D5A"/>
    <w:rsid w:val="007E4D69"/>
    <w:rsid w:val="007E4FC5"/>
    <w:rsid w:val="007E5302"/>
    <w:rsid w:val="007E58DA"/>
    <w:rsid w:val="007E5C1A"/>
    <w:rsid w:val="007E5C42"/>
    <w:rsid w:val="007E5E1A"/>
    <w:rsid w:val="007E6038"/>
    <w:rsid w:val="007E61BB"/>
    <w:rsid w:val="007E69B9"/>
    <w:rsid w:val="007E6A7D"/>
    <w:rsid w:val="007E6DDB"/>
    <w:rsid w:val="007E739D"/>
    <w:rsid w:val="007E7C77"/>
    <w:rsid w:val="007E7F9A"/>
    <w:rsid w:val="007F0104"/>
    <w:rsid w:val="007F02ED"/>
    <w:rsid w:val="007F04CE"/>
    <w:rsid w:val="007F0837"/>
    <w:rsid w:val="007F092A"/>
    <w:rsid w:val="007F095B"/>
    <w:rsid w:val="007F09A7"/>
    <w:rsid w:val="007F0BBD"/>
    <w:rsid w:val="007F0C5C"/>
    <w:rsid w:val="007F1897"/>
    <w:rsid w:val="007F1915"/>
    <w:rsid w:val="007F1CD8"/>
    <w:rsid w:val="007F1E91"/>
    <w:rsid w:val="007F1EBC"/>
    <w:rsid w:val="007F1FA2"/>
    <w:rsid w:val="007F262C"/>
    <w:rsid w:val="007F29F2"/>
    <w:rsid w:val="007F2A8F"/>
    <w:rsid w:val="007F2BFC"/>
    <w:rsid w:val="007F2F36"/>
    <w:rsid w:val="007F3553"/>
    <w:rsid w:val="007F3B3B"/>
    <w:rsid w:val="007F41C2"/>
    <w:rsid w:val="007F4441"/>
    <w:rsid w:val="007F465D"/>
    <w:rsid w:val="007F4DC9"/>
    <w:rsid w:val="007F5049"/>
    <w:rsid w:val="007F527F"/>
    <w:rsid w:val="007F55DD"/>
    <w:rsid w:val="007F5B1D"/>
    <w:rsid w:val="007F5C93"/>
    <w:rsid w:val="007F5DCF"/>
    <w:rsid w:val="007F619D"/>
    <w:rsid w:val="007F63FB"/>
    <w:rsid w:val="007F66AD"/>
    <w:rsid w:val="007F6BD0"/>
    <w:rsid w:val="007F6CBC"/>
    <w:rsid w:val="007F6DDA"/>
    <w:rsid w:val="007F7075"/>
    <w:rsid w:val="007F7300"/>
    <w:rsid w:val="007F7593"/>
    <w:rsid w:val="007F76E6"/>
    <w:rsid w:val="007F7A59"/>
    <w:rsid w:val="007F7A8B"/>
    <w:rsid w:val="007F7BD7"/>
    <w:rsid w:val="0080039F"/>
    <w:rsid w:val="0080047B"/>
    <w:rsid w:val="00800567"/>
    <w:rsid w:val="00800615"/>
    <w:rsid w:val="0080072B"/>
    <w:rsid w:val="008007E2"/>
    <w:rsid w:val="00800856"/>
    <w:rsid w:val="00800A5E"/>
    <w:rsid w:val="00800BF7"/>
    <w:rsid w:val="00801131"/>
    <w:rsid w:val="008011A0"/>
    <w:rsid w:val="00801447"/>
    <w:rsid w:val="0080151D"/>
    <w:rsid w:val="00801657"/>
    <w:rsid w:val="00801825"/>
    <w:rsid w:val="0080182F"/>
    <w:rsid w:val="00801CD1"/>
    <w:rsid w:val="00801E47"/>
    <w:rsid w:val="00801EFF"/>
    <w:rsid w:val="00802239"/>
    <w:rsid w:val="0080255B"/>
    <w:rsid w:val="00802ADF"/>
    <w:rsid w:val="00802D5A"/>
    <w:rsid w:val="00802EFC"/>
    <w:rsid w:val="00802FDB"/>
    <w:rsid w:val="008030E0"/>
    <w:rsid w:val="008033B1"/>
    <w:rsid w:val="0080397D"/>
    <w:rsid w:val="00803AFF"/>
    <w:rsid w:val="00803C55"/>
    <w:rsid w:val="00804198"/>
    <w:rsid w:val="0080425C"/>
    <w:rsid w:val="0080457F"/>
    <w:rsid w:val="0080459F"/>
    <w:rsid w:val="00804A4D"/>
    <w:rsid w:val="00804DC9"/>
    <w:rsid w:val="00804FE3"/>
    <w:rsid w:val="0080532E"/>
    <w:rsid w:val="0080591C"/>
    <w:rsid w:val="00805BF6"/>
    <w:rsid w:val="00805ED0"/>
    <w:rsid w:val="00805F6F"/>
    <w:rsid w:val="0080602E"/>
    <w:rsid w:val="008060C2"/>
    <w:rsid w:val="00806200"/>
    <w:rsid w:val="00806257"/>
    <w:rsid w:val="008064F9"/>
    <w:rsid w:val="008067D8"/>
    <w:rsid w:val="008069F7"/>
    <w:rsid w:val="00806B86"/>
    <w:rsid w:val="0080714C"/>
    <w:rsid w:val="008078D6"/>
    <w:rsid w:val="00807A27"/>
    <w:rsid w:val="00807C29"/>
    <w:rsid w:val="00810188"/>
    <w:rsid w:val="00810373"/>
    <w:rsid w:val="008103B1"/>
    <w:rsid w:val="00810997"/>
    <w:rsid w:val="008109EE"/>
    <w:rsid w:val="00810C88"/>
    <w:rsid w:val="00810D6A"/>
    <w:rsid w:val="00810E1F"/>
    <w:rsid w:val="00810F0A"/>
    <w:rsid w:val="00811A01"/>
    <w:rsid w:val="00811BA6"/>
    <w:rsid w:val="008120D4"/>
    <w:rsid w:val="00812438"/>
    <w:rsid w:val="0081263C"/>
    <w:rsid w:val="0081272D"/>
    <w:rsid w:val="008128C7"/>
    <w:rsid w:val="008128F6"/>
    <w:rsid w:val="0081366A"/>
    <w:rsid w:val="00813773"/>
    <w:rsid w:val="00813B32"/>
    <w:rsid w:val="008141C6"/>
    <w:rsid w:val="00814315"/>
    <w:rsid w:val="00814415"/>
    <w:rsid w:val="0081456D"/>
    <w:rsid w:val="00814BCF"/>
    <w:rsid w:val="00814D02"/>
    <w:rsid w:val="00814E70"/>
    <w:rsid w:val="00815474"/>
    <w:rsid w:val="0081560F"/>
    <w:rsid w:val="0081562C"/>
    <w:rsid w:val="008156C2"/>
    <w:rsid w:val="0081573E"/>
    <w:rsid w:val="00815F2A"/>
    <w:rsid w:val="008162D5"/>
    <w:rsid w:val="008166D8"/>
    <w:rsid w:val="00816ED6"/>
    <w:rsid w:val="008170C6"/>
    <w:rsid w:val="00817289"/>
    <w:rsid w:val="00817343"/>
    <w:rsid w:val="00817A74"/>
    <w:rsid w:val="00817A8B"/>
    <w:rsid w:val="00817B25"/>
    <w:rsid w:val="008202C9"/>
    <w:rsid w:val="0082066D"/>
    <w:rsid w:val="0082070A"/>
    <w:rsid w:val="0082088D"/>
    <w:rsid w:val="00820892"/>
    <w:rsid w:val="00820D34"/>
    <w:rsid w:val="00820D72"/>
    <w:rsid w:val="00820EA4"/>
    <w:rsid w:val="00821B34"/>
    <w:rsid w:val="00821ECB"/>
    <w:rsid w:val="00822489"/>
    <w:rsid w:val="0082259F"/>
    <w:rsid w:val="008226C0"/>
    <w:rsid w:val="0082273C"/>
    <w:rsid w:val="008227AF"/>
    <w:rsid w:val="00822911"/>
    <w:rsid w:val="00822D12"/>
    <w:rsid w:val="008230A5"/>
    <w:rsid w:val="00823143"/>
    <w:rsid w:val="008231B3"/>
    <w:rsid w:val="008232FE"/>
    <w:rsid w:val="0082359C"/>
    <w:rsid w:val="0082367F"/>
    <w:rsid w:val="00823739"/>
    <w:rsid w:val="00824224"/>
    <w:rsid w:val="008243D3"/>
    <w:rsid w:val="00824608"/>
    <w:rsid w:val="0082465B"/>
    <w:rsid w:val="00824D1A"/>
    <w:rsid w:val="00824F2A"/>
    <w:rsid w:val="00825299"/>
    <w:rsid w:val="00825661"/>
    <w:rsid w:val="00825788"/>
    <w:rsid w:val="00826268"/>
    <w:rsid w:val="008262AA"/>
    <w:rsid w:val="00826319"/>
    <w:rsid w:val="0082679C"/>
    <w:rsid w:val="00826A9A"/>
    <w:rsid w:val="00826C6A"/>
    <w:rsid w:val="00827F21"/>
    <w:rsid w:val="00830723"/>
    <w:rsid w:val="00830B7E"/>
    <w:rsid w:val="008312BB"/>
    <w:rsid w:val="008312CB"/>
    <w:rsid w:val="00831314"/>
    <w:rsid w:val="00831543"/>
    <w:rsid w:val="00831AD1"/>
    <w:rsid w:val="00831C7F"/>
    <w:rsid w:val="00831EE7"/>
    <w:rsid w:val="008320BD"/>
    <w:rsid w:val="008320EB"/>
    <w:rsid w:val="0083222C"/>
    <w:rsid w:val="0083236A"/>
    <w:rsid w:val="008323FD"/>
    <w:rsid w:val="0083274F"/>
    <w:rsid w:val="008328C6"/>
    <w:rsid w:val="00832961"/>
    <w:rsid w:val="00832BEB"/>
    <w:rsid w:val="00832F01"/>
    <w:rsid w:val="0083302C"/>
    <w:rsid w:val="00833046"/>
    <w:rsid w:val="00833331"/>
    <w:rsid w:val="0083349F"/>
    <w:rsid w:val="008336D2"/>
    <w:rsid w:val="008341A2"/>
    <w:rsid w:val="00834667"/>
    <w:rsid w:val="0083468B"/>
    <w:rsid w:val="008349A1"/>
    <w:rsid w:val="00834B3A"/>
    <w:rsid w:val="00835631"/>
    <w:rsid w:val="00835DDE"/>
    <w:rsid w:val="008360F7"/>
    <w:rsid w:val="00836220"/>
    <w:rsid w:val="0083666D"/>
    <w:rsid w:val="00836960"/>
    <w:rsid w:val="00836CA0"/>
    <w:rsid w:val="00836ED6"/>
    <w:rsid w:val="008371CE"/>
    <w:rsid w:val="00837223"/>
    <w:rsid w:val="008373FD"/>
    <w:rsid w:val="0083792F"/>
    <w:rsid w:val="00837B51"/>
    <w:rsid w:val="008403EE"/>
    <w:rsid w:val="00840E60"/>
    <w:rsid w:val="008411C5"/>
    <w:rsid w:val="0084210B"/>
    <w:rsid w:val="008421C0"/>
    <w:rsid w:val="0084223B"/>
    <w:rsid w:val="00842534"/>
    <w:rsid w:val="008425CC"/>
    <w:rsid w:val="008426A3"/>
    <w:rsid w:val="008427B5"/>
    <w:rsid w:val="008428D9"/>
    <w:rsid w:val="00842EE6"/>
    <w:rsid w:val="00843637"/>
    <w:rsid w:val="0084370D"/>
    <w:rsid w:val="00843710"/>
    <w:rsid w:val="00843A01"/>
    <w:rsid w:val="00843DCF"/>
    <w:rsid w:val="00843F29"/>
    <w:rsid w:val="00843F33"/>
    <w:rsid w:val="0084456F"/>
    <w:rsid w:val="008447CA"/>
    <w:rsid w:val="00844894"/>
    <w:rsid w:val="00845091"/>
    <w:rsid w:val="008450CF"/>
    <w:rsid w:val="008456B8"/>
    <w:rsid w:val="00845C06"/>
    <w:rsid w:val="00845DAD"/>
    <w:rsid w:val="008466A7"/>
    <w:rsid w:val="008466C7"/>
    <w:rsid w:val="008467DB"/>
    <w:rsid w:val="00846C0B"/>
    <w:rsid w:val="00846C0E"/>
    <w:rsid w:val="00846DEC"/>
    <w:rsid w:val="00846E2E"/>
    <w:rsid w:val="00846E44"/>
    <w:rsid w:val="00846EB8"/>
    <w:rsid w:val="00846EE5"/>
    <w:rsid w:val="00846F65"/>
    <w:rsid w:val="00846FBF"/>
    <w:rsid w:val="008471C3"/>
    <w:rsid w:val="00847426"/>
    <w:rsid w:val="00847562"/>
    <w:rsid w:val="008475C5"/>
    <w:rsid w:val="00847A0B"/>
    <w:rsid w:val="00847B88"/>
    <w:rsid w:val="00850723"/>
    <w:rsid w:val="008509D1"/>
    <w:rsid w:val="00850C16"/>
    <w:rsid w:val="00850CCD"/>
    <w:rsid w:val="00850D2F"/>
    <w:rsid w:val="00851390"/>
    <w:rsid w:val="00851456"/>
    <w:rsid w:val="008515B3"/>
    <w:rsid w:val="0085177E"/>
    <w:rsid w:val="00851D64"/>
    <w:rsid w:val="00851E57"/>
    <w:rsid w:val="00851F01"/>
    <w:rsid w:val="0085234E"/>
    <w:rsid w:val="008523D3"/>
    <w:rsid w:val="0085240F"/>
    <w:rsid w:val="00852497"/>
    <w:rsid w:val="008524A5"/>
    <w:rsid w:val="008525C4"/>
    <w:rsid w:val="00853598"/>
    <w:rsid w:val="00853920"/>
    <w:rsid w:val="00853A78"/>
    <w:rsid w:val="00853DAE"/>
    <w:rsid w:val="00853F99"/>
    <w:rsid w:val="00854102"/>
    <w:rsid w:val="008547A0"/>
    <w:rsid w:val="00854921"/>
    <w:rsid w:val="00854A4C"/>
    <w:rsid w:val="00854D68"/>
    <w:rsid w:val="00854E12"/>
    <w:rsid w:val="00854FDA"/>
    <w:rsid w:val="008551C0"/>
    <w:rsid w:val="00855501"/>
    <w:rsid w:val="0085566E"/>
    <w:rsid w:val="008558C7"/>
    <w:rsid w:val="00855A7D"/>
    <w:rsid w:val="00856766"/>
    <w:rsid w:val="008567BE"/>
    <w:rsid w:val="00856C9C"/>
    <w:rsid w:val="00856D1F"/>
    <w:rsid w:val="00856D88"/>
    <w:rsid w:val="00857F5A"/>
    <w:rsid w:val="00860637"/>
    <w:rsid w:val="008606F8"/>
    <w:rsid w:val="00860C7E"/>
    <w:rsid w:val="00860CDC"/>
    <w:rsid w:val="0086113F"/>
    <w:rsid w:val="008614AA"/>
    <w:rsid w:val="0086154D"/>
    <w:rsid w:val="008615B1"/>
    <w:rsid w:val="008615E4"/>
    <w:rsid w:val="00861771"/>
    <w:rsid w:val="00861959"/>
    <w:rsid w:val="008619B3"/>
    <w:rsid w:val="00861B6B"/>
    <w:rsid w:val="00861C00"/>
    <w:rsid w:val="00861E1C"/>
    <w:rsid w:val="00861F60"/>
    <w:rsid w:val="0086204D"/>
    <w:rsid w:val="008628BE"/>
    <w:rsid w:val="008629E7"/>
    <w:rsid w:val="00862BA6"/>
    <w:rsid w:val="00862E01"/>
    <w:rsid w:val="00863B80"/>
    <w:rsid w:val="00863C9E"/>
    <w:rsid w:val="00864136"/>
    <w:rsid w:val="00864306"/>
    <w:rsid w:val="008643F4"/>
    <w:rsid w:val="008645E2"/>
    <w:rsid w:val="00864DF4"/>
    <w:rsid w:val="00865932"/>
    <w:rsid w:val="008659FC"/>
    <w:rsid w:val="00865D97"/>
    <w:rsid w:val="008660E4"/>
    <w:rsid w:val="008664C9"/>
    <w:rsid w:val="008668F6"/>
    <w:rsid w:val="00866965"/>
    <w:rsid w:val="00866FB0"/>
    <w:rsid w:val="008670D1"/>
    <w:rsid w:val="0086733D"/>
    <w:rsid w:val="00867F52"/>
    <w:rsid w:val="00867F6B"/>
    <w:rsid w:val="00870133"/>
    <w:rsid w:val="00870227"/>
    <w:rsid w:val="00870739"/>
    <w:rsid w:val="008708D7"/>
    <w:rsid w:val="00870A08"/>
    <w:rsid w:val="00870ADF"/>
    <w:rsid w:val="00870B05"/>
    <w:rsid w:val="00871318"/>
    <w:rsid w:val="00871349"/>
    <w:rsid w:val="00871AC9"/>
    <w:rsid w:val="00871B73"/>
    <w:rsid w:val="008720BA"/>
    <w:rsid w:val="0087235A"/>
    <w:rsid w:val="008724F2"/>
    <w:rsid w:val="00872A5E"/>
    <w:rsid w:val="00873130"/>
    <w:rsid w:val="0087316E"/>
    <w:rsid w:val="0087323D"/>
    <w:rsid w:val="00873677"/>
    <w:rsid w:val="008737D1"/>
    <w:rsid w:val="008739E8"/>
    <w:rsid w:val="00873B92"/>
    <w:rsid w:val="00873BA4"/>
    <w:rsid w:val="00873EA0"/>
    <w:rsid w:val="008745B8"/>
    <w:rsid w:val="0087492F"/>
    <w:rsid w:val="00874DD1"/>
    <w:rsid w:val="00874DE8"/>
    <w:rsid w:val="00875271"/>
    <w:rsid w:val="0087565F"/>
    <w:rsid w:val="00875730"/>
    <w:rsid w:val="0087593E"/>
    <w:rsid w:val="00875B4A"/>
    <w:rsid w:val="00875C28"/>
    <w:rsid w:val="0087685B"/>
    <w:rsid w:val="0087707D"/>
    <w:rsid w:val="008771ED"/>
    <w:rsid w:val="0087787F"/>
    <w:rsid w:val="0087799F"/>
    <w:rsid w:val="00877B01"/>
    <w:rsid w:val="00877C6E"/>
    <w:rsid w:val="00877CBB"/>
    <w:rsid w:val="00877E4D"/>
    <w:rsid w:val="0088034D"/>
    <w:rsid w:val="00880773"/>
    <w:rsid w:val="00880B2C"/>
    <w:rsid w:val="00880EBF"/>
    <w:rsid w:val="00881256"/>
    <w:rsid w:val="00881566"/>
    <w:rsid w:val="00881617"/>
    <w:rsid w:val="00881C74"/>
    <w:rsid w:val="00881DE1"/>
    <w:rsid w:val="008820B0"/>
    <w:rsid w:val="00882623"/>
    <w:rsid w:val="008828A3"/>
    <w:rsid w:val="00882D96"/>
    <w:rsid w:val="008830E1"/>
    <w:rsid w:val="008830EE"/>
    <w:rsid w:val="0088310A"/>
    <w:rsid w:val="0088341A"/>
    <w:rsid w:val="00883492"/>
    <w:rsid w:val="00883B8E"/>
    <w:rsid w:val="00883F20"/>
    <w:rsid w:val="008842CC"/>
    <w:rsid w:val="00884441"/>
    <w:rsid w:val="00884511"/>
    <w:rsid w:val="00884881"/>
    <w:rsid w:val="0088488A"/>
    <w:rsid w:val="00884C92"/>
    <w:rsid w:val="00884DA4"/>
    <w:rsid w:val="00884E66"/>
    <w:rsid w:val="00885141"/>
    <w:rsid w:val="008852A1"/>
    <w:rsid w:val="0088589F"/>
    <w:rsid w:val="008858A9"/>
    <w:rsid w:val="0088593C"/>
    <w:rsid w:val="00885E3B"/>
    <w:rsid w:val="008865EB"/>
    <w:rsid w:val="00886840"/>
    <w:rsid w:val="008869D9"/>
    <w:rsid w:val="00886ABA"/>
    <w:rsid w:val="00886B06"/>
    <w:rsid w:val="00886DA7"/>
    <w:rsid w:val="00886E8B"/>
    <w:rsid w:val="00886F29"/>
    <w:rsid w:val="00887179"/>
    <w:rsid w:val="008876DE"/>
    <w:rsid w:val="008877C8"/>
    <w:rsid w:val="00887801"/>
    <w:rsid w:val="00890294"/>
    <w:rsid w:val="00890710"/>
    <w:rsid w:val="00891530"/>
    <w:rsid w:val="00891A2A"/>
    <w:rsid w:val="00891B2F"/>
    <w:rsid w:val="00892242"/>
    <w:rsid w:val="00892749"/>
    <w:rsid w:val="00892AC1"/>
    <w:rsid w:val="00892B73"/>
    <w:rsid w:val="00893176"/>
    <w:rsid w:val="00893663"/>
    <w:rsid w:val="008937BC"/>
    <w:rsid w:val="008937F1"/>
    <w:rsid w:val="008938D8"/>
    <w:rsid w:val="008938DA"/>
    <w:rsid w:val="00893B61"/>
    <w:rsid w:val="00893CCA"/>
    <w:rsid w:val="00894071"/>
    <w:rsid w:val="0089420B"/>
    <w:rsid w:val="00894B19"/>
    <w:rsid w:val="0089549C"/>
    <w:rsid w:val="00895500"/>
    <w:rsid w:val="008955A8"/>
    <w:rsid w:val="008956C8"/>
    <w:rsid w:val="0089571F"/>
    <w:rsid w:val="008958A9"/>
    <w:rsid w:val="008958D5"/>
    <w:rsid w:val="00895B09"/>
    <w:rsid w:val="00895B0C"/>
    <w:rsid w:val="00895DB2"/>
    <w:rsid w:val="00895EDD"/>
    <w:rsid w:val="00896060"/>
    <w:rsid w:val="00896398"/>
    <w:rsid w:val="008963E0"/>
    <w:rsid w:val="0089693D"/>
    <w:rsid w:val="00897325"/>
    <w:rsid w:val="00897895"/>
    <w:rsid w:val="00897A1C"/>
    <w:rsid w:val="00897C18"/>
    <w:rsid w:val="008A00E3"/>
    <w:rsid w:val="008A0206"/>
    <w:rsid w:val="008A0454"/>
    <w:rsid w:val="008A06F3"/>
    <w:rsid w:val="008A06F8"/>
    <w:rsid w:val="008A1035"/>
    <w:rsid w:val="008A12F5"/>
    <w:rsid w:val="008A1391"/>
    <w:rsid w:val="008A16F2"/>
    <w:rsid w:val="008A196B"/>
    <w:rsid w:val="008A1CA9"/>
    <w:rsid w:val="008A1F81"/>
    <w:rsid w:val="008A2121"/>
    <w:rsid w:val="008A2322"/>
    <w:rsid w:val="008A27E8"/>
    <w:rsid w:val="008A2ABB"/>
    <w:rsid w:val="008A2C37"/>
    <w:rsid w:val="008A2CF4"/>
    <w:rsid w:val="008A2DCE"/>
    <w:rsid w:val="008A2DDC"/>
    <w:rsid w:val="008A3453"/>
    <w:rsid w:val="008A3A61"/>
    <w:rsid w:val="008A4163"/>
    <w:rsid w:val="008A4A11"/>
    <w:rsid w:val="008A4E4E"/>
    <w:rsid w:val="008A4F58"/>
    <w:rsid w:val="008A4F90"/>
    <w:rsid w:val="008A50D4"/>
    <w:rsid w:val="008A511C"/>
    <w:rsid w:val="008A5C31"/>
    <w:rsid w:val="008A5DCE"/>
    <w:rsid w:val="008A6095"/>
    <w:rsid w:val="008A60C8"/>
    <w:rsid w:val="008A6246"/>
    <w:rsid w:val="008A6289"/>
    <w:rsid w:val="008A6637"/>
    <w:rsid w:val="008A71A1"/>
    <w:rsid w:val="008A7816"/>
    <w:rsid w:val="008A7890"/>
    <w:rsid w:val="008A7A74"/>
    <w:rsid w:val="008A7B93"/>
    <w:rsid w:val="008A7CDB"/>
    <w:rsid w:val="008A7D0A"/>
    <w:rsid w:val="008A7D7E"/>
    <w:rsid w:val="008B00CF"/>
    <w:rsid w:val="008B073A"/>
    <w:rsid w:val="008B0947"/>
    <w:rsid w:val="008B0954"/>
    <w:rsid w:val="008B0B5B"/>
    <w:rsid w:val="008B0F3C"/>
    <w:rsid w:val="008B17F4"/>
    <w:rsid w:val="008B1AA6"/>
    <w:rsid w:val="008B1B87"/>
    <w:rsid w:val="008B1C9A"/>
    <w:rsid w:val="008B1F65"/>
    <w:rsid w:val="008B210A"/>
    <w:rsid w:val="008B2579"/>
    <w:rsid w:val="008B269E"/>
    <w:rsid w:val="008B2810"/>
    <w:rsid w:val="008B2C10"/>
    <w:rsid w:val="008B2ED6"/>
    <w:rsid w:val="008B2F31"/>
    <w:rsid w:val="008B2F39"/>
    <w:rsid w:val="008B3149"/>
    <w:rsid w:val="008B3525"/>
    <w:rsid w:val="008B38A4"/>
    <w:rsid w:val="008B3A93"/>
    <w:rsid w:val="008B4327"/>
    <w:rsid w:val="008B46DF"/>
    <w:rsid w:val="008B4755"/>
    <w:rsid w:val="008B4873"/>
    <w:rsid w:val="008B4F22"/>
    <w:rsid w:val="008B51AE"/>
    <w:rsid w:val="008B52A7"/>
    <w:rsid w:val="008B55F3"/>
    <w:rsid w:val="008B58A2"/>
    <w:rsid w:val="008B5981"/>
    <w:rsid w:val="008B68D5"/>
    <w:rsid w:val="008B6AFC"/>
    <w:rsid w:val="008B6D74"/>
    <w:rsid w:val="008B6FFF"/>
    <w:rsid w:val="008B700B"/>
    <w:rsid w:val="008B72F5"/>
    <w:rsid w:val="008B7384"/>
    <w:rsid w:val="008B7BEE"/>
    <w:rsid w:val="008B7E51"/>
    <w:rsid w:val="008B7F5C"/>
    <w:rsid w:val="008C0163"/>
    <w:rsid w:val="008C026E"/>
    <w:rsid w:val="008C0409"/>
    <w:rsid w:val="008C0A9E"/>
    <w:rsid w:val="008C0CDE"/>
    <w:rsid w:val="008C0CFE"/>
    <w:rsid w:val="008C1570"/>
    <w:rsid w:val="008C16AD"/>
    <w:rsid w:val="008C1F08"/>
    <w:rsid w:val="008C220C"/>
    <w:rsid w:val="008C233A"/>
    <w:rsid w:val="008C23F3"/>
    <w:rsid w:val="008C24C7"/>
    <w:rsid w:val="008C28A2"/>
    <w:rsid w:val="008C28FC"/>
    <w:rsid w:val="008C2A41"/>
    <w:rsid w:val="008C2DAE"/>
    <w:rsid w:val="008C2F8B"/>
    <w:rsid w:val="008C3073"/>
    <w:rsid w:val="008C31A4"/>
    <w:rsid w:val="008C3215"/>
    <w:rsid w:val="008C3297"/>
    <w:rsid w:val="008C33A9"/>
    <w:rsid w:val="008C3455"/>
    <w:rsid w:val="008C372A"/>
    <w:rsid w:val="008C3C97"/>
    <w:rsid w:val="008C4075"/>
    <w:rsid w:val="008C46DF"/>
    <w:rsid w:val="008C4E8F"/>
    <w:rsid w:val="008C5435"/>
    <w:rsid w:val="008C55C8"/>
    <w:rsid w:val="008C5687"/>
    <w:rsid w:val="008C588B"/>
    <w:rsid w:val="008C5957"/>
    <w:rsid w:val="008C6479"/>
    <w:rsid w:val="008C6E94"/>
    <w:rsid w:val="008C7196"/>
    <w:rsid w:val="008C7431"/>
    <w:rsid w:val="008C756E"/>
    <w:rsid w:val="008C7663"/>
    <w:rsid w:val="008C7714"/>
    <w:rsid w:val="008D00A4"/>
    <w:rsid w:val="008D0A14"/>
    <w:rsid w:val="008D0A5C"/>
    <w:rsid w:val="008D0B4A"/>
    <w:rsid w:val="008D0C04"/>
    <w:rsid w:val="008D0CB9"/>
    <w:rsid w:val="008D10F0"/>
    <w:rsid w:val="008D112F"/>
    <w:rsid w:val="008D131F"/>
    <w:rsid w:val="008D144E"/>
    <w:rsid w:val="008D15C8"/>
    <w:rsid w:val="008D176A"/>
    <w:rsid w:val="008D1AFD"/>
    <w:rsid w:val="008D1D4E"/>
    <w:rsid w:val="008D1F31"/>
    <w:rsid w:val="008D200A"/>
    <w:rsid w:val="008D20C3"/>
    <w:rsid w:val="008D2174"/>
    <w:rsid w:val="008D2338"/>
    <w:rsid w:val="008D2A50"/>
    <w:rsid w:val="008D36AB"/>
    <w:rsid w:val="008D39EA"/>
    <w:rsid w:val="008D3A1A"/>
    <w:rsid w:val="008D3B88"/>
    <w:rsid w:val="008D4261"/>
    <w:rsid w:val="008D4447"/>
    <w:rsid w:val="008D4A3F"/>
    <w:rsid w:val="008D4A90"/>
    <w:rsid w:val="008D4D20"/>
    <w:rsid w:val="008D4D91"/>
    <w:rsid w:val="008D4F99"/>
    <w:rsid w:val="008D59A4"/>
    <w:rsid w:val="008D5A71"/>
    <w:rsid w:val="008D5B46"/>
    <w:rsid w:val="008D5B7D"/>
    <w:rsid w:val="008D5E63"/>
    <w:rsid w:val="008D5F3B"/>
    <w:rsid w:val="008D664D"/>
    <w:rsid w:val="008D69EB"/>
    <w:rsid w:val="008D6DE9"/>
    <w:rsid w:val="008D6E21"/>
    <w:rsid w:val="008D7098"/>
    <w:rsid w:val="008D7560"/>
    <w:rsid w:val="008D760F"/>
    <w:rsid w:val="008E0135"/>
    <w:rsid w:val="008E0172"/>
    <w:rsid w:val="008E05C8"/>
    <w:rsid w:val="008E05E9"/>
    <w:rsid w:val="008E07B8"/>
    <w:rsid w:val="008E09A3"/>
    <w:rsid w:val="008E0BDA"/>
    <w:rsid w:val="008E0D67"/>
    <w:rsid w:val="008E0F16"/>
    <w:rsid w:val="008E199F"/>
    <w:rsid w:val="008E1E7D"/>
    <w:rsid w:val="008E2203"/>
    <w:rsid w:val="008E27ED"/>
    <w:rsid w:val="008E30DF"/>
    <w:rsid w:val="008E31FA"/>
    <w:rsid w:val="008E3495"/>
    <w:rsid w:val="008E35AA"/>
    <w:rsid w:val="008E3BE1"/>
    <w:rsid w:val="008E44CE"/>
    <w:rsid w:val="008E452E"/>
    <w:rsid w:val="008E46F7"/>
    <w:rsid w:val="008E485A"/>
    <w:rsid w:val="008E4900"/>
    <w:rsid w:val="008E4BAC"/>
    <w:rsid w:val="008E5006"/>
    <w:rsid w:val="008E5009"/>
    <w:rsid w:val="008E533A"/>
    <w:rsid w:val="008E542F"/>
    <w:rsid w:val="008E57CC"/>
    <w:rsid w:val="008E581B"/>
    <w:rsid w:val="008E5C41"/>
    <w:rsid w:val="008E6011"/>
    <w:rsid w:val="008E67EA"/>
    <w:rsid w:val="008E6A4D"/>
    <w:rsid w:val="008E6BE8"/>
    <w:rsid w:val="008E6C86"/>
    <w:rsid w:val="008E6CBB"/>
    <w:rsid w:val="008E6DD1"/>
    <w:rsid w:val="008E6DE2"/>
    <w:rsid w:val="008E6E81"/>
    <w:rsid w:val="008E6FA3"/>
    <w:rsid w:val="008E7297"/>
    <w:rsid w:val="008E761F"/>
    <w:rsid w:val="008E7786"/>
    <w:rsid w:val="008E7F80"/>
    <w:rsid w:val="008F05F7"/>
    <w:rsid w:val="008F067A"/>
    <w:rsid w:val="008F0AAE"/>
    <w:rsid w:val="008F0ECE"/>
    <w:rsid w:val="008F11DD"/>
    <w:rsid w:val="008F13B7"/>
    <w:rsid w:val="008F180E"/>
    <w:rsid w:val="008F19D3"/>
    <w:rsid w:val="008F19D5"/>
    <w:rsid w:val="008F1D3C"/>
    <w:rsid w:val="008F1EDB"/>
    <w:rsid w:val="008F250C"/>
    <w:rsid w:val="008F27A1"/>
    <w:rsid w:val="008F28BD"/>
    <w:rsid w:val="008F297E"/>
    <w:rsid w:val="008F29F1"/>
    <w:rsid w:val="008F2A95"/>
    <w:rsid w:val="008F2C45"/>
    <w:rsid w:val="008F2EFF"/>
    <w:rsid w:val="008F2FA3"/>
    <w:rsid w:val="008F337E"/>
    <w:rsid w:val="008F3498"/>
    <w:rsid w:val="008F34CB"/>
    <w:rsid w:val="008F35C7"/>
    <w:rsid w:val="008F4349"/>
    <w:rsid w:val="008F4557"/>
    <w:rsid w:val="008F482B"/>
    <w:rsid w:val="008F48D3"/>
    <w:rsid w:val="008F49BB"/>
    <w:rsid w:val="008F4A8C"/>
    <w:rsid w:val="008F4C0A"/>
    <w:rsid w:val="008F51E1"/>
    <w:rsid w:val="008F5913"/>
    <w:rsid w:val="008F5D77"/>
    <w:rsid w:val="008F5E7B"/>
    <w:rsid w:val="008F5F51"/>
    <w:rsid w:val="008F5FF9"/>
    <w:rsid w:val="008F600C"/>
    <w:rsid w:val="008F62B6"/>
    <w:rsid w:val="008F645B"/>
    <w:rsid w:val="008F6B90"/>
    <w:rsid w:val="008F6C5B"/>
    <w:rsid w:val="008F6CCE"/>
    <w:rsid w:val="008F7016"/>
    <w:rsid w:val="008F704F"/>
    <w:rsid w:val="008F791C"/>
    <w:rsid w:val="008F79CB"/>
    <w:rsid w:val="008F7BBA"/>
    <w:rsid w:val="008F7C38"/>
    <w:rsid w:val="008F7CAF"/>
    <w:rsid w:val="009002A2"/>
    <w:rsid w:val="0090034C"/>
    <w:rsid w:val="00900350"/>
    <w:rsid w:val="009007D2"/>
    <w:rsid w:val="009009C5"/>
    <w:rsid w:val="00900DA9"/>
    <w:rsid w:val="00900F3D"/>
    <w:rsid w:val="009010BA"/>
    <w:rsid w:val="0090140D"/>
    <w:rsid w:val="009014C1"/>
    <w:rsid w:val="0090154B"/>
    <w:rsid w:val="009015BC"/>
    <w:rsid w:val="00901DE5"/>
    <w:rsid w:val="009021FB"/>
    <w:rsid w:val="009023E5"/>
    <w:rsid w:val="00902630"/>
    <w:rsid w:val="00902640"/>
    <w:rsid w:val="00902858"/>
    <w:rsid w:val="00902B20"/>
    <w:rsid w:val="00902C7A"/>
    <w:rsid w:val="00902D20"/>
    <w:rsid w:val="00902E96"/>
    <w:rsid w:val="00902F79"/>
    <w:rsid w:val="0090315C"/>
    <w:rsid w:val="00903508"/>
    <w:rsid w:val="0090375B"/>
    <w:rsid w:val="0090379A"/>
    <w:rsid w:val="0090381F"/>
    <w:rsid w:val="00903CC6"/>
    <w:rsid w:val="00903D7A"/>
    <w:rsid w:val="00904643"/>
    <w:rsid w:val="00904F10"/>
    <w:rsid w:val="00905109"/>
    <w:rsid w:val="0090532B"/>
    <w:rsid w:val="0090533D"/>
    <w:rsid w:val="00905497"/>
    <w:rsid w:val="00905730"/>
    <w:rsid w:val="00905843"/>
    <w:rsid w:val="0090588E"/>
    <w:rsid w:val="00905F47"/>
    <w:rsid w:val="00906039"/>
    <w:rsid w:val="00906060"/>
    <w:rsid w:val="009063BA"/>
    <w:rsid w:val="0090662E"/>
    <w:rsid w:val="009068DD"/>
    <w:rsid w:val="00906934"/>
    <w:rsid w:val="00906ACE"/>
    <w:rsid w:val="00906C1C"/>
    <w:rsid w:val="00906F6E"/>
    <w:rsid w:val="00907198"/>
    <w:rsid w:val="0090769F"/>
    <w:rsid w:val="009077EA"/>
    <w:rsid w:val="00907CE0"/>
    <w:rsid w:val="00907FAB"/>
    <w:rsid w:val="00910011"/>
    <w:rsid w:val="0091089C"/>
    <w:rsid w:val="00910A04"/>
    <w:rsid w:val="00910DE4"/>
    <w:rsid w:val="00910E84"/>
    <w:rsid w:val="00911026"/>
    <w:rsid w:val="009111A3"/>
    <w:rsid w:val="009111F7"/>
    <w:rsid w:val="00911203"/>
    <w:rsid w:val="009115F2"/>
    <w:rsid w:val="00911985"/>
    <w:rsid w:val="00911B42"/>
    <w:rsid w:val="009123C1"/>
    <w:rsid w:val="00912464"/>
    <w:rsid w:val="009125A1"/>
    <w:rsid w:val="00912A61"/>
    <w:rsid w:val="00912B2F"/>
    <w:rsid w:val="009133C7"/>
    <w:rsid w:val="00913B24"/>
    <w:rsid w:val="00913DF8"/>
    <w:rsid w:val="00914380"/>
    <w:rsid w:val="00914956"/>
    <w:rsid w:val="00914AA3"/>
    <w:rsid w:val="00914B99"/>
    <w:rsid w:val="00914FE4"/>
    <w:rsid w:val="0091502A"/>
    <w:rsid w:val="00915136"/>
    <w:rsid w:val="00915309"/>
    <w:rsid w:val="009154E2"/>
    <w:rsid w:val="00915A86"/>
    <w:rsid w:val="00915D34"/>
    <w:rsid w:val="009162FD"/>
    <w:rsid w:val="0091686E"/>
    <w:rsid w:val="00916983"/>
    <w:rsid w:val="00916B07"/>
    <w:rsid w:val="00916C95"/>
    <w:rsid w:val="00916D43"/>
    <w:rsid w:val="00916FBA"/>
    <w:rsid w:val="00917047"/>
    <w:rsid w:val="009173C0"/>
    <w:rsid w:val="00917551"/>
    <w:rsid w:val="009175CE"/>
    <w:rsid w:val="0091784E"/>
    <w:rsid w:val="00917AB9"/>
    <w:rsid w:val="00920448"/>
    <w:rsid w:val="00920EFC"/>
    <w:rsid w:val="009219E8"/>
    <w:rsid w:val="00921BB9"/>
    <w:rsid w:val="00921D3E"/>
    <w:rsid w:val="00921FD6"/>
    <w:rsid w:val="009222FE"/>
    <w:rsid w:val="00922385"/>
    <w:rsid w:val="00922592"/>
    <w:rsid w:val="00922692"/>
    <w:rsid w:val="0092296C"/>
    <w:rsid w:val="00922F94"/>
    <w:rsid w:val="00923057"/>
    <w:rsid w:val="00923425"/>
    <w:rsid w:val="00923507"/>
    <w:rsid w:val="00923C8E"/>
    <w:rsid w:val="00923CFB"/>
    <w:rsid w:val="00924196"/>
    <w:rsid w:val="009242A8"/>
    <w:rsid w:val="00924378"/>
    <w:rsid w:val="00924395"/>
    <w:rsid w:val="009244B3"/>
    <w:rsid w:val="009249A2"/>
    <w:rsid w:val="0092570C"/>
    <w:rsid w:val="00925D0E"/>
    <w:rsid w:val="00925F9E"/>
    <w:rsid w:val="00926163"/>
    <w:rsid w:val="00926A48"/>
    <w:rsid w:val="00926EF2"/>
    <w:rsid w:val="00927381"/>
    <w:rsid w:val="009275C3"/>
    <w:rsid w:val="00930149"/>
    <w:rsid w:val="0093018C"/>
    <w:rsid w:val="009301A4"/>
    <w:rsid w:val="009302BD"/>
    <w:rsid w:val="0093053D"/>
    <w:rsid w:val="00930805"/>
    <w:rsid w:val="00930914"/>
    <w:rsid w:val="00930B72"/>
    <w:rsid w:val="0093188D"/>
    <w:rsid w:val="00931BC7"/>
    <w:rsid w:val="00931F5F"/>
    <w:rsid w:val="0093206B"/>
    <w:rsid w:val="00932248"/>
    <w:rsid w:val="009325FF"/>
    <w:rsid w:val="00932BD8"/>
    <w:rsid w:val="00932E09"/>
    <w:rsid w:val="00932F12"/>
    <w:rsid w:val="00933023"/>
    <w:rsid w:val="009330C9"/>
    <w:rsid w:val="00933194"/>
    <w:rsid w:val="00933BF4"/>
    <w:rsid w:val="00933E0B"/>
    <w:rsid w:val="00933E4A"/>
    <w:rsid w:val="00933E8F"/>
    <w:rsid w:val="00933F01"/>
    <w:rsid w:val="00934140"/>
    <w:rsid w:val="00934211"/>
    <w:rsid w:val="00934367"/>
    <w:rsid w:val="0093444C"/>
    <w:rsid w:val="00934932"/>
    <w:rsid w:val="00934982"/>
    <w:rsid w:val="009350D7"/>
    <w:rsid w:val="009354EA"/>
    <w:rsid w:val="009355C6"/>
    <w:rsid w:val="00935B22"/>
    <w:rsid w:val="0093627C"/>
    <w:rsid w:val="009365E0"/>
    <w:rsid w:val="00936CDB"/>
    <w:rsid w:val="00936E08"/>
    <w:rsid w:val="00937330"/>
    <w:rsid w:val="0093751F"/>
    <w:rsid w:val="00937D70"/>
    <w:rsid w:val="0094003F"/>
    <w:rsid w:val="009401E6"/>
    <w:rsid w:val="00940497"/>
    <w:rsid w:val="00940768"/>
    <w:rsid w:val="00940A3D"/>
    <w:rsid w:val="00941193"/>
    <w:rsid w:val="0094183D"/>
    <w:rsid w:val="00941E78"/>
    <w:rsid w:val="00941EF2"/>
    <w:rsid w:val="00942174"/>
    <w:rsid w:val="00942AF1"/>
    <w:rsid w:val="0094344B"/>
    <w:rsid w:val="0094372B"/>
    <w:rsid w:val="00943D3C"/>
    <w:rsid w:val="00943D9E"/>
    <w:rsid w:val="00943F7B"/>
    <w:rsid w:val="0094426B"/>
    <w:rsid w:val="009445C7"/>
    <w:rsid w:val="00944639"/>
    <w:rsid w:val="00944D45"/>
    <w:rsid w:val="00944DA9"/>
    <w:rsid w:val="00944FAD"/>
    <w:rsid w:val="00945592"/>
    <w:rsid w:val="009455C5"/>
    <w:rsid w:val="00945622"/>
    <w:rsid w:val="00945B83"/>
    <w:rsid w:val="00945DDE"/>
    <w:rsid w:val="00945E30"/>
    <w:rsid w:val="0094608A"/>
    <w:rsid w:val="009462F3"/>
    <w:rsid w:val="0094637B"/>
    <w:rsid w:val="009463B7"/>
    <w:rsid w:val="009465FC"/>
    <w:rsid w:val="00946663"/>
    <w:rsid w:val="00946C68"/>
    <w:rsid w:val="0094728C"/>
    <w:rsid w:val="00947632"/>
    <w:rsid w:val="00947D2E"/>
    <w:rsid w:val="00947D67"/>
    <w:rsid w:val="009500A5"/>
    <w:rsid w:val="0095012F"/>
    <w:rsid w:val="00950183"/>
    <w:rsid w:val="00950406"/>
    <w:rsid w:val="00950731"/>
    <w:rsid w:val="00950780"/>
    <w:rsid w:val="00950B25"/>
    <w:rsid w:val="00950BF2"/>
    <w:rsid w:val="00951540"/>
    <w:rsid w:val="00951899"/>
    <w:rsid w:val="00951B3D"/>
    <w:rsid w:val="00951BAD"/>
    <w:rsid w:val="0095206A"/>
    <w:rsid w:val="0095229D"/>
    <w:rsid w:val="00952999"/>
    <w:rsid w:val="00952D2B"/>
    <w:rsid w:val="00952F27"/>
    <w:rsid w:val="0095308E"/>
    <w:rsid w:val="00953188"/>
    <w:rsid w:val="0095325C"/>
    <w:rsid w:val="00953287"/>
    <w:rsid w:val="009532C6"/>
    <w:rsid w:val="00953432"/>
    <w:rsid w:val="0095351D"/>
    <w:rsid w:val="00953F60"/>
    <w:rsid w:val="0095410E"/>
    <w:rsid w:val="009541E9"/>
    <w:rsid w:val="0095424E"/>
    <w:rsid w:val="009544DB"/>
    <w:rsid w:val="0095472D"/>
    <w:rsid w:val="0095478D"/>
    <w:rsid w:val="0095498B"/>
    <w:rsid w:val="00954D25"/>
    <w:rsid w:val="00954DA3"/>
    <w:rsid w:val="00954F58"/>
    <w:rsid w:val="00955265"/>
    <w:rsid w:val="009552F5"/>
    <w:rsid w:val="00955404"/>
    <w:rsid w:val="00955B2A"/>
    <w:rsid w:val="00955D71"/>
    <w:rsid w:val="00955F9E"/>
    <w:rsid w:val="00956132"/>
    <w:rsid w:val="00956601"/>
    <w:rsid w:val="00956A27"/>
    <w:rsid w:val="00957567"/>
    <w:rsid w:val="00957AF1"/>
    <w:rsid w:val="0096010D"/>
    <w:rsid w:val="00960150"/>
    <w:rsid w:val="00960157"/>
    <w:rsid w:val="00960296"/>
    <w:rsid w:val="00960814"/>
    <w:rsid w:val="00960A68"/>
    <w:rsid w:val="00960A6E"/>
    <w:rsid w:val="00960C90"/>
    <w:rsid w:val="00960DFC"/>
    <w:rsid w:val="00960E9B"/>
    <w:rsid w:val="00960EFF"/>
    <w:rsid w:val="00960F2B"/>
    <w:rsid w:val="00961385"/>
    <w:rsid w:val="00961774"/>
    <w:rsid w:val="009618C9"/>
    <w:rsid w:val="00961D3B"/>
    <w:rsid w:val="00962209"/>
    <w:rsid w:val="00962682"/>
    <w:rsid w:val="00962C95"/>
    <w:rsid w:val="00962E10"/>
    <w:rsid w:val="00962E60"/>
    <w:rsid w:val="00962FDA"/>
    <w:rsid w:val="009634EA"/>
    <w:rsid w:val="00963B55"/>
    <w:rsid w:val="00963CA2"/>
    <w:rsid w:val="00963CAB"/>
    <w:rsid w:val="00963E6E"/>
    <w:rsid w:val="00963EF7"/>
    <w:rsid w:val="009640E8"/>
    <w:rsid w:val="009651DB"/>
    <w:rsid w:val="009651E6"/>
    <w:rsid w:val="0096539C"/>
    <w:rsid w:val="00965662"/>
    <w:rsid w:val="009658DD"/>
    <w:rsid w:val="00965E41"/>
    <w:rsid w:val="00965F88"/>
    <w:rsid w:val="0096685F"/>
    <w:rsid w:val="009669D7"/>
    <w:rsid w:val="00966AEF"/>
    <w:rsid w:val="0096701A"/>
    <w:rsid w:val="00967058"/>
    <w:rsid w:val="00967322"/>
    <w:rsid w:val="00967455"/>
    <w:rsid w:val="00967631"/>
    <w:rsid w:val="00967756"/>
    <w:rsid w:val="00967F98"/>
    <w:rsid w:val="009700E9"/>
    <w:rsid w:val="00970216"/>
    <w:rsid w:val="00970599"/>
    <w:rsid w:val="009705AC"/>
    <w:rsid w:val="009709DD"/>
    <w:rsid w:val="00970A69"/>
    <w:rsid w:val="00970BB4"/>
    <w:rsid w:val="00970D22"/>
    <w:rsid w:val="00970F7D"/>
    <w:rsid w:val="00971288"/>
    <w:rsid w:val="0097129E"/>
    <w:rsid w:val="00971350"/>
    <w:rsid w:val="009714F9"/>
    <w:rsid w:val="009715D8"/>
    <w:rsid w:val="009716B7"/>
    <w:rsid w:val="00971849"/>
    <w:rsid w:val="00971A68"/>
    <w:rsid w:val="00971DDA"/>
    <w:rsid w:val="0097225F"/>
    <w:rsid w:val="00972D95"/>
    <w:rsid w:val="00973124"/>
    <w:rsid w:val="009731F4"/>
    <w:rsid w:val="0097398C"/>
    <w:rsid w:val="009742FD"/>
    <w:rsid w:val="0097434D"/>
    <w:rsid w:val="00974732"/>
    <w:rsid w:val="009747A0"/>
    <w:rsid w:val="009748BF"/>
    <w:rsid w:val="00974F23"/>
    <w:rsid w:val="009752B2"/>
    <w:rsid w:val="00975D9C"/>
    <w:rsid w:val="00975FDA"/>
    <w:rsid w:val="009762E5"/>
    <w:rsid w:val="0097633D"/>
    <w:rsid w:val="009767FD"/>
    <w:rsid w:val="0097717D"/>
    <w:rsid w:val="0097776E"/>
    <w:rsid w:val="0097783E"/>
    <w:rsid w:val="00977A5A"/>
    <w:rsid w:val="00977A80"/>
    <w:rsid w:val="00977BAA"/>
    <w:rsid w:val="00980538"/>
    <w:rsid w:val="009805AB"/>
    <w:rsid w:val="0098067C"/>
    <w:rsid w:val="00980B71"/>
    <w:rsid w:val="00980C53"/>
    <w:rsid w:val="00980D2A"/>
    <w:rsid w:val="00980D2B"/>
    <w:rsid w:val="00980DB9"/>
    <w:rsid w:val="00980FAB"/>
    <w:rsid w:val="009810E0"/>
    <w:rsid w:val="0098138D"/>
    <w:rsid w:val="00981512"/>
    <w:rsid w:val="00981AFA"/>
    <w:rsid w:val="00981BC8"/>
    <w:rsid w:val="00981FF1"/>
    <w:rsid w:val="00982087"/>
    <w:rsid w:val="009820D6"/>
    <w:rsid w:val="0098256E"/>
    <w:rsid w:val="009826EF"/>
    <w:rsid w:val="00982AB1"/>
    <w:rsid w:val="00982B0D"/>
    <w:rsid w:val="00982EDC"/>
    <w:rsid w:val="00982F66"/>
    <w:rsid w:val="00983316"/>
    <w:rsid w:val="0098355C"/>
    <w:rsid w:val="00983573"/>
    <w:rsid w:val="00983929"/>
    <w:rsid w:val="00983F02"/>
    <w:rsid w:val="0098446D"/>
    <w:rsid w:val="00984493"/>
    <w:rsid w:val="0098458C"/>
    <w:rsid w:val="009846D7"/>
    <w:rsid w:val="009846E3"/>
    <w:rsid w:val="00984934"/>
    <w:rsid w:val="0098495C"/>
    <w:rsid w:val="00984AE4"/>
    <w:rsid w:val="00984D73"/>
    <w:rsid w:val="00985541"/>
    <w:rsid w:val="0098645D"/>
    <w:rsid w:val="00986600"/>
    <w:rsid w:val="00986619"/>
    <w:rsid w:val="0098685E"/>
    <w:rsid w:val="00986987"/>
    <w:rsid w:val="009869F9"/>
    <w:rsid w:val="00986B4F"/>
    <w:rsid w:val="00986FB6"/>
    <w:rsid w:val="00987314"/>
    <w:rsid w:val="00987320"/>
    <w:rsid w:val="0098741E"/>
    <w:rsid w:val="009874CB"/>
    <w:rsid w:val="0098775D"/>
    <w:rsid w:val="00987A29"/>
    <w:rsid w:val="009903E4"/>
    <w:rsid w:val="00990691"/>
    <w:rsid w:val="00990939"/>
    <w:rsid w:val="0099109F"/>
    <w:rsid w:val="0099115A"/>
    <w:rsid w:val="0099132C"/>
    <w:rsid w:val="00991506"/>
    <w:rsid w:val="00991576"/>
    <w:rsid w:val="00991960"/>
    <w:rsid w:val="00992178"/>
    <w:rsid w:val="00992D4D"/>
    <w:rsid w:val="00992EA0"/>
    <w:rsid w:val="00992EBD"/>
    <w:rsid w:val="00992F07"/>
    <w:rsid w:val="00993408"/>
    <w:rsid w:val="00993556"/>
    <w:rsid w:val="00993F4E"/>
    <w:rsid w:val="009945F5"/>
    <w:rsid w:val="00994717"/>
    <w:rsid w:val="0099490A"/>
    <w:rsid w:val="009953CA"/>
    <w:rsid w:val="00995421"/>
    <w:rsid w:val="00995FDC"/>
    <w:rsid w:val="009961DC"/>
    <w:rsid w:val="009968E3"/>
    <w:rsid w:val="00996AFF"/>
    <w:rsid w:val="00996C9F"/>
    <w:rsid w:val="00996CDB"/>
    <w:rsid w:val="00996DD0"/>
    <w:rsid w:val="009973AA"/>
    <w:rsid w:val="009977F5"/>
    <w:rsid w:val="00997BFA"/>
    <w:rsid w:val="00997CDF"/>
    <w:rsid w:val="00997E54"/>
    <w:rsid w:val="00997ED6"/>
    <w:rsid w:val="009A00C3"/>
    <w:rsid w:val="009A0219"/>
    <w:rsid w:val="009A0376"/>
    <w:rsid w:val="009A03AB"/>
    <w:rsid w:val="009A06DA"/>
    <w:rsid w:val="009A0A37"/>
    <w:rsid w:val="009A0A61"/>
    <w:rsid w:val="009A0BE5"/>
    <w:rsid w:val="009A0E61"/>
    <w:rsid w:val="009A0FB1"/>
    <w:rsid w:val="009A12D9"/>
    <w:rsid w:val="009A161A"/>
    <w:rsid w:val="009A1A15"/>
    <w:rsid w:val="009A1D4B"/>
    <w:rsid w:val="009A1ED7"/>
    <w:rsid w:val="009A1F24"/>
    <w:rsid w:val="009A1F6D"/>
    <w:rsid w:val="009A208A"/>
    <w:rsid w:val="009A269F"/>
    <w:rsid w:val="009A26C0"/>
    <w:rsid w:val="009A2A32"/>
    <w:rsid w:val="009A3176"/>
    <w:rsid w:val="009A432E"/>
    <w:rsid w:val="009A45D1"/>
    <w:rsid w:val="009A473B"/>
    <w:rsid w:val="009A4869"/>
    <w:rsid w:val="009A5253"/>
    <w:rsid w:val="009A5292"/>
    <w:rsid w:val="009A58A4"/>
    <w:rsid w:val="009A58F4"/>
    <w:rsid w:val="009A591F"/>
    <w:rsid w:val="009A5DCE"/>
    <w:rsid w:val="009A5E8E"/>
    <w:rsid w:val="009A6130"/>
    <w:rsid w:val="009A6375"/>
    <w:rsid w:val="009A646D"/>
    <w:rsid w:val="009A6726"/>
    <w:rsid w:val="009A69AC"/>
    <w:rsid w:val="009A6C3B"/>
    <w:rsid w:val="009A6C67"/>
    <w:rsid w:val="009A6CE0"/>
    <w:rsid w:val="009A6D53"/>
    <w:rsid w:val="009A73ED"/>
    <w:rsid w:val="009A7468"/>
    <w:rsid w:val="009A78EB"/>
    <w:rsid w:val="009A7B82"/>
    <w:rsid w:val="009A7BB6"/>
    <w:rsid w:val="009A7C1F"/>
    <w:rsid w:val="009A7D76"/>
    <w:rsid w:val="009A7DCA"/>
    <w:rsid w:val="009B01AE"/>
    <w:rsid w:val="009B04B1"/>
    <w:rsid w:val="009B05A3"/>
    <w:rsid w:val="009B08E0"/>
    <w:rsid w:val="009B0BA2"/>
    <w:rsid w:val="009B0BA9"/>
    <w:rsid w:val="009B0C71"/>
    <w:rsid w:val="009B0FD1"/>
    <w:rsid w:val="009B1530"/>
    <w:rsid w:val="009B1AC4"/>
    <w:rsid w:val="009B1AEF"/>
    <w:rsid w:val="009B1B2E"/>
    <w:rsid w:val="009B1F34"/>
    <w:rsid w:val="009B2527"/>
    <w:rsid w:val="009B2853"/>
    <w:rsid w:val="009B2A57"/>
    <w:rsid w:val="009B2EFE"/>
    <w:rsid w:val="009B3401"/>
    <w:rsid w:val="009B38DE"/>
    <w:rsid w:val="009B3A68"/>
    <w:rsid w:val="009B3AC1"/>
    <w:rsid w:val="009B3C47"/>
    <w:rsid w:val="009B3C62"/>
    <w:rsid w:val="009B3C6D"/>
    <w:rsid w:val="009B411E"/>
    <w:rsid w:val="009B4223"/>
    <w:rsid w:val="009B4655"/>
    <w:rsid w:val="009B4BF2"/>
    <w:rsid w:val="009B4FE0"/>
    <w:rsid w:val="009B5262"/>
    <w:rsid w:val="009B53CF"/>
    <w:rsid w:val="009B54CB"/>
    <w:rsid w:val="009B5DAC"/>
    <w:rsid w:val="009B5EB1"/>
    <w:rsid w:val="009B6124"/>
    <w:rsid w:val="009B6298"/>
    <w:rsid w:val="009B6821"/>
    <w:rsid w:val="009B6972"/>
    <w:rsid w:val="009B6BD5"/>
    <w:rsid w:val="009B74BC"/>
    <w:rsid w:val="009B760F"/>
    <w:rsid w:val="009B7BFA"/>
    <w:rsid w:val="009B7C7E"/>
    <w:rsid w:val="009C00FD"/>
    <w:rsid w:val="009C0BC2"/>
    <w:rsid w:val="009C1085"/>
    <w:rsid w:val="009C18C0"/>
    <w:rsid w:val="009C1ADF"/>
    <w:rsid w:val="009C1B91"/>
    <w:rsid w:val="009C1CF9"/>
    <w:rsid w:val="009C304A"/>
    <w:rsid w:val="009C31D5"/>
    <w:rsid w:val="009C32C1"/>
    <w:rsid w:val="009C3834"/>
    <w:rsid w:val="009C386F"/>
    <w:rsid w:val="009C38E0"/>
    <w:rsid w:val="009C3C0A"/>
    <w:rsid w:val="009C3CB5"/>
    <w:rsid w:val="009C445C"/>
    <w:rsid w:val="009C48A2"/>
    <w:rsid w:val="009C48D4"/>
    <w:rsid w:val="009C48FF"/>
    <w:rsid w:val="009C52FD"/>
    <w:rsid w:val="009C5AF6"/>
    <w:rsid w:val="009C6212"/>
    <w:rsid w:val="009C6386"/>
    <w:rsid w:val="009C643C"/>
    <w:rsid w:val="009C67D5"/>
    <w:rsid w:val="009C7430"/>
    <w:rsid w:val="009C75B7"/>
    <w:rsid w:val="009C7798"/>
    <w:rsid w:val="009C7885"/>
    <w:rsid w:val="009C7892"/>
    <w:rsid w:val="009C789B"/>
    <w:rsid w:val="009C7E88"/>
    <w:rsid w:val="009C7F66"/>
    <w:rsid w:val="009D0806"/>
    <w:rsid w:val="009D0FE4"/>
    <w:rsid w:val="009D123A"/>
    <w:rsid w:val="009D1319"/>
    <w:rsid w:val="009D1533"/>
    <w:rsid w:val="009D183D"/>
    <w:rsid w:val="009D19B5"/>
    <w:rsid w:val="009D1BDE"/>
    <w:rsid w:val="009D1FF1"/>
    <w:rsid w:val="009D2F52"/>
    <w:rsid w:val="009D2F61"/>
    <w:rsid w:val="009D316A"/>
    <w:rsid w:val="009D326A"/>
    <w:rsid w:val="009D3372"/>
    <w:rsid w:val="009D3510"/>
    <w:rsid w:val="009D35D9"/>
    <w:rsid w:val="009D3B12"/>
    <w:rsid w:val="009D3C36"/>
    <w:rsid w:val="009D3DA4"/>
    <w:rsid w:val="009D3E7B"/>
    <w:rsid w:val="009D3E9B"/>
    <w:rsid w:val="009D3EE7"/>
    <w:rsid w:val="009D4482"/>
    <w:rsid w:val="009D48B6"/>
    <w:rsid w:val="009D4B20"/>
    <w:rsid w:val="009D4E6C"/>
    <w:rsid w:val="009D4FA2"/>
    <w:rsid w:val="009D511B"/>
    <w:rsid w:val="009D51B0"/>
    <w:rsid w:val="009D5E9D"/>
    <w:rsid w:val="009D5FC1"/>
    <w:rsid w:val="009D6789"/>
    <w:rsid w:val="009D67E7"/>
    <w:rsid w:val="009D69D0"/>
    <w:rsid w:val="009D6E75"/>
    <w:rsid w:val="009D6FFF"/>
    <w:rsid w:val="009D7421"/>
    <w:rsid w:val="009D7431"/>
    <w:rsid w:val="009D7BF9"/>
    <w:rsid w:val="009E03EF"/>
    <w:rsid w:val="009E0501"/>
    <w:rsid w:val="009E0A0C"/>
    <w:rsid w:val="009E0C5B"/>
    <w:rsid w:val="009E0CB0"/>
    <w:rsid w:val="009E0FD1"/>
    <w:rsid w:val="009E1379"/>
    <w:rsid w:val="009E140F"/>
    <w:rsid w:val="009E1522"/>
    <w:rsid w:val="009E1C20"/>
    <w:rsid w:val="009E1CC1"/>
    <w:rsid w:val="009E1ECC"/>
    <w:rsid w:val="009E1F87"/>
    <w:rsid w:val="009E20CC"/>
    <w:rsid w:val="009E2257"/>
    <w:rsid w:val="009E226B"/>
    <w:rsid w:val="009E2A01"/>
    <w:rsid w:val="009E2C04"/>
    <w:rsid w:val="009E2CEF"/>
    <w:rsid w:val="009E32A8"/>
    <w:rsid w:val="009E3334"/>
    <w:rsid w:val="009E3840"/>
    <w:rsid w:val="009E3951"/>
    <w:rsid w:val="009E4046"/>
    <w:rsid w:val="009E4507"/>
    <w:rsid w:val="009E4738"/>
    <w:rsid w:val="009E49A8"/>
    <w:rsid w:val="009E49CF"/>
    <w:rsid w:val="009E5072"/>
    <w:rsid w:val="009E5090"/>
    <w:rsid w:val="009E5317"/>
    <w:rsid w:val="009E5388"/>
    <w:rsid w:val="009E5633"/>
    <w:rsid w:val="009E59BD"/>
    <w:rsid w:val="009E5A51"/>
    <w:rsid w:val="009E5EDC"/>
    <w:rsid w:val="009E5F4D"/>
    <w:rsid w:val="009E5FF7"/>
    <w:rsid w:val="009E60FD"/>
    <w:rsid w:val="009E6314"/>
    <w:rsid w:val="009E6324"/>
    <w:rsid w:val="009E63FD"/>
    <w:rsid w:val="009E6468"/>
    <w:rsid w:val="009E6D96"/>
    <w:rsid w:val="009E6E24"/>
    <w:rsid w:val="009E719F"/>
    <w:rsid w:val="009E7454"/>
    <w:rsid w:val="009E7676"/>
    <w:rsid w:val="009E785A"/>
    <w:rsid w:val="009E7DA1"/>
    <w:rsid w:val="009E7E06"/>
    <w:rsid w:val="009E7E23"/>
    <w:rsid w:val="009E7FF8"/>
    <w:rsid w:val="009F0317"/>
    <w:rsid w:val="009F05D9"/>
    <w:rsid w:val="009F0A52"/>
    <w:rsid w:val="009F0DD4"/>
    <w:rsid w:val="009F0E68"/>
    <w:rsid w:val="009F1316"/>
    <w:rsid w:val="009F17A3"/>
    <w:rsid w:val="009F1B61"/>
    <w:rsid w:val="009F2138"/>
    <w:rsid w:val="009F21EA"/>
    <w:rsid w:val="009F235F"/>
    <w:rsid w:val="009F2782"/>
    <w:rsid w:val="009F2838"/>
    <w:rsid w:val="009F2DCA"/>
    <w:rsid w:val="009F2E49"/>
    <w:rsid w:val="009F32A5"/>
    <w:rsid w:val="009F32C8"/>
    <w:rsid w:val="009F3446"/>
    <w:rsid w:val="009F37F2"/>
    <w:rsid w:val="009F3AD4"/>
    <w:rsid w:val="009F3EEF"/>
    <w:rsid w:val="009F3FB5"/>
    <w:rsid w:val="009F403F"/>
    <w:rsid w:val="009F4159"/>
    <w:rsid w:val="009F43C3"/>
    <w:rsid w:val="009F45E2"/>
    <w:rsid w:val="009F49AE"/>
    <w:rsid w:val="009F4D0A"/>
    <w:rsid w:val="009F4F36"/>
    <w:rsid w:val="009F5166"/>
    <w:rsid w:val="009F5308"/>
    <w:rsid w:val="009F5317"/>
    <w:rsid w:val="009F5374"/>
    <w:rsid w:val="009F55BB"/>
    <w:rsid w:val="009F5804"/>
    <w:rsid w:val="009F5944"/>
    <w:rsid w:val="009F5C82"/>
    <w:rsid w:val="009F5CD2"/>
    <w:rsid w:val="009F5D1B"/>
    <w:rsid w:val="009F6035"/>
    <w:rsid w:val="009F61C8"/>
    <w:rsid w:val="009F630A"/>
    <w:rsid w:val="009F6533"/>
    <w:rsid w:val="009F6576"/>
    <w:rsid w:val="009F6A23"/>
    <w:rsid w:val="009F6AF6"/>
    <w:rsid w:val="009F6BB0"/>
    <w:rsid w:val="009F6EE6"/>
    <w:rsid w:val="009F6F66"/>
    <w:rsid w:val="009F703F"/>
    <w:rsid w:val="009F739C"/>
    <w:rsid w:val="009F77FA"/>
    <w:rsid w:val="00A0042F"/>
    <w:rsid w:val="00A00902"/>
    <w:rsid w:val="00A00EE5"/>
    <w:rsid w:val="00A01139"/>
    <w:rsid w:val="00A01350"/>
    <w:rsid w:val="00A01371"/>
    <w:rsid w:val="00A0154E"/>
    <w:rsid w:val="00A0187B"/>
    <w:rsid w:val="00A01BA6"/>
    <w:rsid w:val="00A01BFF"/>
    <w:rsid w:val="00A026FA"/>
    <w:rsid w:val="00A02976"/>
    <w:rsid w:val="00A02A70"/>
    <w:rsid w:val="00A02DE9"/>
    <w:rsid w:val="00A02E82"/>
    <w:rsid w:val="00A02F07"/>
    <w:rsid w:val="00A03121"/>
    <w:rsid w:val="00A03261"/>
    <w:rsid w:val="00A033E2"/>
    <w:rsid w:val="00A03742"/>
    <w:rsid w:val="00A04896"/>
    <w:rsid w:val="00A04A0F"/>
    <w:rsid w:val="00A05097"/>
    <w:rsid w:val="00A05512"/>
    <w:rsid w:val="00A058AE"/>
    <w:rsid w:val="00A058ED"/>
    <w:rsid w:val="00A059B3"/>
    <w:rsid w:val="00A05A05"/>
    <w:rsid w:val="00A05A1C"/>
    <w:rsid w:val="00A05F47"/>
    <w:rsid w:val="00A0693C"/>
    <w:rsid w:val="00A06AE9"/>
    <w:rsid w:val="00A06FE0"/>
    <w:rsid w:val="00A07130"/>
    <w:rsid w:val="00A071A0"/>
    <w:rsid w:val="00A07810"/>
    <w:rsid w:val="00A100DA"/>
    <w:rsid w:val="00A10414"/>
    <w:rsid w:val="00A10530"/>
    <w:rsid w:val="00A109D8"/>
    <w:rsid w:val="00A10D2D"/>
    <w:rsid w:val="00A10D54"/>
    <w:rsid w:val="00A112AB"/>
    <w:rsid w:val="00A118C0"/>
    <w:rsid w:val="00A119ED"/>
    <w:rsid w:val="00A11B04"/>
    <w:rsid w:val="00A11B3D"/>
    <w:rsid w:val="00A11B7B"/>
    <w:rsid w:val="00A11E56"/>
    <w:rsid w:val="00A1241C"/>
    <w:rsid w:val="00A12471"/>
    <w:rsid w:val="00A127B1"/>
    <w:rsid w:val="00A12A48"/>
    <w:rsid w:val="00A12C97"/>
    <w:rsid w:val="00A1308B"/>
    <w:rsid w:val="00A1319B"/>
    <w:rsid w:val="00A1340D"/>
    <w:rsid w:val="00A13BC9"/>
    <w:rsid w:val="00A13C15"/>
    <w:rsid w:val="00A13D19"/>
    <w:rsid w:val="00A14541"/>
    <w:rsid w:val="00A145A1"/>
    <w:rsid w:val="00A147A2"/>
    <w:rsid w:val="00A14A43"/>
    <w:rsid w:val="00A14E5F"/>
    <w:rsid w:val="00A150CA"/>
    <w:rsid w:val="00A150FE"/>
    <w:rsid w:val="00A151A8"/>
    <w:rsid w:val="00A1558B"/>
    <w:rsid w:val="00A157C3"/>
    <w:rsid w:val="00A157FE"/>
    <w:rsid w:val="00A16002"/>
    <w:rsid w:val="00A16537"/>
    <w:rsid w:val="00A16A9A"/>
    <w:rsid w:val="00A16AF6"/>
    <w:rsid w:val="00A16CF1"/>
    <w:rsid w:val="00A16D86"/>
    <w:rsid w:val="00A170ED"/>
    <w:rsid w:val="00A17611"/>
    <w:rsid w:val="00A17AC6"/>
    <w:rsid w:val="00A17C2B"/>
    <w:rsid w:val="00A17C41"/>
    <w:rsid w:val="00A17C8B"/>
    <w:rsid w:val="00A20067"/>
    <w:rsid w:val="00A2026B"/>
    <w:rsid w:val="00A203F8"/>
    <w:rsid w:val="00A20482"/>
    <w:rsid w:val="00A2069E"/>
    <w:rsid w:val="00A206EC"/>
    <w:rsid w:val="00A206F7"/>
    <w:rsid w:val="00A20BA6"/>
    <w:rsid w:val="00A20C9F"/>
    <w:rsid w:val="00A20CFF"/>
    <w:rsid w:val="00A214E1"/>
    <w:rsid w:val="00A216BB"/>
    <w:rsid w:val="00A21761"/>
    <w:rsid w:val="00A21DF4"/>
    <w:rsid w:val="00A220AF"/>
    <w:rsid w:val="00A22538"/>
    <w:rsid w:val="00A229A7"/>
    <w:rsid w:val="00A23000"/>
    <w:rsid w:val="00A230BA"/>
    <w:rsid w:val="00A23511"/>
    <w:rsid w:val="00A23710"/>
    <w:rsid w:val="00A23961"/>
    <w:rsid w:val="00A23A07"/>
    <w:rsid w:val="00A24192"/>
    <w:rsid w:val="00A24231"/>
    <w:rsid w:val="00A2430F"/>
    <w:rsid w:val="00A24445"/>
    <w:rsid w:val="00A246F9"/>
    <w:rsid w:val="00A247B6"/>
    <w:rsid w:val="00A25118"/>
    <w:rsid w:val="00A253BA"/>
    <w:rsid w:val="00A25792"/>
    <w:rsid w:val="00A25BCD"/>
    <w:rsid w:val="00A25DF5"/>
    <w:rsid w:val="00A25E05"/>
    <w:rsid w:val="00A25E68"/>
    <w:rsid w:val="00A26060"/>
    <w:rsid w:val="00A263A7"/>
    <w:rsid w:val="00A2659B"/>
    <w:rsid w:val="00A26844"/>
    <w:rsid w:val="00A270FA"/>
    <w:rsid w:val="00A272CB"/>
    <w:rsid w:val="00A27692"/>
    <w:rsid w:val="00A27699"/>
    <w:rsid w:val="00A276FC"/>
    <w:rsid w:val="00A277DA"/>
    <w:rsid w:val="00A277F9"/>
    <w:rsid w:val="00A27870"/>
    <w:rsid w:val="00A278FC"/>
    <w:rsid w:val="00A27C32"/>
    <w:rsid w:val="00A27EC7"/>
    <w:rsid w:val="00A27F49"/>
    <w:rsid w:val="00A305A1"/>
    <w:rsid w:val="00A3082F"/>
    <w:rsid w:val="00A30862"/>
    <w:rsid w:val="00A30B6E"/>
    <w:rsid w:val="00A30B85"/>
    <w:rsid w:val="00A30D9A"/>
    <w:rsid w:val="00A31096"/>
    <w:rsid w:val="00A31146"/>
    <w:rsid w:val="00A314A8"/>
    <w:rsid w:val="00A3193B"/>
    <w:rsid w:val="00A31955"/>
    <w:rsid w:val="00A31960"/>
    <w:rsid w:val="00A319C5"/>
    <w:rsid w:val="00A31B08"/>
    <w:rsid w:val="00A31BEE"/>
    <w:rsid w:val="00A320BC"/>
    <w:rsid w:val="00A32521"/>
    <w:rsid w:val="00A327D1"/>
    <w:rsid w:val="00A329ED"/>
    <w:rsid w:val="00A32B6E"/>
    <w:rsid w:val="00A32D90"/>
    <w:rsid w:val="00A32DCA"/>
    <w:rsid w:val="00A32DF8"/>
    <w:rsid w:val="00A33496"/>
    <w:rsid w:val="00A336FF"/>
    <w:rsid w:val="00A338D3"/>
    <w:rsid w:val="00A339B6"/>
    <w:rsid w:val="00A33ABB"/>
    <w:rsid w:val="00A340C4"/>
    <w:rsid w:val="00A34278"/>
    <w:rsid w:val="00A3446A"/>
    <w:rsid w:val="00A34F86"/>
    <w:rsid w:val="00A35321"/>
    <w:rsid w:val="00A35376"/>
    <w:rsid w:val="00A355C3"/>
    <w:rsid w:val="00A356C3"/>
    <w:rsid w:val="00A35CDA"/>
    <w:rsid w:val="00A35E6B"/>
    <w:rsid w:val="00A35EEF"/>
    <w:rsid w:val="00A35F32"/>
    <w:rsid w:val="00A362E2"/>
    <w:rsid w:val="00A363B0"/>
    <w:rsid w:val="00A36687"/>
    <w:rsid w:val="00A36720"/>
    <w:rsid w:val="00A36C7A"/>
    <w:rsid w:val="00A36FCF"/>
    <w:rsid w:val="00A37054"/>
    <w:rsid w:val="00A371AE"/>
    <w:rsid w:val="00A375BC"/>
    <w:rsid w:val="00A37661"/>
    <w:rsid w:val="00A377F9"/>
    <w:rsid w:val="00A40376"/>
    <w:rsid w:val="00A40524"/>
    <w:rsid w:val="00A4091A"/>
    <w:rsid w:val="00A40B63"/>
    <w:rsid w:val="00A40B96"/>
    <w:rsid w:val="00A40BB0"/>
    <w:rsid w:val="00A4106E"/>
    <w:rsid w:val="00A4134F"/>
    <w:rsid w:val="00A415DD"/>
    <w:rsid w:val="00A41628"/>
    <w:rsid w:val="00A41B16"/>
    <w:rsid w:val="00A41DF5"/>
    <w:rsid w:val="00A41EA5"/>
    <w:rsid w:val="00A42205"/>
    <w:rsid w:val="00A4241C"/>
    <w:rsid w:val="00A425BE"/>
    <w:rsid w:val="00A42849"/>
    <w:rsid w:val="00A42C09"/>
    <w:rsid w:val="00A4300C"/>
    <w:rsid w:val="00A431AC"/>
    <w:rsid w:val="00A4341B"/>
    <w:rsid w:val="00A437C3"/>
    <w:rsid w:val="00A43805"/>
    <w:rsid w:val="00A43ADB"/>
    <w:rsid w:val="00A43D0B"/>
    <w:rsid w:val="00A43E70"/>
    <w:rsid w:val="00A4415C"/>
    <w:rsid w:val="00A442C8"/>
    <w:rsid w:val="00A44454"/>
    <w:rsid w:val="00A4498A"/>
    <w:rsid w:val="00A44ADD"/>
    <w:rsid w:val="00A44AFD"/>
    <w:rsid w:val="00A44BA8"/>
    <w:rsid w:val="00A44E97"/>
    <w:rsid w:val="00A44FE5"/>
    <w:rsid w:val="00A451FB"/>
    <w:rsid w:val="00A456E1"/>
    <w:rsid w:val="00A4590A"/>
    <w:rsid w:val="00A459A2"/>
    <w:rsid w:val="00A46075"/>
    <w:rsid w:val="00A46398"/>
    <w:rsid w:val="00A467E7"/>
    <w:rsid w:val="00A46DF1"/>
    <w:rsid w:val="00A47186"/>
    <w:rsid w:val="00A4735D"/>
    <w:rsid w:val="00A473F6"/>
    <w:rsid w:val="00A47632"/>
    <w:rsid w:val="00A47650"/>
    <w:rsid w:val="00A4781F"/>
    <w:rsid w:val="00A47A87"/>
    <w:rsid w:val="00A5011C"/>
    <w:rsid w:val="00A50758"/>
    <w:rsid w:val="00A50C62"/>
    <w:rsid w:val="00A50CD5"/>
    <w:rsid w:val="00A51312"/>
    <w:rsid w:val="00A514FC"/>
    <w:rsid w:val="00A51ACF"/>
    <w:rsid w:val="00A51D21"/>
    <w:rsid w:val="00A51E7F"/>
    <w:rsid w:val="00A52193"/>
    <w:rsid w:val="00A52359"/>
    <w:rsid w:val="00A523A4"/>
    <w:rsid w:val="00A52569"/>
    <w:rsid w:val="00A525ED"/>
    <w:rsid w:val="00A52A34"/>
    <w:rsid w:val="00A52AC1"/>
    <w:rsid w:val="00A52BED"/>
    <w:rsid w:val="00A53255"/>
    <w:rsid w:val="00A532D9"/>
    <w:rsid w:val="00A53580"/>
    <w:rsid w:val="00A5370C"/>
    <w:rsid w:val="00A538FA"/>
    <w:rsid w:val="00A53E4E"/>
    <w:rsid w:val="00A54199"/>
    <w:rsid w:val="00A54359"/>
    <w:rsid w:val="00A54623"/>
    <w:rsid w:val="00A546FE"/>
    <w:rsid w:val="00A5498E"/>
    <w:rsid w:val="00A54A26"/>
    <w:rsid w:val="00A54AA3"/>
    <w:rsid w:val="00A54CBD"/>
    <w:rsid w:val="00A54D70"/>
    <w:rsid w:val="00A54E5F"/>
    <w:rsid w:val="00A5561B"/>
    <w:rsid w:val="00A55A8D"/>
    <w:rsid w:val="00A55BE9"/>
    <w:rsid w:val="00A55DC6"/>
    <w:rsid w:val="00A55E60"/>
    <w:rsid w:val="00A56189"/>
    <w:rsid w:val="00A565D3"/>
    <w:rsid w:val="00A56DD5"/>
    <w:rsid w:val="00A56E5D"/>
    <w:rsid w:val="00A575E3"/>
    <w:rsid w:val="00A57B41"/>
    <w:rsid w:val="00A609C7"/>
    <w:rsid w:val="00A60A6E"/>
    <w:rsid w:val="00A61231"/>
    <w:rsid w:val="00A61814"/>
    <w:rsid w:val="00A61836"/>
    <w:rsid w:val="00A6186E"/>
    <w:rsid w:val="00A61EFE"/>
    <w:rsid w:val="00A61F60"/>
    <w:rsid w:val="00A62402"/>
    <w:rsid w:val="00A62534"/>
    <w:rsid w:val="00A6269C"/>
    <w:rsid w:val="00A6284F"/>
    <w:rsid w:val="00A629B1"/>
    <w:rsid w:val="00A62B53"/>
    <w:rsid w:val="00A63092"/>
    <w:rsid w:val="00A633D4"/>
    <w:rsid w:val="00A63744"/>
    <w:rsid w:val="00A63753"/>
    <w:rsid w:val="00A63939"/>
    <w:rsid w:val="00A639F2"/>
    <w:rsid w:val="00A63C9F"/>
    <w:rsid w:val="00A63CCF"/>
    <w:rsid w:val="00A640DC"/>
    <w:rsid w:val="00A6467A"/>
    <w:rsid w:val="00A648BE"/>
    <w:rsid w:val="00A6495E"/>
    <w:rsid w:val="00A64CFC"/>
    <w:rsid w:val="00A64EAA"/>
    <w:rsid w:val="00A64EFE"/>
    <w:rsid w:val="00A64F63"/>
    <w:rsid w:val="00A64F6A"/>
    <w:rsid w:val="00A65383"/>
    <w:rsid w:val="00A657BD"/>
    <w:rsid w:val="00A658F3"/>
    <w:rsid w:val="00A65AA1"/>
    <w:rsid w:val="00A65AD1"/>
    <w:rsid w:val="00A65C4E"/>
    <w:rsid w:val="00A65C65"/>
    <w:rsid w:val="00A65DC4"/>
    <w:rsid w:val="00A65FFE"/>
    <w:rsid w:val="00A66780"/>
    <w:rsid w:val="00A667BB"/>
    <w:rsid w:val="00A67743"/>
    <w:rsid w:val="00A6783B"/>
    <w:rsid w:val="00A70020"/>
    <w:rsid w:val="00A70342"/>
    <w:rsid w:val="00A70A30"/>
    <w:rsid w:val="00A70A5B"/>
    <w:rsid w:val="00A70D2B"/>
    <w:rsid w:val="00A70F09"/>
    <w:rsid w:val="00A71097"/>
    <w:rsid w:val="00A7137E"/>
    <w:rsid w:val="00A71945"/>
    <w:rsid w:val="00A719C2"/>
    <w:rsid w:val="00A71E97"/>
    <w:rsid w:val="00A722F1"/>
    <w:rsid w:val="00A722F2"/>
    <w:rsid w:val="00A724A4"/>
    <w:rsid w:val="00A72F4D"/>
    <w:rsid w:val="00A73005"/>
    <w:rsid w:val="00A73169"/>
    <w:rsid w:val="00A732FA"/>
    <w:rsid w:val="00A73953"/>
    <w:rsid w:val="00A73F71"/>
    <w:rsid w:val="00A74234"/>
    <w:rsid w:val="00A74503"/>
    <w:rsid w:val="00A74512"/>
    <w:rsid w:val="00A745B4"/>
    <w:rsid w:val="00A74708"/>
    <w:rsid w:val="00A747E5"/>
    <w:rsid w:val="00A74F08"/>
    <w:rsid w:val="00A75043"/>
    <w:rsid w:val="00A750F1"/>
    <w:rsid w:val="00A7512A"/>
    <w:rsid w:val="00A75260"/>
    <w:rsid w:val="00A75698"/>
    <w:rsid w:val="00A757A8"/>
    <w:rsid w:val="00A75BAD"/>
    <w:rsid w:val="00A75C0C"/>
    <w:rsid w:val="00A76295"/>
    <w:rsid w:val="00A7637F"/>
    <w:rsid w:val="00A7670B"/>
    <w:rsid w:val="00A767BE"/>
    <w:rsid w:val="00A76AB2"/>
    <w:rsid w:val="00A77052"/>
    <w:rsid w:val="00A7739B"/>
    <w:rsid w:val="00A77ACE"/>
    <w:rsid w:val="00A77B1A"/>
    <w:rsid w:val="00A77D63"/>
    <w:rsid w:val="00A80021"/>
    <w:rsid w:val="00A802AE"/>
    <w:rsid w:val="00A80AA0"/>
    <w:rsid w:val="00A80C3F"/>
    <w:rsid w:val="00A80FE2"/>
    <w:rsid w:val="00A80FF0"/>
    <w:rsid w:val="00A81098"/>
    <w:rsid w:val="00A8155A"/>
    <w:rsid w:val="00A815AE"/>
    <w:rsid w:val="00A81C19"/>
    <w:rsid w:val="00A81F64"/>
    <w:rsid w:val="00A82178"/>
    <w:rsid w:val="00A821EC"/>
    <w:rsid w:val="00A825B0"/>
    <w:rsid w:val="00A827D2"/>
    <w:rsid w:val="00A8284C"/>
    <w:rsid w:val="00A83182"/>
    <w:rsid w:val="00A83492"/>
    <w:rsid w:val="00A83A73"/>
    <w:rsid w:val="00A83C3C"/>
    <w:rsid w:val="00A8441A"/>
    <w:rsid w:val="00A844FB"/>
    <w:rsid w:val="00A84515"/>
    <w:rsid w:val="00A8456B"/>
    <w:rsid w:val="00A8468F"/>
    <w:rsid w:val="00A84970"/>
    <w:rsid w:val="00A854BA"/>
    <w:rsid w:val="00A85C2D"/>
    <w:rsid w:val="00A85D22"/>
    <w:rsid w:val="00A86255"/>
    <w:rsid w:val="00A86878"/>
    <w:rsid w:val="00A8692E"/>
    <w:rsid w:val="00A86D89"/>
    <w:rsid w:val="00A87030"/>
    <w:rsid w:val="00A871C5"/>
    <w:rsid w:val="00A8762C"/>
    <w:rsid w:val="00A87883"/>
    <w:rsid w:val="00A87AAD"/>
    <w:rsid w:val="00A87EDF"/>
    <w:rsid w:val="00A87FE6"/>
    <w:rsid w:val="00A9034E"/>
    <w:rsid w:val="00A903C9"/>
    <w:rsid w:val="00A906C7"/>
    <w:rsid w:val="00A90C0F"/>
    <w:rsid w:val="00A90CDC"/>
    <w:rsid w:val="00A90EA9"/>
    <w:rsid w:val="00A91287"/>
    <w:rsid w:val="00A91379"/>
    <w:rsid w:val="00A913F5"/>
    <w:rsid w:val="00A91AF0"/>
    <w:rsid w:val="00A91B5E"/>
    <w:rsid w:val="00A91E54"/>
    <w:rsid w:val="00A923F1"/>
    <w:rsid w:val="00A92449"/>
    <w:rsid w:val="00A9298F"/>
    <w:rsid w:val="00A92ACA"/>
    <w:rsid w:val="00A92BB1"/>
    <w:rsid w:val="00A9323A"/>
    <w:rsid w:val="00A93641"/>
    <w:rsid w:val="00A93662"/>
    <w:rsid w:val="00A93924"/>
    <w:rsid w:val="00A93D85"/>
    <w:rsid w:val="00A93DFA"/>
    <w:rsid w:val="00A93E23"/>
    <w:rsid w:val="00A94DA9"/>
    <w:rsid w:val="00A956DE"/>
    <w:rsid w:val="00A95AFE"/>
    <w:rsid w:val="00A95B0B"/>
    <w:rsid w:val="00A96374"/>
    <w:rsid w:val="00A9661C"/>
    <w:rsid w:val="00A96773"/>
    <w:rsid w:val="00A96882"/>
    <w:rsid w:val="00A978E1"/>
    <w:rsid w:val="00A97B1B"/>
    <w:rsid w:val="00A97BDE"/>
    <w:rsid w:val="00A97D88"/>
    <w:rsid w:val="00AA0A70"/>
    <w:rsid w:val="00AA0D27"/>
    <w:rsid w:val="00AA12A1"/>
    <w:rsid w:val="00AA143B"/>
    <w:rsid w:val="00AA179F"/>
    <w:rsid w:val="00AA193C"/>
    <w:rsid w:val="00AA1B97"/>
    <w:rsid w:val="00AA1F88"/>
    <w:rsid w:val="00AA222A"/>
    <w:rsid w:val="00AA2A60"/>
    <w:rsid w:val="00AA3120"/>
    <w:rsid w:val="00AA315A"/>
    <w:rsid w:val="00AA31F5"/>
    <w:rsid w:val="00AA35BF"/>
    <w:rsid w:val="00AA38D3"/>
    <w:rsid w:val="00AA460A"/>
    <w:rsid w:val="00AA46BA"/>
    <w:rsid w:val="00AA49DC"/>
    <w:rsid w:val="00AA4A2D"/>
    <w:rsid w:val="00AA5348"/>
    <w:rsid w:val="00AA5B45"/>
    <w:rsid w:val="00AA5C72"/>
    <w:rsid w:val="00AA5DCB"/>
    <w:rsid w:val="00AA68D4"/>
    <w:rsid w:val="00AA6916"/>
    <w:rsid w:val="00AA7492"/>
    <w:rsid w:val="00AA7511"/>
    <w:rsid w:val="00AA7CE8"/>
    <w:rsid w:val="00AB018F"/>
    <w:rsid w:val="00AB035E"/>
    <w:rsid w:val="00AB03E5"/>
    <w:rsid w:val="00AB0586"/>
    <w:rsid w:val="00AB08B5"/>
    <w:rsid w:val="00AB0B8D"/>
    <w:rsid w:val="00AB0DEE"/>
    <w:rsid w:val="00AB0F8A"/>
    <w:rsid w:val="00AB11A8"/>
    <w:rsid w:val="00AB125D"/>
    <w:rsid w:val="00AB15CA"/>
    <w:rsid w:val="00AB1D0F"/>
    <w:rsid w:val="00AB1E44"/>
    <w:rsid w:val="00AB2413"/>
    <w:rsid w:val="00AB253B"/>
    <w:rsid w:val="00AB27C5"/>
    <w:rsid w:val="00AB27E7"/>
    <w:rsid w:val="00AB27F2"/>
    <w:rsid w:val="00AB292C"/>
    <w:rsid w:val="00AB29EE"/>
    <w:rsid w:val="00AB2CBE"/>
    <w:rsid w:val="00AB2EC6"/>
    <w:rsid w:val="00AB2FDC"/>
    <w:rsid w:val="00AB30E0"/>
    <w:rsid w:val="00AB3429"/>
    <w:rsid w:val="00AB37C9"/>
    <w:rsid w:val="00AB37D1"/>
    <w:rsid w:val="00AB3925"/>
    <w:rsid w:val="00AB3A33"/>
    <w:rsid w:val="00AB3BD6"/>
    <w:rsid w:val="00AB3DFB"/>
    <w:rsid w:val="00AB3E24"/>
    <w:rsid w:val="00AB3E28"/>
    <w:rsid w:val="00AB4943"/>
    <w:rsid w:val="00AB4B73"/>
    <w:rsid w:val="00AB4B75"/>
    <w:rsid w:val="00AB4B9D"/>
    <w:rsid w:val="00AB4E46"/>
    <w:rsid w:val="00AB4EDB"/>
    <w:rsid w:val="00AB5736"/>
    <w:rsid w:val="00AB5749"/>
    <w:rsid w:val="00AB5A2A"/>
    <w:rsid w:val="00AB5EC5"/>
    <w:rsid w:val="00AB6015"/>
    <w:rsid w:val="00AB73BD"/>
    <w:rsid w:val="00AB756C"/>
    <w:rsid w:val="00AB75C7"/>
    <w:rsid w:val="00AB79F3"/>
    <w:rsid w:val="00AB7A3E"/>
    <w:rsid w:val="00AB7CE2"/>
    <w:rsid w:val="00AC0392"/>
    <w:rsid w:val="00AC044C"/>
    <w:rsid w:val="00AC060B"/>
    <w:rsid w:val="00AC0F4C"/>
    <w:rsid w:val="00AC10F3"/>
    <w:rsid w:val="00AC1145"/>
    <w:rsid w:val="00AC13A8"/>
    <w:rsid w:val="00AC1519"/>
    <w:rsid w:val="00AC1866"/>
    <w:rsid w:val="00AC1A2B"/>
    <w:rsid w:val="00AC1E41"/>
    <w:rsid w:val="00AC2731"/>
    <w:rsid w:val="00AC2C61"/>
    <w:rsid w:val="00AC2CEC"/>
    <w:rsid w:val="00AC32A4"/>
    <w:rsid w:val="00AC35EA"/>
    <w:rsid w:val="00AC38C1"/>
    <w:rsid w:val="00AC39A4"/>
    <w:rsid w:val="00AC3BAD"/>
    <w:rsid w:val="00AC3BFC"/>
    <w:rsid w:val="00AC4012"/>
    <w:rsid w:val="00AC40C5"/>
    <w:rsid w:val="00AC414F"/>
    <w:rsid w:val="00AC4218"/>
    <w:rsid w:val="00AC426B"/>
    <w:rsid w:val="00AC45CA"/>
    <w:rsid w:val="00AC498B"/>
    <w:rsid w:val="00AC4C37"/>
    <w:rsid w:val="00AC4CAF"/>
    <w:rsid w:val="00AC4D81"/>
    <w:rsid w:val="00AC4F30"/>
    <w:rsid w:val="00AC525C"/>
    <w:rsid w:val="00AC56D2"/>
    <w:rsid w:val="00AC577F"/>
    <w:rsid w:val="00AC5929"/>
    <w:rsid w:val="00AC5CB1"/>
    <w:rsid w:val="00AC5D63"/>
    <w:rsid w:val="00AC5F1C"/>
    <w:rsid w:val="00AC5F4C"/>
    <w:rsid w:val="00AC623C"/>
    <w:rsid w:val="00AC6405"/>
    <w:rsid w:val="00AC6A06"/>
    <w:rsid w:val="00AC6E2F"/>
    <w:rsid w:val="00AC704E"/>
    <w:rsid w:val="00AC7C08"/>
    <w:rsid w:val="00AC7E34"/>
    <w:rsid w:val="00AC7EA7"/>
    <w:rsid w:val="00AC7EAB"/>
    <w:rsid w:val="00AC7EBE"/>
    <w:rsid w:val="00AD0694"/>
    <w:rsid w:val="00AD0742"/>
    <w:rsid w:val="00AD0EC2"/>
    <w:rsid w:val="00AD1394"/>
    <w:rsid w:val="00AD1651"/>
    <w:rsid w:val="00AD1AFA"/>
    <w:rsid w:val="00AD1F6B"/>
    <w:rsid w:val="00AD2142"/>
    <w:rsid w:val="00AD2265"/>
    <w:rsid w:val="00AD2291"/>
    <w:rsid w:val="00AD297E"/>
    <w:rsid w:val="00AD2C57"/>
    <w:rsid w:val="00AD2D36"/>
    <w:rsid w:val="00AD301A"/>
    <w:rsid w:val="00AD312E"/>
    <w:rsid w:val="00AD320B"/>
    <w:rsid w:val="00AD34C6"/>
    <w:rsid w:val="00AD362B"/>
    <w:rsid w:val="00AD390B"/>
    <w:rsid w:val="00AD4299"/>
    <w:rsid w:val="00AD4513"/>
    <w:rsid w:val="00AD4781"/>
    <w:rsid w:val="00AD49B8"/>
    <w:rsid w:val="00AD4BC8"/>
    <w:rsid w:val="00AD53B4"/>
    <w:rsid w:val="00AD5ABC"/>
    <w:rsid w:val="00AD5DCE"/>
    <w:rsid w:val="00AD602F"/>
    <w:rsid w:val="00AD6251"/>
    <w:rsid w:val="00AD62C6"/>
    <w:rsid w:val="00AD63D2"/>
    <w:rsid w:val="00AD641C"/>
    <w:rsid w:val="00AD64D8"/>
    <w:rsid w:val="00AD66E2"/>
    <w:rsid w:val="00AD6716"/>
    <w:rsid w:val="00AD6858"/>
    <w:rsid w:val="00AD6CB3"/>
    <w:rsid w:val="00AD6D50"/>
    <w:rsid w:val="00AD70A4"/>
    <w:rsid w:val="00AD71BD"/>
    <w:rsid w:val="00AD73CB"/>
    <w:rsid w:val="00AD7D58"/>
    <w:rsid w:val="00AD7DFD"/>
    <w:rsid w:val="00AD7E20"/>
    <w:rsid w:val="00AE099E"/>
    <w:rsid w:val="00AE0C5C"/>
    <w:rsid w:val="00AE0DF3"/>
    <w:rsid w:val="00AE10D1"/>
    <w:rsid w:val="00AE116D"/>
    <w:rsid w:val="00AE1BAB"/>
    <w:rsid w:val="00AE1BC2"/>
    <w:rsid w:val="00AE1D37"/>
    <w:rsid w:val="00AE1E1C"/>
    <w:rsid w:val="00AE20CC"/>
    <w:rsid w:val="00AE2212"/>
    <w:rsid w:val="00AE2242"/>
    <w:rsid w:val="00AE2412"/>
    <w:rsid w:val="00AE2533"/>
    <w:rsid w:val="00AE2D1D"/>
    <w:rsid w:val="00AE2E76"/>
    <w:rsid w:val="00AE2EEB"/>
    <w:rsid w:val="00AE2FCC"/>
    <w:rsid w:val="00AE3220"/>
    <w:rsid w:val="00AE3643"/>
    <w:rsid w:val="00AE3794"/>
    <w:rsid w:val="00AE3D73"/>
    <w:rsid w:val="00AE3E52"/>
    <w:rsid w:val="00AE3F59"/>
    <w:rsid w:val="00AE3F62"/>
    <w:rsid w:val="00AE401B"/>
    <w:rsid w:val="00AE48C1"/>
    <w:rsid w:val="00AE4DC8"/>
    <w:rsid w:val="00AE4ED8"/>
    <w:rsid w:val="00AE50AA"/>
    <w:rsid w:val="00AE514A"/>
    <w:rsid w:val="00AE5644"/>
    <w:rsid w:val="00AE5791"/>
    <w:rsid w:val="00AE5839"/>
    <w:rsid w:val="00AE5BF2"/>
    <w:rsid w:val="00AE61E9"/>
    <w:rsid w:val="00AE6943"/>
    <w:rsid w:val="00AE69A3"/>
    <w:rsid w:val="00AE6B33"/>
    <w:rsid w:val="00AE7052"/>
    <w:rsid w:val="00AE736A"/>
    <w:rsid w:val="00AE74FE"/>
    <w:rsid w:val="00AE774C"/>
    <w:rsid w:val="00AE78D4"/>
    <w:rsid w:val="00AE798E"/>
    <w:rsid w:val="00AE7E5F"/>
    <w:rsid w:val="00AF01AB"/>
    <w:rsid w:val="00AF0899"/>
    <w:rsid w:val="00AF1020"/>
    <w:rsid w:val="00AF146A"/>
    <w:rsid w:val="00AF17FC"/>
    <w:rsid w:val="00AF1D50"/>
    <w:rsid w:val="00AF1F29"/>
    <w:rsid w:val="00AF285E"/>
    <w:rsid w:val="00AF2D89"/>
    <w:rsid w:val="00AF342B"/>
    <w:rsid w:val="00AF36C5"/>
    <w:rsid w:val="00AF3B4D"/>
    <w:rsid w:val="00AF4172"/>
    <w:rsid w:val="00AF4C6B"/>
    <w:rsid w:val="00AF4F6B"/>
    <w:rsid w:val="00AF4FEE"/>
    <w:rsid w:val="00AF5000"/>
    <w:rsid w:val="00AF512B"/>
    <w:rsid w:val="00AF523D"/>
    <w:rsid w:val="00AF5329"/>
    <w:rsid w:val="00AF612E"/>
    <w:rsid w:val="00AF62CE"/>
    <w:rsid w:val="00AF6927"/>
    <w:rsid w:val="00AF6EA2"/>
    <w:rsid w:val="00AF6ED8"/>
    <w:rsid w:val="00AF6F54"/>
    <w:rsid w:val="00AF6F96"/>
    <w:rsid w:val="00AF71D1"/>
    <w:rsid w:val="00AF729B"/>
    <w:rsid w:val="00AF760D"/>
    <w:rsid w:val="00AF7829"/>
    <w:rsid w:val="00AF78EE"/>
    <w:rsid w:val="00AF7B62"/>
    <w:rsid w:val="00AF7CA2"/>
    <w:rsid w:val="00AF7FA6"/>
    <w:rsid w:val="00B00079"/>
    <w:rsid w:val="00B0015B"/>
    <w:rsid w:val="00B002F5"/>
    <w:rsid w:val="00B00548"/>
    <w:rsid w:val="00B00917"/>
    <w:rsid w:val="00B00A25"/>
    <w:rsid w:val="00B0145E"/>
    <w:rsid w:val="00B01664"/>
    <w:rsid w:val="00B016AC"/>
    <w:rsid w:val="00B01895"/>
    <w:rsid w:val="00B01B96"/>
    <w:rsid w:val="00B01C33"/>
    <w:rsid w:val="00B01D35"/>
    <w:rsid w:val="00B01D48"/>
    <w:rsid w:val="00B01D85"/>
    <w:rsid w:val="00B01DCD"/>
    <w:rsid w:val="00B0204F"/>
    <w:rsid w:val="00B02150"/>
    <w:rsid w:val="00B02181"/>
    <w:rsid w:val="00B021E9"/>
    <w:rsid w:val="00B02856"/>
    <w:rsid w:val="00B0285E"/>
    <w:rsid w:val="00B0295F"/>
    <w:rsid w:val="00B02CA9"/>
    <w:rsid w:val="00B02E57"/>
    <w:rsid w:val="00B02F5C"/>
    <w:rsid w:val="00B02FE0"/>
    <w:rsid w:val="00B034DE"/>
    <w:rsid w:val="00B03A97"/>
    <w:rsid w:val="00B03D80"/>
    <w:rsid w:val="00B03E85"/>
    <w:rsid w:val="00B040E3"/>
    <w:rsid w:val="00B043B8"/>
    <w:rsid w:val="00B0514B"/>
    <w:rsid w:val="00B05151"/>
    <w:rsid w:val="00B0541B"/>
    <w:rsid w:val="00B059B8"/>
    <w:rsid w:val="00B05A43"/>
    <w:rsid w:val="00B05A66"/>
    <w:rsid w:val="00B05BC5"/>
    <w:rsid w:val="00B05D84"/>
    <w:rsid w:val="00B05E3C"/>
    <w:rsid w:val="00B06355"/>
    <w:rsid w:val="00B0667A"/>
    <w:rsid w:val="00B066FF"/>
    <w:rsid w:val="00B06721"/>
    <w:rsid w:val="00B067E8"/>
    <w:rsid w:val="00B06D9A"/>
    <w:rsid w:val="00B06EE8"/>
    <w:rsid w:val="00B07211"/>
    <w:rsid w:val="00B07468"/>
    <w:rsid w:val="00B077C5"/>
    <w:rsid w:val="00B078C8"/>
    <w:rsid w:val="00B079E5"/>
    <w:rsid w:val="00B07F6D"/>
    <w:rsid w:val="00B10085"/>
    <w:rsid w:val="00B1031F"/>
    <w:rsid w:val="00B10415"/>
    <w:rsid w:val="00B10498"/>
    <w:rsid w:val="00B10594"/>
    <w:rsid w:val="00B105A1"/>
    <w:rsid w:val="00B1083A"/>
    <w:rsid w:val="00B10A1C"/>
    <w:rsid w:val="00B11147"/>
    <w:rsid w:val="00B1140E"/>
    <w:rsid w:val="00B1186C"/>
    <w:rsid w:val="00B11A67"/>
    <w:rsid w:val="00B11D84"/>
    <w:rsid w:val="00B11E8F"/>
    <w:rsid w:val="00B11FC2"/>
    <w:rsid w:val="00B12004"/>
    <w:rsid w:val="00B1224A"/>
    <w:rsid w:val="00B126C2"/>
    <w:rsid w:val="00B127AF"/>
    <w:rsid w:val="00B127D6"/>
    <w:rsid w:val="00B12A2E"/>
    <w:rsid w:val="00B12A41"/>
    <w:rsid w:val="00B12BF9"/>
    <w:rsid w:val="00B12F70"/>
    <w:rsid w:val="00B130B3"/>
    <w:rsid w:val="00B13402"/>
    <w:rsid w:val="00B13661"/>
    <w:rsid w:val="00B13801"/>
    <w:rsid w:val="00B138C9"/>
    <w:rsid w:val="00B1394E"/>
    <w:rsid w:val="00B14050"/>
    <w:rsid w:val="00B1483B"/>
    <w:rsid w:val="00B14B4A"/>
    <w:rsid w:val="00B15203"/>
    <w:rsid w:val="00B15776"/>
    <w:rsid w:val="00B158C3"/>
    <w:rsid w:val="00B15EE7"/>
    <w:rsid w:val="00B15F41"/>
    <w:rsid w:val="00B1631C"/>
    <w:rsid w:val="00B16801"/>
    <w:rsid w:val="00B16F49"/>
    <w:rsid w:val="00B170B4"/>
    <w:rsid w:val="00B173C8"/>
    <w:rsid w:val="00B1748F"/>
    <w:rsid w:val="00B174C5"/>
    <w:rsid w:val="00B201F7"/>
    <w:rsid w:val="00B20213"/>
    <w:rsid w:val="00B20789"/>
    <w:rsid w:val="00B20832"/>
    <w:rsid w:val="00B20A3D"/>
    <w:rsid w:val="00B20AC6"/>
    <w:rsid w:val="00B20BFD"/>
    <w:rsid w:val="00B20FE7"/>
    <w:rsid w:val="00B21336"/>
    <w:rsid w:val="00B2181C"/>
    <w:rsid w:val="00B21839"/>
    <w:rsid w:val="00B21C07"/>
    <w:rsid w:val="00B21C88"/>
    <w:rsid w:val="00B22049"/>
    <w:rsid w:val="00B222BC"/>
    <w:rsid w:val="00B2253F"/>
    <w:rsid w:val="00B22953"/>
    <w:rsid w:val="00B22A67"/>
    <w:rsid w:val="00B22A75"/>
    <w:rsid w:val="00B233EA"/>
    <w:rsid w:val="00B23709"/>
    <w:rsid w:val="00B23B32"/>
    <w:rsid w:val="00B23D2A"/>
    <w:rsid w:val="00B23DC2"/>
    <w:rsid w:val="00B2438A"/>
    <w:rsid w:val="00B243DC"/>
    <w:rsid w:val="00B24526"/>
    <w:rsid w:val="00B24640"/>
    <w:rsid w:val="00B247A3"/>
    <w:rsid w:val="00B24C98"/>
    <w:rsid w:val="00B24CA8"/>
    <w:rsid w:val="00B250FD"/>
    <w:rsid w:val="00B25171"/>
    <w:rsid w:val="00B25321"/>
    <w:rsid w:val="00B255E4"/>
    <w:rsid w:val="00B256F7"/>
    <w:rsid w:val="00B257CB"/>
    <w:rsid w:val="00B25901"/>
    <w:rsid w:val="00B25D97"/>
    <w:rsid w:val="00B25ECA"/>
    <w:rsid w:val="00B2667E"/>
    <w:rsid w:val="00B26DF0"/>
    <w:rsid w:val="00B26FC8"/>
    <w:rsid w:val="00B26FCB"/>
    <w:rsid w:val="00B27096"/>
    <w:rsid w:val="00B271E6"/>
    <w:rsid w:val="00B276B0"/>
    <w:rsid w:val="00B27800"/>
    <w:rsid w:val="00B27A2F"/>
    <w:rsid w:val="00B30560"/>
    <w:rsid w:val="00B30619"/>
    <w:rsid w:val="00B30DCA"/>
    <w:rsid w:val="00B3158C"/>
    <w:rsid w:val="00B31641"/>
    <w:rsid w:val="00B31681"/>
    <w:rsid w:val="00B3168B"/>
    <w:rsid w:val="00B31822"/>
    <w:rsid w:val="00B31BF9"/>
    <w:rsid w:val="00B32180"/>
    <w:rsid w:val="00B322ED"/>
    <w:rsid w:val="00B323AB"/>
    <w:rsid w:val="00B324C0"/>
    <w:rsid w:val="00B32864"/>
    <w:rsid w:val="00B32B5C"/>
    <w:rsid w:val="00B330F3"/>
    <w:rsid w:val="00B331B9"/>
    <w:rsid w:val="00B33679"/>
    <w:rsid w:val="00B33782"/>
    <w:rsid w:val="00B339A1"/>
    <w:rsid w:val="00B33A16"/>
    <w:rsid w:val="00B341BD"/>
    <w:rsid w:val="00B3435E"/>
    <w:rsid w:val="00B34754"/>
    <w:rsid w:val="00B34758"/>
    <w:rsid w:val="00B34982"/>
    <w:rsid w:val="00B349D4"/>
    <w:rsid w:val="00B34F91"/>
    <w:rsid w:val="00B350B3"/>
    <w:rsid w:val="00B350EC"/>
    <w:rsid w:val="00B353C8"/>
    <w:rsid w:val="00B354E4"/>
    <w:rsid w:val="00B356BA"/>
    <w:rsid w:val="00B35937"/>
    <w:rsid w:val="00B3595A"/>
    <w:rsid w:val="00B35AE6"/>
    <w:rsid w:val="00B360A8"/>
    <w:rsid w:val="00B36395"/>
    <w:rsid w:val="00B36747"/>
    <w:rsid w:val="00B36AC5"/>
    <w:rsid w:val="00B36BBC"/>
    <w:rsid w:val="00B36C0F"/>
    <w:rsid w:val="00B3739D"/>
    <w:rsid w:val="00B373B4"/>
    <w:rsid w:val="00B3742A"/>
    <w:rsid w:val="00B37883"/>
    <w:rsid w:val="00B37884"/>
    <w:rsid w:val="00B3794A"/>
    <w:rsid w:val="00B37F77"/>
    <w:rsid w:val="00B400E0"/>
    <w:rsid w:val="00B4021F"/>
    <w:rsid w:val="00B40385"/>
    <w:rsid w:val="00B40403"/>
    <w:rsid w:val="00B40938"/>
    <w:rsid w:val="00B409C9"/>
    <w:rsid w:val="00B40C72"/>
    <w:rsid w:val="00B40CEA"/>
    <w:rsid w:val="00B410C3"/>
    <w:rsid w:val="00B4136B"/>
    <w:rsid w:val="00B41527"/>
    <w:rsid w:val="00B4171F"/>
    <w:rsid w:val="00B41778"/>
    <w:rsid w:val="00B41AC3"/>
    <w:rsid w:val="00B4216E"/>
    <w:rsid w:val="00B42925"/>
    <w:rsid w:val="00B42ACD"/>
    <w:rsid w:val="00B42CC5"/>
    <w:rsid w:val="00B42FFF"/>
    <w:rsid w:val="00B430C9"/>
    <w:rsid w:val="00B4333D"/>
    <w:rsid w:val="00B4372A"/>
    <w:rsid w:val="00B43B27"/>
    <w:rsid w:val="00B43D19"/>
    <w:rsid w:val="00B44422"/>
    <w:rsid w:val="00B448A9"/>
    <w:rsid w:val="00B449EF"/>
    <w:rsid w:val="00B44A31"/>
    <w:rsid w:val="00B44BBF"/>
    <w:rsid w:val="00B44D50"/>
    <w:rsid w:val="00B44E1E"/>
    <w:rsid w:val="00B44F6A"/>
    <w:rsid w:val="00B4611D"/>
    <w:rsid w:val="00B46196"/>
    <w:rsid w:val="00B4648B"/>
    <w:rsid w:val="00B464C4"/>
    <w:rsid w:val="00B466C6"/>
    <w:rsid w:val="00B467B0"/>
    <w:rsid w:val="00B46904"/>
    <w:rsid w:val="00B4690B"/>
    <w:rsid w:val="00B469C3"/>
    <w:rsid w:val="00B46A92"/>
    <w:rsid w:val="00B46ED3"/>
    <w:rsid w:val="00B47043"/>
    <w:rsid w:val="00B47209"/>
    <w:rsid w:val="00B47221"/>
    <w:rsid w:val="00B47529"/>
    <w:rsid w:val="00B47766"/>
    <w:rsid w:val="00B47C05"/>
    <w:rsid w:val="00B47CD3"/>
    <w:rsid w:val="00B47CE7"/>
    <w:rsid w:val="00B47DFE"/>
    <w:rsid w:val="00B47F87"/>
    <w:rsid w:val="00B47FA8"/>
    <w:rsid w:val="00B5096E"/>
    <w:rsid w:val="00B50C01"/>
    <w:rsid w:val="00B50C16"/>
    <w:rsid w:val="00B50CD6"/>
    <w:rsid w:val="00B50F14"/>
    <w:rsid w:val="00B50FF2"/>
    <w:rsid w:val="00B51224"/>
    <w:rsid w:val="00B516A4"/>
    <w:rsid w:val="00B51797"/>
    <w:rsid w:val="00B51872"/>
    <w:rsid w:val="00B51923"/>
    <w:rsid w:val="00B51A68"/>
    <w:rsid w:val="00B51AF0"/>
    <w:rsid w:val="00B51E9F"/>
    <w:rsid w:val="00B520F8"/>
    <w:rsid w:val="00B52B7B"/>
    <w:rsid w:val="00B52CA8"/>
    <w:rsid w:val="00B52EDD"/>
    <w:rsid w:val="00B5308A"/>
    <w:rsid w:val="00B5392E"/>
    <w:rsid w:val="00B53A34"/>
    <w:rsid w:val="00B53F03"/>
    <w:rsid w:val="00B53F3C"/>
    <w:rsid w:val="00B5424C"/>
    <w:rsid w:val="00B54774"/>
    <w:rsid w:val="00B54817"/>
    <w:rsid w:val="00B54BB2"/>
    <w:rsid w:val="00B54C57"/>
    <w:rsid w:val="00B54CC6"/>
    <w:rsid w:val="00B54D26"/>
    <w:rsid w:val="00B54D4E"/>
    <w:rsid w:val="00B54D6E"/>
    <w:rsid w:val="00B54F75"/>
    <w:rsid w:val="00B551A3"/>
    <w:rsid w:val="00B55346"/>
    <w:rsid w:val="00B55381"/>
    <w:rsid w:val="00B55525"/>
    <w:rsid w:val="00B5556A"/>
    <w:rsid w:val="00B558AB"/>
    <w:rsid w:val="00B55B83"/>
    <w:rsid w:val="00B55D36"/>
    <w:rsid w:val="00B55D79"/>
    <w:rsid w:val="00B5621E"/>
    <w:rsid w:val="00B5638A"/>
    <w:rsid w:val="00B56A11"/>
    <w:rsid w:val="00B56A68"/>
    <w:rsid w:val="00B573B4"/>
    <w:rsid w:val="00B57415"/>
    <w:rsid w:val="00B576A9"/>
    <w:rsid w:val="00B57862"/>
    <w:rsid w:val="00B57941"/>
    <w:rsid w:val="00B57B40"/>
    <w:rsid w:val="00B57EF1"/>
    <w:rsid w:val="00B60157"/>
    <w:rsid w:val="00B602D3"/>
    <w:rsid w:val="00B606DD"/>
    <w:rsid w:val="00B608D7"/>
    <w:rsid w:val="00B60B06"/>
    <w:rsid w:val="00B60D9B"/>
    <w:rsid w:val="00B60E50"/>
    <w:rsid w:val="00B60EBC"/>
    <w:rsid w:val="00B60EFC"/>
    <w:rsid w:val="00B611FF"/>
    <w:rsid w:val="00B61903"/>
    <w:rsid w:val="00B61AEA"/>
    <w:rsid w:val="00B622CC"/>
    <w:rsid w:val="00B623D5"/>
    <w:rsid w:val="00B62563"/>
    <w:rsid w:val="00B628E0"/>
    <w:rsid w:val="00B633C9"/>
    <w:rsid w:val="00B636BD"/>
    <w:rsid w:val="00B636FB"/>
    <w:rsid w:val="00B63775"/>
    <w:rsid w:val="00B63A3C"/>
    <w:rsid w:val="00B63A5B"/>
    <w:rsid w:val="00B63B8D"/>
    <w:rsid w:val="00B64039"/>
    <w:rsid w:val="00B644FA"/>
    <w:rsid w:val="00B64B19"/>
    <w:rsid w:val="00B64C10"/>
    <w:rsid w:val="00B65579"/>
    <w:rsid w:val="00B6592B"/>
    <w:rsid w:val="00B65B4C"/>
    <w:rsid w:val="00B65C17"/>
    <w:rsid w:val="00B660DD"/>
    <w:rsid w:val="00B6644C"/>
    <w:rsid w:val="00B66485"/>
    <w:rsid w:val="00B666A1"/>
    <w:rsid w:val="00B667E4"/>
    <w:rsid w:val="00B66F99"/>
    <w:rsid w:val="00B670D6"/>
    <w:rsid w:val="00B67325"/>
    <w:rsid w:val="00B676F1"/>
    <w:rsid w:val="00B67D27"/>
    <w:rsid w:val="00B67F52"/>
    <w:rsid w:val="00B67FCC"/>
    <w:rsid w:val="00B7057A"/>
    <w:rsid w:val="00B7060F"/>
    <w:rsid w:val="00B70AE5"/>
    <w:rsid w:val="00B70CF3"/>
    <w:rsid w:val="00B71366"/>
    <w:rsid w:val="00B72015"/>
    <w:rsid w:val="00B72303"/>
    <w:rsid w:val="00B72749"/>
    <w:rsid w:val="00B728DC"/>
    <w:rsid w:val="00B72DB4"/>
    <w:rsid w:val="00B731DB"/>
    <w:rsid w:val="00B73214"/>
    <w:rsid w:val="00B73225"/>
    <w:rsid w:val="00B7366A"/>
    <w:rsid w:val="00B73E49"/>
    <w:rsid w:val="00B73E71"/>
    <w:rsid w:val="00B74354"/>
    <w:rsid w:val="00B74444"/>
    <w:rsid w:val="00B74457"/>
    <w:rsid w:val="00B74679"/>
    <w:rsid w:val="00B7478F"/>
    <w:rsid w:val="00B74A3B"/>
    <w:rsid w:val="00B75236"/>
    <w:rsid w:val="00B753A6"/>
    <w:rsid w:val="00B7635A"/>
    <w:rsid w:val="00B7659D"/>
    <w:rsid w:val="00B76AF4"/>
    <w:rsid w:val="00B76C53"/>
    <w:rsid w:val="00B77088"/>
    <w:rsid w:val="00B7723C"/>
    <w:rsid w:val="00B77519"/>
    <w:rsid w:val="00B7782C"/>
    <w:rsid w:val="00B77CB9"/>
    <w:rsid w:val="00B77DB2"/>
    <w:rsid w:val="00B77EBE"/>
    <w:rsid w:val="00B80166"/>
    <w:rsid w:val="00B80451"/>
    <w:rsid w:val="00B80C9C"/>
    <w:rsid w:val="00B81252"/>
    <w:rsid w:val="00B813BB"/>
    <w:rsid w:val="00B81447"/>
    <w:rsid w:val="00B81791"/>
    <w:rsid w:val="00B81C08"/>
    <w:rsid w:val="00B81C18"/>
    <w:rsid w:val="00B81DF7"/>
    <w:rsid w:val="00B81F7E"/>
    <w:rsid w:val="00B82034"/>
    <w:rsid w:val="00B822F8"/>
    <w:rsid w:val="00B82564"/>
    <w:rsid w:val="00B826B9"/>
    <w:rsid w:val="00B826DA"/>
    <w:rsid w:val="00B827D2"/>
    <w:rsid w:val="00B82AA4"/>
    <w:rsid w:val="00B82F15"/>
    <w:rsid w:val="00B82F36"/>
    <w:rsid w:val="00B83098"/>
    <w:rsid w:val="00B831A1"/>
    <w:rsid w:val="00B83376"/>
    <w:rsid w:val="00B839E0"/>
    <w:rsid w:val="00B83CED"/>
    <w:rsid w:val="00B8410D"/>
    <w:rsid w:val="00B8417E"/>
    <w:rsid w:val="00B842BB"/>
    <w:rsid w:val="00B844B5"/>
    <w:rsid w:val="00B8464F"/>
    <w:rsid w:val="00B84A26"/>
    <w:rsid w:val="00B85398"/>
    <w:rsid w:val="00B85C2F"/>
    <w:rsid w:val="00B85C90"/>
    <w:rsid w:val="00B8633F"/>
    <w:rsid w:val="00B86B18"/>
    <w:rsid w:val="00B86B79"/>
    <w:rsid w:val="00B86D43"/>
    <w:rsid w:val="00B87182"/>
    <w:rsid w:val="00B879E6"/>
    <w:rsid w:val="00B879ED"/>
    <w:rsid w:val="00B90028"/>
    <w:rsid w:val="00B90035"/>
    <w:rsid w:val="00B90092"/>
    <w:rsid w:val="00B902A8"/>
    <w:rsid w:val="00B902AD"/>
    <w:rsid w:val="00B90A93"/>
    <w:rsid w:val="00B90A96"/>
    <w:rsid w:val="00B90F7F"/>
    <w:rsid w:val="00B9110A"/>
    <w:rsid w:val="00B911CD"/>
    <w:rsid w:val="00B91240"/>
    <w:rsid w:val="00B914A5"/>
    <w:rsid w:val="00B91518"/>
    <w:rsid w:val="00B9153D"/>
    <w:rsid w:val="00B91606"/>
    <w:rsid w:val="00B9171C"/>
    <w:rsid w:val="00B91771"/>
    <w:rsid w:val="00B91917"/>
    <w:rsid w:val="00B9192D"/>
    <w:rsid w:val="00B91C96"/>
    <w:rsid w:val="00B91DA8"/>
    <w:rsid w:val="00B92122"/>
    <w:rsid w:val="00B927E1"/>
    <w:rsid w:val="00B92A59"/>
    <w:rsid w:val="00B92BD0"/>
    <w:rsid w:val="00B92C50"/>
    <w:rsid w:val="00B92EE0"/>
    <w:rsid w:val="00B93429"/>
    <w:rsid w:val="00B93548"/>
    <w:rsid w:val="00B935F2"/>
    <w:rsid w:val="00B93B72"/>
    <w:rsid w:val="00B93BA4"/>
    <w:rsid w:val="00B94174"/>
    <w:rsid w:val="00B943C6"/>
    <w:rsid w:val="00B943F0"/>
    <w:rsid w:val="00B94E91"/>
    <w:rsid w:val="00B94F77"/>
    <w:rsid w:val="00B9582F"/>
    <w:rsid w:val="00B958D5"/>
    <w:rsid w:val="00B95962"/>
    <w:rsid w:val="00B95A16"/>
    <w:rsid w:val="00B95D2D"/>
    <w:rsid w:val="00B96295"/>
    <w:rsid w:val="00B963F5"/>
    <w:rsid w:val="00B965E8"/>
    <w:rsid w:val="00B9675B"/>
    <w:rsid w:val="00B96852"/>
    <w:rsid w:val="00B96CA8"/>
    <w:rsid w:val="00B96D5E"/>
    <w:rsid w:val="00B9709E"/>
    <w:rsid w:val="00B9725C"/>
    <w:rsid w:val="00BA00C7"/>
    <w:rsid w:val="00BA02E2"/>
    <w:rsid w:val="00BA042F"/>
    <w:rsid w:val="00BA06DC"/>
    <w:rsid w:val="00BA07CD"/>
    <w:rsid w:val="00BA0A52"/>
    <w:rsid w:val="00BA1510"/>
    <w:rsid w:val="00BA1585"/>
    <w:rsid w:val="00BA18AB"/>
    <w:rsid w:val="00BA24C7"/>
    <w:rsid w:val="00BA2561"/>
    <w:rsid w:val="00BA29FA"/>
    <w:rsid w:val="00BA2A6F"/>
    <w:rsid w:val="00BA2CD5"/>
    <w:rsid w:val="00BA2CDB"/>
    <w:rsid w:val="00BA3035"/>
    <w:rsid w:val="00BA3142"/>
    <w:rsid w:val="00BA3564"/>
    <w:rsid w:val="00BA3593"/>
    <w:rsid w:val="00BA3D85"/>
    <w:rsid w:val="00BA3E7F"/>
    <w:rsid w:val="00BA40B3"/>
    <w:rsid w:val="00BA42D1"/>
    <w:rsid w:val="00BA42FA"/>
    <w:rsid w:val="00BA4316"/>
    <w:rsid w:val="00BA440C"/>
    <w:rsid w:val="00BA4474"/>
    <w:rsid w:val="00BA4524"/>
    <w:rsid w:val="00BA45BA"/>
    <w:rsid w:val="00BA45D4"/>
    <w:rsid w:val="00BA4ACE"/>
    <w:rsid w:val="00BA4F16"/>
    <w:rsid w:val="00BA4F58"/>
    <w:rsid w:val="00BA509B"/>
    <w:rsid w:val="00BA50DB"/>
    <w:rsid w:val="00BA520D"/>
    <w:rsid w:val="00BA5216"/>
    <w:rsid w:val="00BA58D4"/>
    <w:rsid w:val="00BA58E9"/>
    <w:rsid w:val="00BA59DA"/>
    <w:rsid w:val="00BA5AC6"/>
    <w:rsid w:val="00BA5EC6"/>
    <w:rsid w:val="00BA635C"/>
    <w:rsid w:val="00BA646B"/>
    <w:rsid w:val="00BA65E2"/>
    <w:rsid w:val="00BA6696"/>
    <w:rsid w:val="00BA6734"/>
    <w:rsid w:val="00BA6D8B"/>
    <w:rsid w:val="00BA6F6A"/>
    <w:rsid w:val="00BA7047"/>
    <w:rsid w:val="00BA7234"/>
    <w:rsid w:val="00BA7392"/>
    <w:rsid w:val="00BA750A"/>
    <w:rsid w:val="00BA77EB"/>
    <w:rsid w:val="00BA7995"/>
    <w:rsid w:val="00BA7F93"/>
    <w:rsid w:val="00BB0171"/>
    <w:rsid w:val="00BB04DD"/>
    <w:rsid w:val="00BB0546"/>
    <w:rsid w:val="00BB05AB"/>
    <w:rsid w:val="00BB0993"/>
    <w:rsid w:val="00BB0BE2"/>
    <w:rsid w:val="00BB0D0A"/>
    <w:rsid w:val="00BB0D40"/>
    <w:rsid w:val="00BB0D9D"/>
    <w:rsid w:val="00BB115C"/>
    <w:rsid w:val="00BB120A"/>
    <w:rsid w:val="00BB14B0"/>
    <w:rsid w:val="00BB15F1"/>
    <w:rsid w:val="00BB1828"/>
    <w:rsid w:val="00BB1F35"/>
    <w:rsid w:val="00BB2671"/>
    <w:rsid w:val="00BB289A"/>
    <w:rsid w:val="00BB2BD4"/>
    <w:rsid w:val="00BB2DB8"/>
    <w:rsid w:val="00BB30E9"/>
    <w:rsid w:val="00BB3373"/>
    <w:rsid w:val="00BB3674"/>
    <w:rsid w:val="00BB390B"/>
    <w:rsid w:val="00BB39E7"/>
    <w:rsid w:val="00BB3C4E"/>
    <w:rsid w:val="00BB427F"/>
    <w:rsid w:val="00BB447E"/>
    <w:rsid w:val="00BB47B6"/>
    <w:rsid w:val="00BB4974"/>
    <w:rsid w:val="00BB4DED"/>
    <w:rsid w:val="00BB4F1F"/>
    <w:rsid w:val="00BB4F68"/>
    <w:rsid w:val="00BB502B"/>
    <w:rsid w:val="00BB5144"/>
    <w:rsid w:val="00BB5636"/>
    <w:rsid w:val="00BB563B"/>
    <w:rsid w:val="00BB5D96"/>
    <w:rsid w:val="00BB5DF4"/>
    <w:rsid w:val="00BB5F55"/>
    <w:rsid w:val="00BB5F99"/>
    <w:rsid w:val="00BB5FDF"/>
    <w:rsid w:val="00BB624A"/>
    <w:rsid w:val="00BB65F9"/>
    <w:rsid w:val="00BB6869"/>
    <w:rsid w:val="00BB6932"/>
    <w:rsid w:val="00BB6BE1"/>
    <w:rsid w:val="00BB6E60"/>
    <w:rsid w:val="00BB7295"/>
    <w:rsid w:val="00BB7483"/>
    <w:rsid w:val="00BB768F"/>
    <w:rsid w:val="00BB7929"/>
    <w:rsid w:val="00BB796A"/>
    <w:rsid w:val="00BB7A80"/>
    <w:rsid w:val="00BB7D79"/>
    <w:rsid w:val="00BB7F10"/>
    <w:rsid w:val="00BB7F22"/>
    <w:rsid w:val="00BC0047"/>
    <w:rsid w:val="00BC00F0"/>
    <w:rsid w:val="00BC0115"/>
    <w:rsid w:val="00BC023F"/>
    <w:rsid w:val="00BC03AD"/>
    <w:rsid w:val="00BC0488"/>
    <w:rsid w:val="00BC0637"/>
    <w:rsid w:val="00BC0A2E"/>
    <w:rsid w:val="00BC0A5C"/>
    <w:rsid w:val="00BC0A77"/>
    <w:rsid w:val="00BC1615"/>
    <w:rsid w:val="00BC18F7"/>
    <w:rsid w:val="00BC1BBD"/>
    <w:rsid w:val="00BC1BFE"/>
    <w:rsid w:val="00BC1DD2"/>
    <w:rsid w:val="00BC1F65"/>
    <w:rsid w:val="00BC2513"/>
    <w:rsid w:val="00BC27B6"/>
    <w:rsid w:val="00BC28B3"/>
    <w:rsid w:val="00BC2BD4"/>
    <w:rsid w:val="00BC2C38"/>
    <w:rsid w:val="00BC2E2B"/>
    <w:rsid w:val="00BC31BD"/>
    <w:rsid w:val="00BC35EC"/>
    <w:rsid w:val="00BC37EE"/>
    <w:rsid w:val="00BC3893"/>
    <w:rsid w:val="00BC3973"/>
    <w:rsid w:val="00BC4031"/>
    <w:rsid w:val="00BC43F4"/>
    <w:rsid w:val="00BC4530"/>
    <w:rsid w:val="00BC47B2"/>
    <w:rsid w:val="00BC4928"/>
    <w:rsid w:val="00BC49DF"/>
    <w:rsid w:val="00BC4C52"/>
    <w:rsid w:val="00BC4D7F"/>
    <w:rsid w:val="00BC5018"/>
    <w:rsid w:val="00BC521C"/>
    <w:rsid w:val="00BC52F4"/>
    <w:rsid w:val="00BC53DF"/>
    <w:rsid w:val="00BC546F"/>
    <w:rsid w:val="00BC54AD"/>
    <w:rsid w:val="00BC558A"/>
    <w:rsid w:val="00BC60FF"/>
    <w:rsid w:val="00BC611F"/>
    <w:rsid w:val="00BC61B5"/>
    <w:rsid w:val="00BC61D7"/>
    <w:rsid w:val="00BC64D9"/>
    <w:rsid w:val="00BC6569"/>
    <w:rsid w:val="00BC7135"/>
    <w:rsid w:val="00BC75E7"/>
    <w:rsid w:val="00BC7E47"/>
    <w:rsid w:val="00BD0039"/>
    <w:rsid w:val="00BD0913"/>
    <w:rsid w:val="00BD0B23"/>
    <w:rsid w:val="00BD0D54"/>
    <w:rsid w:val="00BD1027"/>
    <w:rsid w:val="00BD187C"/>
    <w:rsid w:val="00BD187F"/>
    <w:rsid w:val="00BD1A9D"/>
    <w:rsid w:val="00BD1B9F"/>
    <w:rsid w:val="00BD1BAA"/>
    <w:rsid w:val="00BD1DA4"/>
    <w:rsid w:val="00BD1FC2"/>
    <w:rsid w:val="00BD24B1"/>
    <w:rsid w:val="00BD25EA"/>
    <w:rsid w:val="00BD29F2"/>
    <w:rsid w:val="00BD2A00"/>
    <w:rsid w:val="00BD3027"/>
    <w:rsid w:val="00BD37FC"/>
    <w:rsid w:val="00BD3829"/>
    <w:rsid w:val="00BD3BBF"/>
    <w:rsid w:val="00BD3C4C"/>
    <w:rsid w:val="00BD3C9E"/>
    <w:rsid w:val="00BD4391"/>
    <w:rsid w:val="00BD4400"/>
    <w:rsid w:val="00BD4543"/>
    <w:rsid w:val="00BD4685"/>
    <w:rsid w:val="00BD4925"/>
    <w:rsid w:val="00BD4CC8"/>
    <w:rsid w:val="00BD4D2A"/>
    <w:rsid w:val="00BD4E9D"/>
    <w:rsid w:val="00BD523C"/>
    <w:rsid w:val="00BD5945"/>
    <w:rsid w:val="00BD59EB"/>
    <w:rsid w:val="00BD5C39"/>
    <w:rsid w:val="00BD5CD7"/>
    <w:rsid w:val="00BD5D9E"/>
    <w:rsid w:val="00BD5DD4"/>
    <w:rsid w:val="00BD6AD6"/>
    <w:rsid w:val="00BD6B75"/>
    <w:rsid w:val="00BD7282"/>
    <w:rsid w:val="00BD7BC4"/>
    <w:rsid w:val="00BD7DFE"/>
    <w:rsid w:val="00BE00CB"/>
    <w:rsid w:val="00BE0824"/>
    <w:rsid w:val="00BE0AD2"/>
    <w:rsid w:val="00BE0CA1"/>
    <w:rsid w:val="00BE14BF"/>
    <w:rsid w:val="00BE1639"/>
    <w:rsid w:val="00BE17B5"/>
    <w:rsid w:val="00BE2195"/>
    <w:rsid w:val="00BE2864"/>
    <w:rsid w:val="00BE289B"/>
    <w:rsid w:val="00BE2ECD"/>
    <w:rsid w:val="00BE314B"/>
    <w:rsid w:val="00BE32C0"/>
    <w:rsid w:val="00BE343D"/>
    <w:rsid w:val="00BE37F8"/>
    <w:rsid w:val="00BE38F0"/>
    <w:rsid w:val="00BE3CC6"/>
    <w:rsid w:val="00BE3DE1"/>
    <w:rsid w:val="00BE4119"/>
    <w:rsid w:val="00BE43D8"/>
    <w:rsid w:val="00BE44C3"/>
    <w:rsid w:val="00BE4667"/>
    <w:rsid w:val="00BE46C8"/>
    <w:rsid w:val="00BE4848"/>
    <w:rsid w:val="00BE4BB1"/>
    <w:rsid w:val="00BE4E83"/>
    <w:rsid w:val="00BE4F9D"/>
    <w:rsid w:val="00BE5100"/>
    <w:rsid w:val="00BE576B"/>
    <w:rsid w:val="00BE592C"/>
    <w:rsid w:val="00BE5BBE"/>
    <w:rsid w:val="00BE5EB5"/>
    <w:rsid w:val="00BE69BD"/>
    <w:rsid w:val="00BE6A87"/>
    <w:rsid w:val="00BE6AEC"/>
    <w:rsid w:val="00BE6B5A"/>
    <w:rsid w:val="00BE6D25"/>
    <w:rsid w:val="00BE6F7D"/>
    <w:rsid w:val="00BE702F"/>
    <w:rsid w:val="00BE7151"/>
    <w:rsid w:val="00BE7448"/>
    <w:rsid w:val="00BE7976"/>
    <w:rsid w:val="00BE7FD8"/>
    <w:rsid w:val="00BF041E"/>
    <w:rsid w:val="00BF0454"/>
    <w:rsid w:val="00BF0880"/>
    <w:rsid w:val="00BF09F1"/>
    <w:rsid w:val="00BF0AE6"/>
    <w:rsid w:val="00BF0DE4"/>
    <w:rsid w:val="00BF1156"/>
    <w:rsid w:val="00BF1346"/>
    <w:rsid w:val="00BF1576"/>
    <w:rsid w:val="00BF1689"/>
    <w:rsid w:val="00BF16E1"/>
    <w:rsid w:val="00BF193E"/>
    <w:rsid w:val="00BF1AD2"/>
    <w:rsid w:val="00BF1BBA"/>
    <w:rsid w:val="00BF1C89"/>
    <w:rsid w:val="00BF1CDB"/>
    <w:rsid w:val="00BF1E38"/>
    <w:rsid w:val="00BF20F5"/>
    <w:rsid w:val="00BF2126"/>
    <w:rsid w:val="00BF242C"/>
    <w:rsid w:val="00BF262E"/>
    <w:rsid w:val="00BF2F3F"/>
    <w:rsid w:val="00BF3064"/>
    <w:rsid w:val="00BF332D"/>
    <w:rsid w:val="00BF3558"/>
    <w:rsid w:val="00BF3904"/>
    <w:rsid w:val="00BF3C93"/>
    <w:rsid w:val="00BF4092"/>
    <w:rsid w:val="00BF439A"/>
    <w:rsid w:val="00BF4595"/>
    <w:rsid w:val="00BF4A82"/>
    <w:rsid w:val="00BF4F02"/>
    <w:rsid w:val="00BF514E"/>
    <w:rsid w:val="00BF51B8"/>
    <w:rsid w:val="00BF5292"/>
    <w:rsid w:val="00BF52BE"/>
    <w:rsid w:val="00BF52D8"/>
    <w:rsid w:val="00BF5ABA"/>
    <w:rsid w:val="00BF5C21"/>
    <w:rsid w:val="00BF639A"/>
    <w:rsid w:val="00BF63C4"/>
    <w:rsid w:val="00BF644F"/>
    <w:rsid w:val="00BF6593"/>
    <w:rsid w:val="00BF6699"/>
    <w:rsid w:val="00BF66E1"/>
    <w:rsid w:val="00BF6753"/>
    <w:rsid w:val="00BF6A8D"/>
    <w:rsid w:val="00BF6B9C"/>
    <w:rsid w:val="00BF7764"/>
    <w:rsid w:val="00BF7F78"/>
    <w:rsid w:val="00C0011D"/>
    <w:rsid w:val="00C00137"/>
    <w:rsid w:val="00C001B3"/>
    <w:rsid w:val="00C003C5"/>
    <w:rsid w:val="00C0044C"/>
    <w:rsid w:val="00C008AA"/>
    <w:rsid w:val="00C010E7"/>
    <w:rsid w:val="00C01390"/>
    <w:rsid w:val="00C01B3A"/>
    <w:rsid w:val="00C01BA8"/>
    <w:rsid w:val="00C01E98"/>
    <w:rsid w:val="00C01EEC"/>
    <w:rsid w:val="00C01EFC"/>
    <w:rsid w:val="00C01FA4"/>
    <w:rsid w:val="00C02CE3"/>
    <w:rsid w:val="00C03395"/>
    <w:rsid w:val="00C03BE5"/>
    <w:rsid w:val="00C03D93"/>
    <w:rsid w:val="00C03EC3"/>
    <w:rsid w:val="00C0415F"/>
    <w:rsid w:val="00C045C8"/>
    <w:rsid w:val="00C04692"/>
    <w:rsid w:val="00C04935"/>
    <w:rsid w:val="00C0502E"/>
    <w:rsid w:val="00C05098"/>
    <w:rsid w:val="00C0527F"/>
    <w:rsid w:val="00C05482"/>
    <w:rsid w:val="00C05771"/>
    <w:rsid w:val="00C05883"/>
    <w:rsid w:val="00C05BBB"/>
    <w:rsid w:val="00C05C9B"/>
    <w:rsid w:val="00C05E51"/>
    <w:rsid w:val="00C05F21"/>
    <w:rsid w:val="00C0616A"/>
    <w:rsid w:val="00C0670E"/>
    <w:rsid w:val="00C06C5A"/>
    <w:rsid w:val="00C06D3A"/>
    <w:rsid w:val="00C06E98"/>
    <w:rsid w:val="00C06F39"/>
    <w:rsid w:val="00C07985"/>
    <w:rsid w:val="00C079B1"/>
    <w:rsid w:val="00C07A50"/>
    <w:rsid w:val="00C07A82"/>
    <w:rsid w:val="00C07B81"/>
    <w:rsid w:val="00C07CB4"/>
    <w:rsid w:val="00C100AB"/>
    <w:rsid w:val="00C100ED"/>
    <w:rsid w:val="00C104A5"/>
    <w:rsid w:val="00C1077B"/>
    <w:rsid w:val="00C108BB"/>
    <w:rsid w:val="00C10F2E"/>
    <w:rsid w:val="00C1107E"/>
    <w:rsid w:val="00C11083"/>
    <w:rsid w:val="00C113D0"/>
    <w:rsid w:val="00C1177E"/>
    <w:rsid w:val="00C117B5"/>
    <w:rsid w:val="00C11A29"/>
    <w:rsid w:val="00C11CA7"/>
    <w:rsid w:val="00C11DB2"/>
    <w:rsid w:val="00C11F7C"/>
    <w:rsid w:val="00C125F7"/>
    <w:rsid w:val="00C12969"/>
    <w:rsid w:val="00C129F9"/>
    <w:rsid w:val="00C12F08"/>
    <w:rsid w:val="00C1308C"/>
    <w:rsid w:val="00C13225"/>
    <w:rsid w:val="00C1347A"/>
    <w:rsid w:val="00C13702"/>
    <w:rsid w:val="00C13C3A"/>
    <w:rsid w:val="00C13F2D"/>
    <w:rsid w:val="00C13FB6"/>
    <w:rsid w:val="00C14247"/>
    <w:rsid w:val="00C14334"/>
    <w:rsid w:val="00C143A8"/>
    <w:rsid w:val="00C1459C"/>
    <w:rsid w:val="00C14C11"/>
    <w:rsid w:val="00C150B3"/>
    <w:rsid w:val="00C153E0"/>
    <w:rsid w:val="00C15533"/>
    <w:rsid w:val="00C1584C"/>
    <w:rsid w:val="00C15959"/>
    <w:rsid w:val="00C1612F"/>
    <w:rsid w:val="00C16135"/>
    <w:rsid w:val="00C164A4"/>
    <w:rsid w:val="00C16578"/>
    <w:rsid w:val="00C1662E"/>
    <w:rsid w:val="00C166E6"/>
    <w:rsid w:val="00C169BE"/>
    <w:rsid w:val="00C17419"/>
    <w:rsid w:val="00C174C1"/>
    <w:rsid w:val="00C178E2"/>
    <w:rsid w:val="00C17F42"/>
    <w:rsid w:val="00C17FFB"/>
    <w:rsid w:val="00C2048E"/>
    <w:rsid w:val="00C205C2"/>
    <w:rsid w:val="00C207F1"/>
    <w:rsid w:val="00C209BB"/>
    <w:rsid w:val="00C20AC8"/>
    <w:rsid w:val="00C20C7C"/>
    <w:rsid w:val="00C20D64"/>
    <w:rsid w:val="00C20DAB"/>
    <w:rsid w:val="00C21143"/>
    <w:rsid w:val="00C213FC"/>
    <w:rsid w:val="00C21751"/>
    <w:rsid w:val="00C21BC8"/>
    <w:rsid w:val="00C21BF2"/>
    <w:rsid w:val="00C220B3"/>
    <w:rsid w:val="00C22108"/>
    <w:rsid w:val="00C221E3"/>
    <w:rsid w:val="00C22A04"/>
    <w:rsid w:val="00C22A5E"/>
    <w:rsid w:val="00C22B32"/>
    <w:rsid w:val="00C22CF8"/>
    <w:rsid w:val="00C230CE"/>
    <w:rsid w:val="00C23114"/>
    <w:rsid w:val="00C2323A"/>
    <w:rsid w:val="00C233D7"/>
    <w:rsid w:val="00C2360B"/>
    <w:rsid w:val="00C2426B"/>
    <w:rsid w:val="00C24387"/>
    <w:rsid w:val="00C246EC"/>
    <w:rsid w:val="00C2485E"/>
    <w:rsid w:val="00C249D3"/>
    <w:rsid w:val="00C25030"/>
    <w:rsid w:val="00C2520A"/>
    <w:rsid w:val="00C257F6"/>
    <w:rsid w:val="00C25AC2"/>
    <w:rsid w:val="00C26350"/>
    <w:rsid w:val="00C266D1"/>
    <w:rsid w:val="00C26F8B"/>
    <w:rsid w:val="00C27279"/>
    <w:rsid w:val="00C27399"/>
    <w:rsid w:val="00C27A4B"/>
    <w:rsid w:val="00C27CD1"/>
    <w:rsid w:val="00C3014D"/>
    <w:rsid w:val="00C3027B"/>
    <w:rsid w:val="00C307A6"/>
    <w:rsid w:val="00C308B8"/>
    <w:rsid w:val="00C3091F"/>
    <w:rsid w:val="00C30B90"/>
    <w:rsid w:val="00C30BEC"/>
    <w:rsid w:val="00C30ED5"/>
    <w:rsid w:val="00C30FF1"/>
    <w:rsid w:val="00C3189F"/>
    <w:rsid w:val="00C31937"/>
    <w:rsid w:val="00C31A42"/>
    <w:rsid w:val="00C31C3C"/>
    <w:rsid w:val="00C31ED1"/>
    <w:rsid w:val="00C31FAC"/>
    <w:rsid w:val="00C32073"/>
    <w:rsid w:val="00C32315"/>
    <w:rsid w:val="00C32366"/>
    <w:rsid w:val="00C323C2"/>
    <w:rsid w:val="00C328C8"/>
    <w:rsid w:val="00C32A1B"/>
    <w:rsid w:val="00C32D55"/>
    <w:rsid w:val="00C33080"/>
    <w:rsid w:val="00C3369E"/>
    <w:rsid w:val="00C3389F"/>
    <w:rsid w:val="00C33B17"/>
    <w:rsid w:val="00C33C90"/>
    <w:rsid w:val="00C33D32"/>
    <w:rsid w:val="00C33D49"/>
    <w:rsid w:val="00C33FFF"/>
    <w:rsid w:val="00C34048"/>
    <w:rsid w:val="00C349CF"/>
    <w:rsid w:val="00C34B0B"/>
    <w:rsid w:val="00C34B72"/>
    <w:rsid w:val="00C34C18"/>
    <w:rsid w:val="00C34CBE"/>
    <w:rsid w:val="00C34D1A"/>
    <w:rsid w:val="00C34FDD"/>
    <w:rsid w:val="00C35249"/>
    <w:rsid w:val="00C352B2"/>
    <w:rsid w:val="00C358FD"/>
    <w:rsid w:val="00C35903"/>
    <w:rsid w:val="00C35DCA"/>
    <w:rsid w:val="00C36256"/>
    <w:rsid w:val="00C368E6"/>
    <w:rsid w:val="00C376AB"/>
    <w:rsid w:val="00C376AF"/>
    <w:rsid w:val="00C377F1"/>
    <w:rsid w:val="00C37BF0"/>
    <w:rsid w:val="00C37CD2"/>
    <w:rsid w:val="00C401E5"/>
    <w:rsid w:val="00C4086F"/>
    <w:rsid w:val="00C40BF5"/>
    <w:rsid w:val="00C40E04"/>
    <w:rsid w:val="00C40FE9"/>
    <w:rsid w:val="00C4102B"/>
    <w:rsid w:val="00C415BB"/>
    <w:rsid w:val="00C415C5"/>
    <w:rsid w:val="00C41693"/>
    <w:rsid w:val="00C418C0"/>
    <w:rsid w:val="00C41A54"/>
    <w:rsid w:val="00C41AD0"/>
    <w:rsid w:val="00C41EA4"/>
    <w:rsid w:val="00C422D2"/>
    <w:rsid w:val="00C42329"/>
    <w:rsid w:val="00C423A3"/>
    <w:rsid w:val="00C424AA"/>
    <w:rsid w:val="00C42ADC"/>
    <w:rsid w:val="00C42C55"/>
    <w:rsid w:val="00C430FC"/>
    <w:rsid w:val="00C431E2"/>
    <w:rsid w:val="00C435A1"/>
    <w:rsid w:val="00C436F7"/>
    <w:rsid w:val="00C437D0"/>
    <w:rsid w:val="00C43887"/>
    <w:rsid w:val="00C4396C"/>
    <w:rsid w:val="00C439BE"/>
    <w:rsid w:val="00C44302"/>
    <w:rsid w:val="00C44458"/>
    <w:rsid w:val="00C444A5"/>
    <w:rsid w:val="00C44841"/>
    <w:rsid w:val="00C4496E"/>
    <w:rsid w:val="00C4511A"/>
    <w:rsid w:val="00C45163"/>
    <w:rsid w:val="00C45405"/>
    <w:rsid w:val="00C45839"/>
    <w:rsid w:val="00C45B4D"/>
    <w:rsid w:val="00C45E53"/>
    <w:rsid w:val="00C4675A"/>
    <w:rsid w:val="00C46A8C"/>
    <w:rsid w:val="00C47157"/>
    <w:rsid w:val="00C47183"/>
    <w:rsid w:val="00C47AAD"/>
    <w:rsid w:val="00C47B67"/>
    <w:rsid w:val="00C47B70"/>
    <w:rsid w:val="00C47BC1"/>
    <w:rsid w:val="00C47CF5"/>
    <w:rsid w:val="00C47F0A"/>
    <w:rsid w:val="00C501A5"/>
    <w:rsid w:val="00C50335"/>
    <w:rsid w:val="00C50C9D"/>
    <w:rsid w:val="00C50E63"/>
    <w:rsid w:val="00C5107F"/>
    <w:rsid w:val="00C510C0"/>
    <w:rsid w:val="00C511D8"/>
    <w:rsid w:val="00C51260"/>
    <w:rsid w:val="00C5163E"/>
    <w:rsid w:val="00C51BBB"/>
    <w:rsid w:val="00C51BEF"/>
    <w:rsid w:val="00C51CDF"/>
    <w:rsid w:val="00C51D34"/>
    <w:rsid w:val="00C51DD1"/>
    <w:rsid w:val="00C52124"/>
    <w:rsid w:val="00C522B5"/>
    <w:rsid w:val="00C52679"/>
    <w:rsid w:val="00C526AC"/>
    <w:rsid w:val="00C52A3C"/>
    <w:rsid w:val="00C52E6F"/>
    <w:rsid w:val="00C52ED0"/>
    <w:rsid w:val="00C53090"/>
    <w:rsid w:val="00C5318B"/>
    <w:rsid w:val="00C53AD8"/>
    <w:rsid w:val="00C53CA9"/>
    <w:rsid w:val="00C54018"/>
    <w:rsid w:val="00C54194"/>
    <w:rsid w:val="00C542B4"/>
    <w:rsid w:val="00C54566"/>
    <w:rsid w:val="00C5462A"/>
    <w:rsid w:val="00C546EB"/>
    <w:rsid w:val="00C547AD"/>
    <w:rsid w:val="00C54C00"/>
    <w:rsid w:val="00C54CC2"/>
    <w:rsid w:val="00C54F32"/>
    <w:rsid w:val="00C55086"/>
    <w:rsid w:val="00C55132"/>
    <w:rsid w:val="00C551D1"/>
    <w:rsid w:val="00C555BC"/>
    <w:rsid w:val="00C55689"/>
    <w:rsid w:val="00C55A9C"/>
    <w:rsid w:val="00C55C3B"/>
    <w:rsid w:val="00C56273"/>
    <w:rsid w:val="00C5639A"/>
    <w:rsid w:val="00C56C01"/>
    <w:rsid w:val="00C57812"/>
    <w:rsid w:val="00C57972"/>
    <w:rsid w:val="00C57A16"/>
    <w:rsid w:val="00C57A93"/>
    <w:rsid w:val="00C57CE7"/>
    <w:rsid w:val="00C60907"/>
    <w:rsid w:val="00C60A88"/>
    <w:rsid w:val="00C60AAA"/>
    <w:rsid w:val="00C60E51"/>
    <w:rsid w:val="00C61088"/>
    <w:rsid w:val="00C61811"/>
    <w:rsid w:val="00C61CF2"/>
    <w:rsid w:val="00C61D0A"/>
    <w:rsid w:val="00C61D66"/>
    <w:rsid w:val="00C61E03"/>
    <w:rsid w:val="00C61E18"/>
    <w:rsid w:val="00C62283"/>
    <w:rsid w:val="00C62345"/>
    <w:rsid w:val="00C62680"/>
    <w:rsid w:val="00C626ED"/>
    <w:rsid w:val="00C627CB"/>
    <w:rsid w:val="00C627D4"/>
    <w:rsid w:val="00C628FA"/>
    <w:rsid w:val="00C62A6D"/>
    <w:rsid w:val="00C62C1F"/>
    <w:rsid w:val="00C62D50"/>
    <w:rsid w:val="00C633E9"/>
    <w:rsid w:val="00C639AF"/>
    <w:rsid w:val="00C63BF7"/>
    <w:rsid w:val="00C64B02"/>
    <w:rsid w:val="00C64D67"/>
    <w:rsid w:val="00C64E02"/>
    <w:rsid w:val="00C650B4"/>
    <w:rsid w:val="00C6608D"/>
    <w:rsid w:val="00C663F9"/>
    <w:rsid w:val="00C66711"/>
    <w:rsid w:val="00C66714"/>
    <w:rsid w:val="00C6709F"/>
    <w:rsid w:val="00C673BE"/>
    <w:rsid w:val="00C67450"/>
    <w:rsid w:val="00C676F8"/>
    <w:rsid w:val="00C67E66"/>
    <w:rsid w:val="00C67EB5"/>
    <w:rsid w:val="00C701A5"/>
    <w:rsid w:val="00C7055A"/>
    <w:rsid w:val="00C705B9"/>
    <w:rsid w:val="00C708EA"/>
    <w:rsid w:val="00C70E06"/>
    <w:rsid w:val="00C710F0"/>
    <w:rsid w:val="00C7115E"/>
    <w:rsid w:val="00C7119D"/>
    <w:rsid w:val="00C71261"/>
    <w:rsid w:val="00C71594"/>
    <w:rsid w:val="00C71A41"/>
    <w:rsid w:val="00C71AEF"/>
    <w:rsid w:val="00C71B43"/>
    <w:rsid w:val="00C72175"/>
    <w:rsid w:val="00C723B4"/>
    <w:rsid w:val="00C7279C"/>
    <w:rsid w:val="00C72A4F"/>
    <w:rsid w:val="00C72BF5"/>
    <w:rsid w:val="00C72F1C"/>
    <w:rsid w:val="00C730C4"/>
    <w:rsid w:val="00C73586"/>
    <w:rsid w:val="00C73844"/>
    <w:rsid w:val="00C73C7E"/>
    <w:rsid w:val="00C7427A"/>
    <w:rsid w:val="00C74328"/>
    <w:rsid w:val="00C743CD"/>
    <w:rsid w:val="00C74573"/>
    <w:rsid w:val="00C74BA5"/>
    <w:rsid w:val="00C74F5B"/>
    <w:rsid w:val="00C74F77"/>
    <w:rsid w:val="00C74F8F"/>
    <w:rsid w:val="00C75052"/>
    <w:rsid w:val="00C75076"/>
    <w:rsid w:val="00C7574D"/>
    <w:rsid w:val="00C75894"/>
    <w:rsid w:val="00C759EF"/>
    <w:rsid w:val="00C75AC2"/>
    <w:rsid w:val="00C75C6C"/>
    <w:rsid w:val="00C760AA"/>
    <w:rsid w:val="00C76733"/>
    <w:rsid w:val="00C76B0F"/>
    <w:rsid w:val="00C77015"/>
    <w:rsid w:val="00C7716C"/>
    <w:rsid w:val="00C77432"/>
    <w:rsid w:val="00C77675"/>
    <w:rsid w:val="00C77847"/>
    <w:rsid w:val="00C778CF"/>
    <w:rsid w:val="00C77CB4"/>
    <w:rsid w:val="00C77E7E"/>
    <w:rsid w:val="00C8003F"/>
    <w:rsid w:val="00C80F4A"/>
    <w:rsid w:val="00C80F8B"/>
    <w:rsid w:val="00C81607"/>
    <w:rsid w:val="00C816DF"/>
    <w:rsid w:val="00C817EA"/>
    <w:rsid w:val="00C81C4E"/>
    <w:rsid w:val="00C81EE7"/>
    <w:rsid w:val="00C822D0"/>
    <w:rsid w:val="00C82338"/>
    <w:rsid w:val="00C824C2"/>
    <w:rsid w:val="00C8267D"/>
    <w:rsid w:val="00C828BD"/>
    <w:rsid w:val="00C82983"/>
    <w:rsid w:val="00C82DA9"/>
    <w:rsid w:val="00C831F1"/>
    <w:rsid w:val="00C832A1"/>
    <w:rsid w:val="00C8399F"/>
    <w:rsid w:val="00C84134"/>
    <w:rsid w:val="00C843FE"/>
    <w:rsid w:val="00C84894"/>
    <w:rsid w:val="00C84FC7"/>
    <w:rsid w:val="00C85335"/>
    <w:rsid w:val="00C85543"/>
    <w:rsid w:val="00C85847"/>
    <w:rsid w:val="00C85AE0"/>
    <w:rsid w:val="00C85DF2"/>
    <w:rsid w:val="00C85E07"/>
    <w:rsid w:val="00C85ED2"/>
    <w:rsid w:val="00C85FC6"/>
    <w:rsid w:val="00C86579"/>
    <w:rsid w:val="00C86793"/>
    <w:rsid w:val="00C86815"/>
    <w:rsid w:val="00C868A9"/>
    <w:rsid w:val="00C86AAE"/>
    <w:rsid w:val="00C86F87"/>
    <w:rsid w:val="00C87007"/>
    <w:rsid w:val="00C874D3"/>
    <w:rsid w:val="00C87563"/>
    <w:rsid w:val="00C875A7"/>
    <w:rsid w:val="00C87669"/>
    <w:rsid w:val="00C87B1A"/>
    <w:rsid w:val="00C87E3A"/>
    <w:rsid w:val="00C87E77"/>
    <w:rsid w:val="00C87EA0"/>
    <w:rsid w:val="00C902CE"/>
    <w:rsid w:val="00C90C0B"/>
    <w:rsid w:val="00C9149B"/>
    <w:rsid w:val="00C92842"/>
    <w:rsid w:val="00C928E5"/>
    <w:rsid w:val="00C929C7"/>
    <w:rsid w:val="00C929F3"/>
    <w:rsid w:val="00C93139"/>
    <w:rsid w:val="00C93174"/>
    <w:rsid w:val="00C932FA"/>
    <w:rsid w:val="00C93856"/>
    <w:rsid w:val="00C93997"/>
    <w:rsid w:val="00C93BA1"/>
    <w:rsid w:val="00C93C00"/>
    <w:rsid w:val="00C93D76"/>
    <w:rsid w:val="00C94D17"/>
    <w:rsid w:val="00C94DCC"/>
    <w:rsid w:val="00C94EE2"/>
    <w:rsid w:val="00C95005"/>
    <w:rsid w:val="00C9533A"/>
    <w:rsid w:val="00C95507"/>
    <w:rsid w:val="00C956B3"/>
    <w:rsid w:val="00C958F4"/>
    <w:rsid w:val="00C95A2B"/>
    <w:rsid w:val="00C95FF7"/>
    <w:rsid w:val="00C960B8"/>
    <w:rsid w:val="00C96275"/>
    <w:rsid w:val="00C962C6"/>
    <w:rsid w:val="00C96F7D"/>
    <w:rsid w:val="00C973C5"/>
    <w:rsid w:val="00C97673"/>
    <w:rsid w:val="00C97D51"/>
    <w:rsid w:val="00C97DB5"/>
    <w:rsid w:val="00CA013A"/>
    <w:rsid w:val="00CA0273"/>
    <w:rsid w:val="00CA0580"/>
    <w:rsid w:val="00CA08D3"/>
    <w:rsid w:val="00CA0939"/>
    <w:rsid w:val="00CA0975"/>
    <w:rsid w:val="00CA0B0D"/>
    <w:rsid w:val="00CA0D72"/>
    <w:rsid w:val="00CA0F5F"/>
    <w:rsid w:val="00CA1163"/>
    <w:rsid w:val="00CA1484"/>
    <w:rsid w:val="00CA17D0"/>
    <w:rsid w:val="00CA19AC"/>
    <w:rsid w:val="00CA1BC7"/>
    <w:rsid w:val="00CA1BEA"/>
    <w:rsid w:val="00CA1C7F"/>
    <w:rsid w:val="00CA24CA"/>
    <w:rsid w:val="00CA2547"/>
    <w:rsid w:val="00CA27C4"/>
    <w:rsid w:val="00CA29E6"/>
    <w:rsid w:val="00CA2EA2"/>
    <w:rsid w:val="00CA318D"/>
    <w:rsid w:val="00CA32A2"/>
    <w:rsid w:val="00CA33AC"/>
    <w:rsid w:val="00CA33E5"/>
    <w:rsid w:val="00CA351C"/>
    <w:rsid w:val="00CA399D"/>
    <w:rsid w:val="00CA3A9E"/>
    <w:rsid w:val="00CA3F6C"/>
    <w:rsid w:val="00CA40D2"/>
    <w:rsid w:val="00CA417A"/>
    <w:rsid w:val="00CA423B"/>
    <w:rsid w:val="00CA428F"/>
    <w:rsid w:val="00CA453E"/>
    <w:rsid w:val="00CA4B0E"/>
    <w:rsid w:val="00CA4B5D"/>
    <w:rsid w:val="00CA4E28"/>
    <w:rsid w:val="00CA4EF7"/>
    <w:rsid w:val="00CA5705"/>
    <w:rsid w:val="00CA5940"/>
    <w:rsid w:val="00CA5A1F"/>
    <w:rsid w:val="00CA5E51"/>
    <w:rsid w:val="00CA659E"/>
    <w:rsid w:val="00CA66CE"/>
    <w:rsid w:val="00CA676F"/>
    <w:rsid w:val="00CA6E2E"/>
    <w:rsid w:val="00CA6F8D"/>
    <w:rsid w:val="00CA7005"/>
    <w:rsid w:val="00CA79E5"/>
    <w:rsid w:val="00CA7C6F"/>
    <w:rsid w:val="00CA7F02"/>
    <w:rsid w:val="00CB0025"/>
    <w:rsid w:val="00CB0052"/>
    <w:rsid w:val="00CB028D"/>
    <w:rsid w:val="00CB038A"/>
    <w:rsid w:val="00CB07C6"/>
    <w:rsid w:val="00CB08C6"/>
    <w:rsid w:val="00CB09A4"/>
    <w:rsid w:val="00CB0A69"/>
    <w:rsid w:val="00CB0DD9"/>
    <w:rsid w:val="00CB12D4"/>
    <w:rsid w:val="00CB1448"/>
    <w:rsid w:val="00CB165F"/>
    <w:rsid w:val="00CB168D"/>
    <w:rsid w:val="00CB18A6"/>
    <w:rsid w:val="00CB1C72"/>
    <w:rsid w:val="00CB1DAA"/>
    <w:rsid w:val="00CB22B7"/>
    <w:rsid w:val="00CB2316"/>
    <w:rsid w:val="00CB24C8"/>
    <w:rsid w:val="00CB251E"/>
    <w:rsid w:val="00CB268D"/>
    <w:rsid w:val="00CB26AF"/>
    <w:rsid w:val="00CB2EE9"/>
    <w:rsid w:val="00CB2F70"/>
    <w:rsid w:val="00CB3085"/>
    <w:rsid w:val="00CB32DC"/>
    <w:rsid w:val="00CB3410"/>
    <w:rsid w:val="00CB3920"/>
    <w:rsid w:val="00CB3DB9"/>
    <w:rsid w:val="00CB4859"/>
    <w:rsid w:val="00CB4877"/>
    <w:rsid w:val="00CB4BA6"/>
    <w:rsid w:val="00CB4C37"/>
    <w:rsid w:val="00CB4CA5"/>
    <w:rsid w:val="00CB4EF0"/>
    <w:rsid w:val="00CB4F7A"/>
    <w:rsid w:val="00CB5D32"/>
    <w:rsid w:val="00CB5ED1"/>
    <w:rsid w:val="00CB5EFA"/>
    <w:rsid w:val="00CB5F6A"/>
    <w:rsid w:val="00CB619F"/>
    <w:rsid w:val="00CB6362"/>
    <w:rsid w:val="00CB67A8"/>
    <w:rsid w:val="00CB681A"/>
    <w:rsid w:val="00CB68D9"/>
    <w:rsid w:val="00CB6CAD"/>
    <w:rsid w:val="00CB6D00"/>
    <w:rsid w:val="00CB6DE1"/>
    <w:rsid w:val="00CB6F18"/>
    <w:rsid w:val="00CB707C"/>
    <w:rsid w:val="00CB74A8"/>
    <w:rsid w:val="00CB78AA"/>
    <w:rsid w:val="00CB7DC9"/>
    <w:rsid w:val="00CB7FDE"/>
    <w:rsid w:val="00CC0035"/>
    <w:rsid w:val="00CC0163"/>
    <w:rsid w:val="00CC0175"/>
    <w:rsid w:val="00CC027E"/>
    <w:rsid w:val="00CC029D"/>
    <w:rsid w:val="00CC0380"/>
    <w:rsid w:val="00CC0433"/>
    <w:rsid w:val="00CC045F"/>
    <w:rsid w:val="00CC04A6"/>
    <w:rsid w:val="00CC06A4"/>
    <w:rsid w:val="00CC0773"/>
    <w:rsid w:val="00CC08CF"/>
    <w:rsid w:val="00CC098B"/>
    <w:rsid w:val="00CC0AC6"/>
    <w:rsid w:val="00CC13B1"/>
    <w:rsid w:val="00CC16C1"/>
    <w:rsid w:val="00CC1933"/>
    <w:rsid w:val="00CC201C"/>
    <w:rsid w:val="00CC265E"/>
    <w:rsid w:val="00CC283B"/>
    <w:rsid w:val="00CC2ECC"/>
    <w:rsid w:val="00CC2F49"/>
    <w:rsid w:val="00CC3047"/>
    <w:rsid w:val="00CC320B"/>
    <w:rsid w:val="00CC371B"/>
    <w:rsid w:val="00CC3799"/>
    <w:rsid w:val="00CC3B46"/>
    <w:rsid w:val="00CC3BC7"/>
    <w:rsid w:val="00CC3E35"/>
    <w:rsid w:val="00CC4036"/>
    <w:rsid w:val="00CC448C"/>
    <w:rsid w:val="00CC48E6"/>
    <w:rsid w:val="00CC492D"/>
    <w:rsid w:val="00CC52CC"/>
    <w:rsid w:val="00CC5679"/>
    <w:rsid w:val="00CC5867"/>
    <w:rsid w:val="00CC59BE"/>
    <w:rsid w:val="00CC5AE4"/>
    <w:rsid w:val="00CC5B2C"/>
    <w:rsid w:val="00CC6847"/>
    <w:rsid w:val="00CC6B9E"/>
    <w:rsid w:val="00CC6CD6"/>
    <w:rsid w:val="00CC6CFA"/>
    <w:rsid w:val="00CC7121"/>
    <w:rsid w:val="00CC74B7"/>
    <w:rsid w:val="00CC75F3"/>
    <w:rsid w:val="00CC7B5D"/>
    <w:rsid w:val="00CC7C8C"/>
    <w:rsid w:val="00CC7DA7"/>
    <w:rsid w:val="00CD002C"/>
    <w:rsid w:val="00CD0047"/>
    <w:rsid w:val="00CD0377"/>
    <w:rsid w:val="00CD0B62"/>
    <w:rsid w:val="00CD193C"/>
    <w:rsid w:val="00CD1AA7"/>
    <w:rsid w:val="00CD1AEA"/>
    <w:rsid w:val="00CD1D9C"/>
    <w:rsid w:val="00CD1EA1"/>
    <w:rsid w:val="00CD2075"/>
    <w:rsid w:val="00CD223F"/>
    <w:rsid w:val="00CD259F"/>
    <w:rsid w:val="00CD2684"/>
    <w:rsid w:val="00CD2CF7"/>
    <w:rsid w:val="00CD2D05"/>
    <w:rsid w:val="00CD2E9C"/>
    <w:rsid w:val="00CD31C1"/>
    <w:rsid w:val="00CD352D"/>
    <w:rsid w:val="00CD386E"/>
    <w:rsid w:val="00CD3B84"/>
    <w:rsid w:val="00CD3C50"/>
    <w:rsid w:val="00CD3C65"/>
    <w:rsid w:val="00CD40C0"/>
    <w:rsid w:val="00CD4164"/>
    <w:rsid w:val="00CD41ED"/>
    <w:rsid w:val="00CD438A"/>
    <w:rsid w:val="00CD443D"/>
    <w:rsid w:val="00CD4645"/>
    <w:rsid w:val="00CD4A25"/>
    <w:rsid w:val="00CD4D77"/>
    <w:rsid w:val="00CD4DC2"/>
    <w:rsid w:val="00CD4EBD"/>
    <w:rsid w:val="00CD51A1"/>
    <w:rsid w:val="00CD557C"/>
    <w:rsid w:val="00CD586D"/>
    <w:rsid w:val="00CD5F03"/>
    <w:rsid w:val="00CD6012"/>
    <w:rsid w:val="00CD6753"/>
    <w:rsid w:val="00CD6A9C"/>
    <w:rsid w:val="00CD6B93"/>
    <w:rsid w:val="00CD6CF1"/>
    <w:rsid w:val="00CD6EA3"/>
    <w:rsid w:val="00CD6F66"/>
    <w:rsid w:val="00CD7007"/>
    <w:rsid w:val="00CD736F"/>
    <w:rsid w:val="00CD74DC"/>
    <w:rsid w:val="00CD754F"/>
    <w:rsid w:val="00CD7636"/>
    <w:rsid w:val="00CD7869"/>
    <w:rsid w:val="00CD7B13"/>
    <w:rsid w:val="00CD7B36"/>
    <w:rsid w:val="00CD7D60"/>
    <w:rsid w:val="00CD7E23"/>
    <w:rsid w:val="00CE0488"/>
    <w:rsid w:val="00CE0943"/>
    <w:rsid w:val="00CE0997"/>
    <w:rsid w:val="00CE0AC1"/>
    <w:rsid w:val="00CE0C02"/>
    <w:rsid w:val="00CE0D75"/>
    <w:rsid w:val="00CE0EBC"/>
    <w:rsid w:val="00CE14D8"/>
    <w:rsid w:val="00CE1578"/>
    <w:rsid w:val="00CE176B"/>
    <w:rsid w:val="00CE184E"/>
    <w:rsid w:val="00CE1859"/>
    <w:rsid w:val="00CE185D"/>
    <w:rsid w:val="00CE19D9"/>
    <w:rsid w:val="00CE1CF7"/>
    <w:rsid w:val="00CE1D38"/>
    <w:rsid w:val="00CE1EE4"/>
    <w:rsid w:val="00CE213F"/>
    <w:rsid w:val="00CE21AF"/>
    <w:rsid w:val="00CE2602"/>
    <w:rsid w:val="00CE2BE6"/>
    <w:rsid w:val="00CE2D1C"/>
    <w:rsid w:val="00CE2FBA"/>
    <w:rsid w:val="00CE32BD"/>
    <w:rsid w:val="00CE37CF"/>
    <w:rsid w:val="00CE37DD"/>
    <w:rsid w:val="00CE3881"/>
    <w:rsid w:val="00CE444A"/>
    <w:rsid w:val="00CE469A"/>
    <w:rsid w:val="00CE4C35"/>
    <w:rsid w:val="00CE4D26"/>
    <w:rsid w:val="00CE5BC7"/>
    <w:rsid w:val="00CE6A68"/>
    <w:rsid w:val="00CE6DF6"/>
    <w:rsid w:val="00CE7110"/>
    <w:rsid w:val="00CE7756"/>
    <w:rsid w:val="00CE7990"/>
    <w:rsid w:val="00CE7A78"/>
    <w:rsid w:val="00CE7FD2"/>
    <w:rsid w:val="00CF011E"/>
    <w:rsid w:val="00CF04F4"/>
    <w:rsid w:val="00CF0AEF"/>
    <w:rsid w:val="00CF0E0B"/>
    <w:rsid w:val="00CF0F69"/>
    <w:rsid w:val="00CF1154"/>
    <w:rsid w:val="00CF135B"/>
    <w:rsid w:val="00CF1741"/>
    <w:rsid w:val="00CF177C"/>
    <w:rsid w:val="00CF17D4"/>
    <w:rsid w:val="00CF1857"/>
    <w:rsid w:val="00CF1893"/>
    <w:rsid w:val="00CF1A19"/>
    <w:rsid w:val="00CF1AF8"/>
    <w:rsid w:val="00CF1B67"/>
    <w:rsid w:val="00CF225B"/>
    <w:rsid w:val="00CF2592"/>
    <w:rsid w:val="00CF2906"/>
    <w:rsid w:val="00CF2A7A"/>
    <w:rsid w:val="00CF2F0E"/>
    <w:rsid w:val="00CF3658"/>
    <w:rsid w:val="00CF368F"/>
    <w:rsid w:val="00CF3D39"/>
    <w:rsid w:val="00CF3E2B"/>
    <w:rsid w:val="00CF3ECC"/>
    <w:rsid w:val="00CF3FCE"/>
    <w:rsid w:val="00CF4214"/>
    <w:rsid w:val="00CF430B"/>
    <w:rsid w:val="00CF467D"/>
    <w:rsid w:val="00CF4725"/>
    <w:rsid w:val="00CF4A50"/>
    <w:rsid w:val="00CF4AB6"/>
    <w:rsid w:val="00CF5018"/>
    <w:rsid w:val="00CF528D"/>
    <w:rsid w:val="00CF542F"/>
    <w:rsid w:val="00CF55D6"/>
    <w:rsid w:val="00CF5C64"/>
    <w:rsid w:val="00CF5F06"/>
    <w:rsid w:val="00CF676F"/>
    <w:rsid w:val="00CF6877"/>
    <w:rsid w:val="00CF698B"/>
    <w:rsid w:val="00CF6BF4"/>
    <w:rsid w:val="00CF7B5A"/>
    <w:rsid w:val="00CF7BA0"/>
    <w:rsid w:val="00CF7E2C"/>
    <w:rsid w:val="00CF7F25"/>
    <w:rsid w:val="00CF7F49"/>
    <w:rsid w:val="00CF7FF6"/>
    <w:rsid w:val="00D000B6"/>
    <w:rsid w:val="00D004BA"/>
    <w:rsid w:val="00D004CD"/>
    <w:rsid w:val="00D005ED"/>
    <w:rsid w:val="00D0098D"/>
    <w:rsid w:val="00D00B7F"/>
    <w:rsid w:val="00D00C69"/>
    <w:rsid w:val="00D00CC6"/>
    <w:rsid w:val="00D00FF8"/>
    <w:rsid w:val="00D017FF"/>
    <w:rsid w:val="00D01A67"/>
    <w:rsid w:val="00D01D10"/>
    <w:rsid w:val="00D01D35"/>
    <w:rsid w:val="00D01DC6"/>
    <w:rsid w:val="00D0251D"/>
    <w:rsid w:val="00D02744"/>
    <w:rsid w:val="00D03952"/>
    <w:rsid w:val="00D03977"/>
    <w:rsid w:val="00D03F79"/>
    <w:rsid w:val="00D04268"/>
    <w:rsid w:val="00D04CB4"/>
    <w:rsid w:val="00D04DF3"/>
    <w:rsid w:val="00D04E10"/>
    <w:rsid w:val="00D04E1D"/>
    <w:rsid w:val="00D05280"/>
    <w:rsid w:val="00D054EA"/>
    <w:rsid w:val="00D0579E"/>
    <w:rsid w:val="00D05C66"/>
    <w:rsid w:val="00D05DB2"/>
    <w:rsid w:val="00D05E68"/>
    <w:rsid w:val="00D05F62"/>
    <w:rsid w:val="00D0644F"/>
    <w:rsid w:val="00D064A8"/>
    <w:rsid w:val="00D06614"/>
    <w:rsid w:val="00D068A4"/>
    <w:rsid w:val="00D06D79"/>
    <w:rsid w:val="00D06FFF"/>
    <w:rsid w:val="00D071D3"/>
    <w:rsid w:val="00D07262"/>
    <w:rsid w:val="00D073DE"/>
    <w:rsid w:val="00D07639"/>
    <w:rsid w:val="00D07676"/>
    <w:rsid w:val="00D078BF"/>
    <w:rsid w:val="00D079F5"/>
    <w:rsid w:val="00D07CD5"/>
    <w:rsid w:val="00D07E5B"/>
    <w:rsid w:val="00D100FE"/>
    <w:rsid w:val="00D10726"/>
    <w:rsid w:val="00D1095A"/>
    <w:rsid w:val="00D10B97"/>
    <w:rsid w:val="00D10C25"/>
    <w:rsid w:val="00D11297"/>
    <w:rsid w:val="00D112A3"/>
    <w:rsid w:val="00D1186A"/>
    <w:rsid w:val="00D1197C"/>
    <w:rsid w:val="00D11A0C"/>
    <w:rsid w:val="00D12247"/>
    <w:rsid w:val="00D12259"/>
    <w:rsid w:val="00D12763"/>
    <w:rsid w:val="00D12778"/>
    <w:rsid w:val="00D129BB"/>
    <w:rsid w:val="00D129EB"/>
    <w:rsid w:val="00D12B7B"/>
    <w:rsid w:val="00D12C76"/>
    <w:rsid w:val="00D12CE6"/>
    <w:rsid w:val="00D12ED7"/>
    <w:rsid w:val="00D1305B"/>
    <w:rsid w:val="00D132FA"/>
    <w:rsid w:val="00D1334B"/>
    <w:rsid w:val="00D1341D"/>
    <w:rsid w:val="00D1364E"/>
    <w:rsid w:val="00D1383D"/>
    <w:rsid w:val="00D13995"/>
    <w:rsid w:val="00D13BC4"/>
    <w:rsid w:val="00D13C86"/>
    <w:rsid w:val="00D13F59"/>
    <w:rsid w:val="00D14619"/>
    <w:rsid w:val="00D14898"/>
    <w:rsid w:val="00D14D08"/>
    <w:rsid w:val="00D15677"/>
    <w:rsid w:val="00D15D0C"/>
    <w:rsid w:val="00D1624A"/>
    <w:rsid w:val="00D16448"/>
    <w:rsid w:val="00D16538"/>
    <w:rsid w:val="00D1657B"/>
    <w:rsid w:val="00D1661C"/>
    <w:rsid w:val="00D167E6"/>
    <w:rsid w:val="00D16950"/>
    <w:rsid w:val="00D16BF6"/>
    <w:rsid w:val="00D16EEC"/>
    <w:rsid w:val="00D16EF0"/>
    <w:rsid w:val="00D170E9"/>
    <w:rsid w:val="00D174F0"/>
    <w:rsid w:val="00D17DED"/>
    <w:rsid w:val="00D17FE6"/>
    <w:rsid w:val="00D20004"/>
    <w:rsid w:val="00D20224"/>
    <w:rsid w:val="00D205E3"/>
    <w:rsid w:val="00D206A4"/>
    <w:rsid w:val="00D20932"/>
    <w:rsid w:val="00D20ABE"/>
    <w:rsid w:val="00D21718"/>
    <w:rsid w:val="00D21A53"/>
    <w:rsid w:val="00D21B6D"/>
    <w:rsid w:val="00D221F0"/>
    <w:rsid w:val="00D223BF"/>
    <w:rsid w:val="00D22784"/>
    <w:rsid w:val="00D229EC"/>
    <w:rsid w:val="00D22F94"/>
    <w:rsid w:val="00D23911"/>
    <w:rsid w:val="00D23EAD"/>
    <w:rsid w:val="00D23F27"/>
    <w:rsid w:val="00D24140"/>
    <w:rsid w:val="00D2428D"/>
    <w:rsid w:val="00D24662"/>
    <w:rsid w:val="00D2482D"/>
    <w:rsid w:val="00D2484B"/>
    <w:rsid w:val="00D248AD"/>
    <w:rsid w:val="00D24FE4"/>
    <w:rsid w:val="00D25149"/>
    <w:rsid w:val="00D254DC"/>
    <w:rsid w:val="00D25530"/>
    <w:rsid w:val="00D255BB"/>
    <w:rsid w:val="00D256B5"/>
    <w:rsid w:val="00D25C2F"/>
    <w:rsid w:val="00D27034"/>
    <w:rsid w:val="00D27089"/>
    <w:rsid w:val="00D2743F"/>
    <w:rsid w:val="00D27632"/>
    <w:rsid w:val="00D276F3"/>
    <w:rsid w:val="00D2797E"/>
    <w:rsid w:val="00D27BCE"/>
    <w:rsid w:val="00D300C3"/>
    <w:rsid w:val="00D3013B"/>
    <w:rsid w:val="00D301C8"/>
    <w:rsid w:val="00D3039B"/>
    <w:rsid w:val="00D30471"/>
    <w:rsid w:val="00D3167B"/>
    <w:rsid w:val="00D31805"/>
    <w:rsid w:val="00D3182E"/>
    <w:rsid w:val="00D31C4C"/>
    <w:rsid w:val="00D31F72"/>
    <w:rsid w:val="00D32185"/>
    <w:rsid w:val="00D32638"/>
    <w:rsid w:val="00D328DB"/>
    <w:rsid w:val="00D3294C"/>
    <w:rsid w:val="00D32A44"/>
    <w:rsid w:val="00D32D6E"/>
    <w:rsid w:val="00D32FB3"/>
    <w:rsid w:val="00D3343A"/>
    <w:rsid w:val="00D336C6"/>
    <w:rsid w:val="00D33D80"/>
    <w:rsid w:val="00D34277"/>
    <w:rsid w:val="00D349CF"/>
    <w:rsid w:val="00D34D94"/>
    <w:rsid w:val="00D34E3A"/>
    <w:rsid w:val="00D35682"/>
    <w:rsid w:val="00D35724"/>
    <w:rsid w:val="00D35794"/>
    <w:rsid w:val="00D35A83"/>
    <w:rsid w:val="00D35AB8"/>
    <w:rsid w:val="00D35F98"/>
    <w:rsid w:val="00D361F7"/>
    <w:rsid w:val="00D362A2"/>
    <w:rsid w:val="00D363A5"/>
    <w:rsid w:val="00D364A1"/>
    <w:rsid w:val="00D3657E"/>
    <w:rsid w:val="00D365E6"/>
    <w:rsid w:val="00D36AC3"/>
    <w:rsid w:val="00D37388"/>
    <w:rsid w:val="00D374A1"/>
    <w:rsid w:val="00D37B8F"/>
    <w:rsid w:val="00D37BFB"/>
    <w:rsid w:val="00D37FD9"/>
    <w:rsid w:val="00D4010A"/>
    <w:rsid w:val="00D409ED"/>
    <w:rsid w:val="00D40B39"/>
    <w:rsid w:val="00D411E9"/>
    <w:rsid w:val="00D412DC"/>
    <w:rsid w:val="00D41708"/>
    <w:rsid w:val="00D41AC9"/>
    <w:rsid w:val="00D41E0C"/>
    <w:rsid w:val="00D41F68"/>
    <w:rsid w:val="00D425DF"/>
    <w:rsid w:val="00D42744"/>
    <w:rsid w:val="00D4277E"/>
    <w:rsid w:val="00D42AAC"/>
    <w:rsid w:val="00D42BB6"/>
    <w:rsid w:val="00D42BD1"/>
    <w:rsid w:val="00D42D12"/>
    <w:rsid w:val="00D42E0C"/>
    <w:rsid w:val="00D432C1"/>
    <w:rsid w:val="00D436B8"/>
    <w:rsid w:val="00D4371B"/>
    <w:rsid w:val="00D437CC"/>
    <w:rsid w:val="00D43861"/>
    <w:rsid w:val="00D43894"/>
    <w:rsid w:val="00D43AD3"/>
    <w:rsid w:val="00D44072"/>
    <w:rsid w:val="00D443B5"/>
    <w:rsid w:val="00D4461E"/>
    <w:rsid w:val="00D44807"/>
    <w:rsid w:val="00D44C0C"/>
    <w:rsid w:val="00D45765"/>
    <w:rsid w:val="00D45979"/>
    <w:rsid w:val="00D45AF0"/>
    <w:rsid w:val="00D45BC0"/>
    <w:rsid w:val="00D45BC2"/>
    <w:rsid w:val="00D45ED3"/>
    <w:rsid w:val="00D45EDC"/>
    <w:rsid w:val="00D45FC9"/>
    <w:rsid w:val="00D46262"/>
    <w:rsid w:val="00D465E1"/>
    <w:rsid w:val="00D46A25"/>
    <w:rsid w:val="00D46E98"/>
    <w:rsid w:val="00D478A6"/>
    <w:rsid w:val="00D47A56"/>
    <w:rsid w:val="00D47BCB"/>
    <w:rsid w:val="00D47E79"/>
    <w:rsid w:val="00D47F84"/>
    <w:rsid w:val="00D500C5"/>
    <w:rsid w:val="00D504AF"/>
    <w:rsid w:val="00D506AE"/>
    <w:rsid w:val="00D50896"/>
    <w:rsid w:val="00D508FF"/>
    <w:rsid w:val="00D51403"/>
    <w:rsid w:val="00D5164D"/>
    <w:rsid w:val="00D51E5F"/>
    <w:rsid w:val="00D527AB"/>
    <w:rsid w:val="00D52869"/>
    <w:rsid w:val="00D5290E"/>
    <w:rsid w:val="00D52D3F"/>
    <w:rsid w:val="00D52D82"/>
    <w:rsid w:val="00D52FEA"/>
    <w:rsid w:val="00D533A2"/>
    <w:rsid w:val="00D537FC"/>
    <w:rsid w:val="00D53A13"/>
    <w:rsid w:val="00D53A8F"/>
    <w:rsid w:val="00D53A91"/>
    <w:rsid w:val="00D53AA8"/>
    <w:rsid w:val="00D53AD8"/>
    <w:rsid w:val="00D53CF3"/>
    <w:rsid w:val="00D53DD0"/>
    <w:rsid w:val="00D53F07"/>
    <w:rsid w:val="00D541BF"/>
    <w:rsid w:val="00D54251"/>
    <w:rsid w:val="00D54260"/>
    <w:rsid w:val="00D542D3"/>
    <w:rsid w:val="00D54B84"/>
    <w:rsid w:val="00D554DF"/>
    <w:rsid w:val="00D55711"/>
    <w:rsid w:val="00D55DE5"/>
    <w:rsid w:val="00D55FC3"/>
    <w:rsid w:val="00D560EF"/>
    <w:rsid w:val="00D5624A"/>
    <w:rsid w:val="00D5652F"/>
    <w:rsid w:val="00D5668A"/>
    <w:rsid w:val="00D57603"/>
    <w:rsid w:val="00D5793C"/>
    <w:rsid w:val="00D57B94"/>
    <w:rsid w:val="00D60234"/>
    <w:rsid w:val="00D60880"/>
    <w:rsid w:val="00D60CCE"/>
    <w:rsid w:val="00D60E88"/>
    <w:rsid w:val="00D60F5B"/>
    <w:rsid w:val="00D60FA4"/>
    <w:rsid w:val="00D60FD5"/>
    <w:rsid w:val="00D6183A"/>
    <w:rsid w:val="00D61A9C"/>
    <w:rsid w:val="00D6244B"/>
    <w:rsid w:val="00D62526"/>
    <w:rsid w:val="00D62731"/>
    <w:rsid w:val="00D6275E"/>
    <w:rsid w:val="00D627B0"/>
    <w:rsid w:val="00D62A31"/>
    <w:rsid w:val="00D630F1"/>
    <w:rsid w:val="00D6322B"/>
    <w:rsid w:val="00D632D0"/>
    <w:rsid w:val="00D63D39"/>
    <w:rsid w:val="00D6419B"/>
    <w:rsid w:val="00D64453"/>
    <w:rsid w:val="00D649A1"/>
    <w:rsid w:val="00D6540E"/>
    <w:rsid w:val="00D65EC0"/>
    <w:rsid w:val="00D66190"/>
    <w:rsid w:val="00D66B21"/>
    <w:rsid w:val="00D670CC"/>
    <w:rsid w:val="00D675B3"/>
    <w:rsid w:val="00D67B95"/>
    <w:rsid w:val="00D67F15"/>
    <w:rsid w:val="00D70176"/>
    <w:rsid w:val="00D706C9"/>
    <w:rsid w:val="00D70EBD"/>
    <w:rsid w:val="00D71317"/>
    <w:rsid w:val="00D71436"/>
    <w:rsid w:val="00D715F0"/>
    <w:rsid w:val="00D717B2"/>
    <w:rsid w:val="00D717BB"/>
    <w:rsid w:val="00D7199D"/>
    <w:rsid w:val="00D7293F"/>
    <w:rsid w:val="00D7296D"/>
    <w:rsid w:val="00D72A50"/>
    <w:rsid w:val="00D72AB8"/>
    <w:rsid w:val="00D72BF5"/>
    <w:rsid w:val="00D72DCA"/>
    <w:rsid w:val="00D73396"/>
    <w:rsid w:val="00D7364B"/>
    <w:rsid w:val="00D7367F"/>
    <w:rsid w:val="00D73846"/>
    <w:rsid w:val="00D73C9F"/>
    <w:rsid w:val="00D73CED"/>
    <w:rsid w:val="00D73D7B"/>
    <w:rsid w:val="00D73DF6"/>
    <w:rsid w:val="00D740EE"/>
    <w:rsid w:val="00D74A12"/>
    <w:rsid w:val="00D74C38"/>
    <w:rsid w:val="00D74C81"/>
    <w:rsid w:val="00D75252"/>
    <w:rsid w:val="00D755F1"/>
    <w:rsid w:val="00D7576A"/>
    <w:rsid w:val="00D75AAD"/>
    <w:rsid w:val="00D75ACD"/>
    <w:rsid w:val="00D75D91"/>
    <w:rsid w:val="00D7639F"/>
    <w:rsid w:val="00D76477"/>
    <w:rsid w:val="00D769C6"/>
    <w:rsid w:val="00D76AC8"/>
    <w:rsid w:val="00D772AD"/>
    <w:rsid w:val="00D774F9"/>
    <w:rsid w:val="00D7774F"/>
    <w:rsid w:val="00D7797E"/>
    <w:rsid w:val="00D77AF8"/>
    <w:rsid w:val="00D77B6B"/>
    <w:rsid w:val="00D77DC0"/>
    <w:rsid w:val="00D77F10"/>
    <w:rsid w:val="00D80070"/>
    <w:rsid w:val="00D80117"/>
    <w:rsid w:val="00D8016B"/>
    <w:rsid w:val="00D80205"/>
    <w:rsid w:val="00D805AE"/>
    <w:rsid w:val="00D805B7"/>
    <w:rsid w:val="00D809FF"/>
    <w:rsid w:val="00D80AA0"/>
    <w:rsid w:val="00D80D69"/>
    <w:rsid w:val="00D80E00"/>
    <w:rsid w:val="00D81044"/>
    <w:rsid w:val="00D81BB3"/>
    <w:rsid w:val="00D8211E"/>
    <w:rsid w:val="00D822E0"/>
    <w:rsid w:val="00D82638"/>
    <w:rsid w:val="00D82639"/>
    <w:rsid w:val="00D82825"/>
    <w:rsid w:val="00D828C9"/>
    <w:rsid w:val="00D829FC"/>
    <w:rsid w:val="00D82D27"/>
    <w:rsid w:val="00D82E60"/>
    <w:rsid w:val="00D83819"/>
    <w:rsid w:val="00D83850"/>
    <w:rsid w:val="00D83881"/>
    <w:rsid w:val="00D83AC5"/>
    <w:rsid w:val="00D83E55"/>
    <w:rsid w:val="00D84C24"/>
    <w:rsid w:val="00D84C6C"/>
    <w:rsid w:val="00D84E97"/>
    <w:rsid w:val="00D85125"/>
    <w:rsid w:val="00D852FF"/>
    <w:rsid w:val="00D85408"/>
    <w:rsid w:val="00D855F6"/>
    <w:rsid w:val="00D85983"/>
    <w:rsid w:val="00D8598F"/>
    <w:rsid w:val="00D859C4"/>
    <w:rsid w:val="00D85D71"/>
    <w:rsid w:val="00D8607C"/>
    <w:rsid w:val="00D8658B"/>
    <w:rsid w:val="00D8659C"/>
    <w:rsid w:val="00D86645"/>
    <w:rsid w:val="00D86678"/>
    <w:rsid w:val="00D86B7B"/>
    <w:rsid w:val="00D86C85"/>
    <w:rsid w:val="00D86C9D"/>
    <w:rsid w:val="00D86CD0"/>
    <w:rsid w:val="00D86DCC"/>
    <w:rsid w:val="00D86DFE"/>
    <w:rsid w:val="00D8711F"/>
    <w:rsid w:val="00D87270"/>
    <w:rsid w:val="00D87402"/>
    <w:rsid w:val="00D876CC"/>
    <w:rsid w:val="00D8786C"/>
    <w:rsid w:val="00D87C3F"/>
    <w:rsid w:val="00D87ED2"/>
    <w:rsid w:val="00D90013"/>
    <w:rsid w:val="00D904A9"/>
    <w:rsid w:val="00D904E3"/>
    <w:rsid w:val="00D90804"/>
    <w:rsid w:val="00D90834"/>
    <w:rsid w:val="00D90E05"/>
    <w:rsid w:val="00D911ED"/>
    <w:rsid w:val="00D9122E"/>
    <w:rsid w:val="00D91360"/>
    <w:rsid w:val="00D913A4"/>
    <w:rsid w:val="00D918C9"/>
    <w:rsid w:val="00D91B4C"/>
    <w:rsid w:val="00D91C88"/>
    <w:rsid w:val="00D91D45"/>
    <w:rsid w:val="00D91E6F"/>
    <w:rsid w:val="00D921A0"/>
    <w:rsid w:val="00D92327"/>
    <w:rsid w:val="00D92686"/>
    <w:rsid w:val="00D92B5F"/>
    <w:rsid w:val="00D92C5C"/>
    <w:rsid w:val="00D93822"/>
    <w:rsid w:val="00D93F02"/>
    <w:rsid w:val="00D945AF"/>
    <w:rsid w:val="00D94765"/>
    <w:rsid w:val="00D94BFA"/>
    <w:rsid w:val="00D94C5E"/>
    <w:rsid w:val="00D94E9F"/>
    <w:rsid w:val="00D94EB2"/>
    <w:rsid w:val="00D9509E"/>
    <w:rsid w:val="00D95658"/>
    <w:rsid w:val="00D95AA2"/>
    <w:rsid w:val="00D95BB1"/>
    <w:rsid w:val="00D95C4D"/>
    <w:rsid w:val="00D95E46"/>
    <w:rsid w:val="00D964C8"/>
    <w:rsid w:val="00D9654A"/>
    <w:rsid w:val="00D965E2"/>
    <w:rsid w:val="00D96CEE"/>
    <w:rsid w:val="00D96D7F"/>
    <w:rsid w:val="00D96E58"/>
    <w:rsid w:val="00D97091"/>
    <w:rsid w:val="00D97169"/>
    <w:rsid w:val="00D97356"/>
    <w:rsid w:val="00D97381"/>
    <w:rsid w:val="00D97639"/>
    <w:rsid w:val="00D97A68"/>
    <w:rsid w:val="00D97DEF"/>
    <w:rsid w:val="00D97E7A"/>
    <w:rsid w:val="00DA0045"/>
    <w:rsid w:val="00DA0130"/>
    <w:rsid w:val="00DA09A0"/>
    <w:rsid w:val="00DA0CCB"/>
    <w:rsid w:val="00DA1026"/>
    <w:rsid w:val="00DA1B33"/>
    <w:rsid w:val="00DA1D44"/>
    <w:rsid w:val="00DA1E7B"/>
    <w:rsid w:val="00DA1F41"/>
    <w:rsid w:val="00DA1F76"/>
    <w:rsid w:val="00DA1FF1"/>
    <w:rsid w:val="00DA2086"/>
    <w:rsid w:val="00DA2300"/>
    <w:rsid w:val="00DA23AB"/>
    <w:rsid w:val="00DA29D5"/>
    <w:rsid w:val="00DA2A68"/>
    <w:rsid w:val="00DA30D4"/>
    <w:rsid w:val="00DA312A"/>
    <w:rsid w:val="00DA3241"/>
    <w:rsid w:val="00DA33F3"/>
    <w:rsid w:val="00DA3BA2"/>
    <w:rsid w:val="00DA3D86"/>
    <w:rsid w:val="00DA4397"/>
    <w:rsid w:val="00DA4399"/>
    <w:rsid w:val="00DA44A5"/>
    <w:rsid w:val="00DA4A72"/>
    <w:rsid w:val="00DA4AF6"/>
    <w:rsid w:val="00DA4BFF"/>
    <w:rsid w:val="00DA5043"/>
    <w:rsid w:val="00DA551B"/>
    <w:rsid w:val="00DA5681"/>
    <w:rsid w:val="00DA63BD"/>
    <w:rsid w:val="00DA6880"/>
    <w:rsid w:val="00DA69BF"/>
    <w:rsid w:val="00DA6B5A"/>
    <w:rsid w:val="00DA6E2C"/>
    <w:rsid w:val="00DA7645"/>
    <w:rsid w:val="00DA7C13"/>
    <w:rsid w:val="00DB0778"/>
    <w:rsid w:val="00DB0AD3"/>
    <w:rsid w:val="00DB0BA4"/>
    <w:rsid w:val="00DB17B5"/>
    <w:rsid w:val="00DB1EF2"/>
    <w:rsid w:val="00DB263B"/>
    <w:rsid w:val="00DB283A"/>
    <w:rsid w:val="00DB2853"/>
    <w:rsid w:val="00DB2A09"/>
    <w:rsid w:val="00DB2BAC"/>
    <w:rsid w:val="00DB2D91"/>
    <w:rsid w:val="00DB3324"/>
    <w:rsid w:val="00DB377E"/>
    <w:rsid w:val="00DB3EE7"/>
    <w:rsid w:val="00DB4056"/>
    <w:rsid w:val="00DB40DC"/>
    <w:rsid w:val="00DB40F6"/>
    <w:rsid w:val="00DB41EE"/>
    <w:rsid w:val="00DB46DC"/>
    <w:rsid w:val="00DB4ABC"/>
    <w:rsid w:val="00DB4AFA"/>
    <w:rsid w:val="00DB4E7C"/>
    <w:rsid w:val="00DB5122"/>
    <w:rsid w:val="00DB5397"/>
    <w:rsid w:val="00DB54B7"/>
    <w:rsid w:val="00DB568A"/>
    <w:rsid w:val="00DB5A1E"/>
    <w:rsid w:val="00DB5C59"/>
    <w:rsid w:val="00DB6074"/>
    <w:rsid w:val="00DB6404"/>
    <w:rsid w:val="00DB6476"/>
    <w:rsid w:val="00DB6695"/>
    <w:rsid w:val="00DB6CEF"/>
    <w:rsid w:val="00DB6F90"/>
    <w:rsid w:val="00DB7053"/>
    <w:rsid w:val="00DB7117"/>
    <w:rsid w:val="00DB74E4"/>
    <w:rsid w:val="00DC0011"/>
    <w:rsid w:val="00DC001E"/>
    <w:rsid w:val="00DC0553"/>
    <w:rsid w:val="00DC0781"/>
    <w:rsid w:val="00DC099D"/>
    <w:rsid w:val="00DC0B82"/>
    <w:rsid w:val="00DC0E9F"/>
    <w:rsid w:val="00DC1105"/>
    <w:rsid w:val="00DC111F"/>
    <w:rsid w:val="00DC121B"/>
    <w:rsid w:val="00DC1582"/>
    <w:rsid w:val="00DC1604"/>
    <w:rsid w:val="00DC163A"/>
    <w:rsid w:val="00DC183F"/>
    <w:rsid w:val="00DC19E5"/>
    <w:rsid w:val="00DC1A14"/>
    <w:rsid w:val="00DC1C4F"/>
    <w:rsid w:val="00DC2011"/>
    <w:rsid w:val="00DC23C6"/>
    <w:rsid w:val="00DC267A"/>
    <w:rsid w:val="00DC26A9"/>
    <w:rsid w:val="00DC2775"/>
    <w:rsid w:val="00DC2B53"/>
    <w:rsid w:val="00DC2B7B"/>
    <w:rsid w:val="00DC2C59"/>
    <w:rsid w:val="00DC2EC1"/>
    <w:rsid w:val="00DC2F0C"/>
    <w:rsid w:val="00DC2F76"/>
    <w:rsid w:val="00DC3050"/>
    <w:rsid w:val="00DC3234"/>
    <w:rsid w:val="00DC324B"/>
    <w:rsid w:val="00DC3ED6"/>
    <w:rsid w:val="00DC440D"/>
    <w:rsid w:val="00DC4433"/>
    <w:rsid w:val="00DC447B"/>
    <w:rsid w:val="00DC4EF5"/>
    <w:rsid w:val="00DC4F34"/>
    <w:rsid w:val="00DC4F6E"/>
    <w:rsid w:val="00DC4FEC"/>
    <w:rsid w:val="00DC522C"/>
    <w:rsid w:val="00DC52FC"/>
    <w:rsid w:val="00DC53ED"/>
    <w:rsid w:val="00DC5995"/>
    <w:rsid w:val="00DC5BB0"/>
    <w:rsid w:val="00DC6185"/>
    <w:rsid w:val="00DC621E"/>
    <w:rsid w:val="00DC63B0"/>
    <w:rsid w:val="00DC7068"/>
    <w:rsid w:val="00DC711E"/>
    <w:rsid w:val="00DC72AB"/>
    <w:rsid w:val="00DC73FD"/>
    <w:rsid w:val="00DC76A5"/>
    <w:rsid w:val="00DC79AC"/>
    <w:rsid w:val="00DC7A4F"/>
    <w:rsid w:val="00DC7CAB"/>
    <w:rsid w:val="00DC7F14"/>
    <w:rsid w:val="00DC7FB6"/>
    <w:rsid w:val="00DD0183"/>
    <w:rsid w:val="00DD02CF"/>
    <w:rsid w:val="00DD07CB"/>
    <w:rsid w:val="00DD0899"/>
    <w:rsid w:val="00DD0BDE"/>
    <w:rsid w:val="00DD0C21"/>
    <w:rsid w:val="00DD11C8"/>
    <w:rsid w:val="00DD11F4"/>
    <w:rsid w:val="00DD12B3"/>
    <w:rsid w:val="00DD1376"/>
    <w:rsid w:val="00DD166F"/>
    <w:rsid w:val="00DD176D"/>
    <w:rsid w:val="00DD18AC"/>
    <w:rsid w:val="00DD1960"/>
    <w:rsid w:val="00DD1D89"/>
    <w:rsid w:val="00DD1F43"/>
    <w:rsid w:val="00DD1FA2"/>
    <w:rsid w:val="00DD1FC9"/>
    <w:rsid w:val="00DD2147"/>
    <w:rsid w:val="00DD29D1"/>
    <w:rsid w:val="00DD2D2B"/>
    <w:rsid w:val="00DD2EA0"/>
    <w:rsid w:val="00DD3149"/>
    <w:rsid w:val="00DD331D"/>
    <w:rsid w:val="00DD34F5"/>
    <w:rsid w:val="00DD3503"/>
    <w:rsid w:val="00DD37A9"/>
    <w:rsid w:val="00DD37DB"/>
    <w:rsid w:val="00DD3832"/>
    <w:rsid w:val="00DD3946"/>
    <w:rsid w:val="00DD3DFA"/>
    <w:rsid w:val="00DD4166"/>
    <w:rsid w:val="00DD46E1"/>
    <w:rsid w:val="00DD4AF1"/>
    <w:rsid w:val="00DD4C56"/>
    <w:rsid w:val="00DD4F46"/>
    <w:rsid w:val="00DD5137"/>
    <w:rsid w:val="00DD5277"/>
    <w:rsid w:val="00DD5683"/>
    <w:rsid w:val="00DD5960"/>
    <w:rsid w:val="00DD5E84"/>
    <w:rsid w:val="00DD65B3"/>
    <w:rsid w:val="00DD6643"/>
    <w:rsid w:val="00DD6705"/>
    <w:rsid w:val="00DD678B"/>
    <w:rsid w:val="00DD6943"/>
    <w:rsid w:val="00DD6F86"/>
    <w:rsid w:val="00DD70E3"/>
    <w:rsid w:val="00DD7610"/>
    <w:rsid w:val="00DD7C59"/>
    <w:rsid w:val="00DD7DD2"/>
    <w:rsid w:val="00DE07CC"/>
    <w:rsid w:val="00DE0801"/>
    <w:rsid w:val="00DE0936"/>
    <w:rsid w:val="00DE098F"/>
    <w:rsid w:val="00DE0D34"/>
    <w:rsid w:val="00DE0E7F"/>
    <w:rsid w:val="00DE1128"/>
    <w:rsid w:val="00DE15DE"/>
    <w:rsid w:val="00DE15EC"/>
    <w:rsid w:val="00DE16E1"/>
    <w:rsid w:val="00DE1A3A"/>
    <w:rsid w:val="00DE1AE9"/>
    <w:rsid w:val="00DE2124"/>
    <w:rsid w:val="00DE22DF"/>
    <w:rsid w:val="00DE23F7"/>
    <w:rsid w:val="00DE2793"/>
    <w:rsid w:val="00DE27CC"/>
    <w:rsid w:val="00DE2BB5"/>
    <w:rsid w:val="00DE2C61"/>
    <w:rsid w:val="00DE325D"/>
    <w:rsid w:val="00DE328F"/>
    <w:rsid w:val="00DE32FD"/>
    <w:rsid w:val="00DE34A0"/>
    <w:rsid w:val="00DE37AE"/>
    <w:rsid w:val="00DE3C22"/>
    <w:rsid w:val="00DE3C7A"/>
    <w:rsid w:val="00DE433C"/>
    <w:rsid w:val="00DE4C45"/>
    <w:rsid w:val="00DE4E0E"/>
    <w:rsid w:val="00DE55B6"/>
    <w:rsid w:val="00DE5664"/>
    <w:rsid w:val="00DE566E"/>
    <w:rsid w:val="00DE5ADB"/>
    <w:rsid w:val="00DE5B56"/>
    <w:rsid w:val="00DE5BD7"/>
    <w:rsid w:val="00DE5FDE"/>
    <w:rsid w:val="00DE6682"/>
    <w:rsid w:val="00DE66D6"/>
    <w:rsid w:val="00DE6A68"/>
    <w:rsid w:val="00DE6BD4"/>
    <w:rsid w:val="00DE6BEA"/>
    <w:rsid w:val="00DE6D94"/>
    <w:rsid w:val="00DE713F"/>
    <w:rsid w:val="00DE75AE"/>
    <w:rsid w:val="00DF063D"/>
    <w:rsid w:val="00DF0756"/>
    <w:rsid w:val="00DF07B6"/>
    <w:rsid w:val="00DF0C6A"/>
    <w:rsid w:val="00DF11F2"/>
    <w:rsid w:val="00DF124E"/>
    <w:rsid w:val="00DF1B30"/>
    <w:rsid w:val="00DF1B6F"/>
    <w:rsid w:val="00DF2090"/>
    <w:rsid w:val="00DF2873"/>
    <w:rsid w:val="00DF2B5A"/>
    <w:rsid w:val="00DF2C63"/>
    <w:rsid w:val="00DF2E30"/>
    <w:rsid w:val="00DF32AC"/>
    <w:rsid w:val="00DF333D"/>
    <w:rsid w:val="00DF3724"/>
    <w:rsid w:val="00DF3AF3"/>
    <w:rsid w:val="00DF3B6C"/>
    <w:rsid w:val="00DF3E52"/>
    <w:rsid w:val="00DF414E"/>
    <w:rsid w:val="00DF442D"/>
    <w:rsid w:val="00DF44A3"/>
    <w:rsid w:val="00DF49EA"/>
    <w:rsid w:val="00DF4B86"/>
    <w:rsid w:val="00DF4DC8"/>
    <w:rsid w:val="00DF4E27"/>
    <w:rsid w:val="00DF4ECC"/>
    <w:rsid w:val="00DF4EEB"/>
    <w:rsid w:val="00DF4F66"/>
    <w:rsid w:val="00DF5142"/>
    <w:rsid w:val="00DF5423"/>
    <w:rsid w:val="00DF5549"/>
    <w:rsid w:val="00DF5630"/>
    <w:rsid w:val="00DF5B5A"/>
    <w:rsid w:val="00DF5B7C"/>
    <w:rsid w:val="00DF5D04"/>
    <w:rsid w:val="00DF6076"/>
    <w:rsid w:val="00DF62D2"/>
    <w:rsid w:val="00DF639E"/>
    <w:rsid w:val="00DF64CF"/>
    <w:rsid w:val="00DF6A2E"/>
    <w:rsid w:val="00DF6BAA"/>
    <w:rsid w:val="00DF6D18"/>
    <w:rsid w:val="00DF6F3A"/>
    <w:rsid w:val="00DF6F7C"/>
    <w:rsid w:val="00DF71E3"/>
    <w:rsid w:val="00DF725F"/>
    <w:rsid w:val="00DF74CF"/>
    <w:rsid w:val="00DF7761"/>
    <w:rsid w:val="00DF7806"/>
    <w:rsid w:val="00DF781A"/>
    <w:rsid w:val="00DF7A55"/>
    <w:rsid w:val="00E002A8"/>
    <w:rsid w:val="00E004F4"/>
    <w:rsid w:val="00E00CFE"/>
    <w:rsid w:val="00E00F60"/>
    <w:rsid w:val="00E00FE9"/>
    <w:rsid w:val="00E01009"/>
    <w:rsid w:val="00E0121E"/>
    <w:rsid w:val="00E0158C"/>
    <w:rsid w:val="00E01832"/>
    <w:rsid w:val="00E01BF3"/>
    <w:rsid w:val="00E01C08"/>
    <w:rsid w:val="00E01D8A"/>
    <w:rsid w:val="00E023B8"/>
    <w:rsid w:val="00E02417"/>
    <w:rsid w:val="00E0242A"/>
    <w:rsid w:val="00E0248B"/>
    <w:rsid w:val="00E026C0"/>
    <w:rsid w:val="00E029BB"/>
    <w:rsid w:val="00E02AB1"/>
    <w:rsid w:val="00E02CFC"/>
    <w:rsid w:val="00E03205"/>
    <w:rsid w:val="00E037C8"/>
    <w:rsid w:val="00E038C6"/>
    <w:rsid w:val="00E038CA"/>
    <w:rsid w:val="00E03D58"/>
    <w:rsid w:val="00E03D7E"/>
    <w:rsid w:val="00E04BA8"/>
    <w:rsid w:val="00E04ED0"/>
    <w:rsid w:val="00E05334"/>
    <w:rsid w:val="00E05530"/>
    <w:rsid w:val="00E0583E"/>
    <w:rsid w:val="00E059BF"/>
    <w:rsid w:val="00E05AB8"/>
    <w:rsid w:val="00E05C8F"/>
    <w:rsid w:val="00E05CC0"/>
    <w:rsid w:val="00E05DAE"/>
    <w:rsid w:val="00E060B0"/>
    <w:rsid w:val="00E062A5"/>
    <w:rsid w:val="00E06B7D"/>
    <w:rsid w:val="00E06CCB"/>
    <w:rsid w:val="00E06ED9"/>
    <w:rsid w:val="00E07144"/>
    <w:rsid w:val="00E071D5"/>
    <w:rsid w:val="00E07BFE"/>
    <w:rsid w:val="00E10473"/>
    <w:rsid w:val="00E104B3"/>
    <w:rsid w:val="00E1084B"/>
    <w:rsid w:val="00E108B0"/>
    <w:rsid w:val="00E10C83"/>
    <w:rsid w:val="00E10E3A"/>
    <w:rsid w:val="00E11079"/>
    <w:rsid w:val="00E1109D"/>
    <w:rsid w:val="00E11392"/>
    <w:rsid w:val="00E11677"/>
    <w:rsid w:val="00E117FB"/>
    <w:rsid w:val="00E11A25"/>
    <w:rsid w:val="00E11C0A"/>
    <w:rsid w:val="00E11CB4"/>
    <w:rsid w:val="00E11F18"/>
    <w:rsid w:val="00E124D6"/>
    <w:rsid w:val="00E125B8"/>
    <w:rsid w:val="00E12949"/>
    <w:rsid w:val="00E12C0C"/>
    <w:rsid w:val="00E12C0E"/>
    <w:rsid w:val="00E12CF8"/>
    <w:rsid w:val="00E13239"/>
    <w:rsid w:val="00E13C69"/>
    <w:rsid w:val="00E14A08"/>
    <w:rsid w:val="00E14BE2"/>
    <w:rsid w:val="00E14EC7"/>
    <w:rsid w:val="00E154BC"/>
    <w:rsid w:val="00E155AB"/>
    <w:rsid w:val="00E15861"/>
    <w:rsid w:val="00E15B3A"/>
    <w:rsid w:val="00E15C00"/>
    <w:rsid w:val="00E15DCB"/>
    <w:rsid w:val="00E15DE2"/>
    <w:rsid w:val="00E160D3"/>
    <w:rsid w:val="00E163EB"/>
    <w:rsid w:val="00E1647E"/>
    <w:rsid w:val="00E164E6"/>
    <w:rsid w:val="00E1690B"/>
    <w:rsid w:val="00E16BF9"/>
    <w:rsid w:val="00E16F19"/>
    <w:rsid w:val="00E17023"/>
    <w:rsid w:val="00E17151"/>
    <w:rsid w:val="00E17283"/>
    <w:rsid w:val="00E17649"/>
    <w:rsid w:val="00E17751"/>
    <w:rsid w:val="00E17B52"/>
    <w:rsid w:val="00E17BC1"/>
    <w:rsid w:val="00E20089"/>
    <w:rsid w:val="00E200A9"/>
    <w:rsid w:val="00E20722"/>
    <w:rsid w:val="00E20E01"/>
    <w:rsid w:val="00E21513"/>
    <w:rsid w:val="00E21519"/>
    <w:rsid w:val="00E21676"/>
    <w:rsid w:val="00E2179B"/>
    <w:rsid w:val="00E218ED"/>
    <w:rsid w:val="00E21A40"/>
    <w:rsid w:val="00E220ED"/>
    <w:rsid w:val="00E2233F"/>
    <w:rsid w:val="00E2245F"/>
    <w:rsid w:val="00E22484"/>
    <w:rsid w:val="00E22843"/>
    <w:rsid w:val="00E22A94"/>
    <w:rsid w:val="00E22EB3"/>
    <w:rsid w:val="00E23022"/>
    <w:rsid w:val="00E23495"/>
    <w:rsid w:val="00E23F0A"/>
    <w:rsid w:val="00E244CA"/>
    <w:rsid w:val="00E24643"/>
    <w:rsid w:val="00E248EC"/>
    <w:rsid w:val="00E24907"/>
    <w:rsid w:val="00E24A9B"/>
    <w:rsid w:val="00E24D7C"/>
    <w:rsid w:val="00E24E45"/>
    <w:rsid w:val="00E2563A"/>
    <w:rsid w:val="00E25AB9"/>
    <w:rsid w:val="00E25B1A"/>
    <w:rsid w:val="00E25D79"/>
    <w:rsid w:val="00E25E71"/>
    <w:rsid w:val="00E2615F"/>
    <w:rsid w:val="00E2634F"/>
    <w:rsid w:val="00E26444"/>
    <w:rsid w:val="00E26586"/>
    <w:rsid w:val="00E266E3"/>
    <w:rsid w:val="00E26AC6"/>
    <w:rsid w:val="00E26E1D"/>
    <w:rsid w:val="00E272C4"/>
    <w:rsid w:val="00E273BB"/>
    <w:rsid w:val="00E2754A"/>
    <w:rsid w:val="00E27BE0"/>
    <w:rsid w:val="00E27ECF"/>
    <w:rsid w:val="00E3007E"/>
    <w:rsid w:val="00E3014A"/>
    <w:rsid w:val="00E30158"/>
    <w:rsid w:val="00E303F3"/>
    <w:rsid w:val="00E304AF"/>
    <w:rsid w:val="00E30789"/>
    <w:rsid w:val="00E307A9"/>
    <w:rsid w:val="00E3081F"/>
    <w:rsid w:val="00E30BCF"/>
    <w:rsid w:val="00E30D4B"/>
    <w:rsid w:val="00E310F3"/>
    <w:rsid w:val="00E313D0"/>
    <w:rsid w:val="00E31405"/>
    <w:rsid w:val="00E31448"/>
    <w:rsid w:val="00E31A49"/>
    <w:rsid w:val="00E31B0F"/>
    <w:rsid w:val="00E32113"/>
    <w:rsid w:val="00E32582"/>
    <w:rsid w:val="00E3268B"/>
    <w:rsid w:val="00E327CE"/>
    <w:rsid w:val="00E329F8"/>
    <w:rsid w:val="00E32AB1"/>
    <w:rsid w:val="00E32AC7"/>
    <w:rsid w:val="00E3383A"/>
    <w:rsid w:val="00E33E3E"/>
    <w:rsid w:val="00E33E89"/>
    <w:rsid w:val="00E33FFC"/>
    <w:rsid w:val="00E341EB"/>
    <w:rsid w:val="00E34346"/>
    <w:rsid w:val="00E343F4"/>
    <w:rsid w:val="00E3448F"/>
    <w:rsid w:val="00E34808"/>
    <w:rsid w:val="00E34825"/>
    <w:rsid w:val="00E3495B"/>
    <w:rsid w:val="00E34A79"/>
    <w:rsid w:val="00E34B6E"/>
    <w:rsid w:val="00E34BE9"/>
    <w:rsid w:val="00E34EAB"/>
    <w:rsid w:val="00E3543F"/>
    <w:rsid w:val="00E354AB"/>
    <w:rsid w:val="00E3557C"/>
    <w:rsid w:val="00E35780"/>
    <w:rsid w:val="00E358AB"/>
    <w:rsid w:val="00E35BCF"/>
    <w:rsid w:val="00E35CFF"/>
    <w:rsid w:val="00E362B5"/>
    <w:rsid w:val="00E3648B"/>
    <w:rsid w:val="00E36651"/>
    <w:rsid w:val="00E36BFB"/>
    <w:rsid w:val="00E36F73"/>
    <w:rsid w:val="00E37326"/>
    <w:rsid w:val="00E3745F"/>
    <w:rsid w:val="00E378B7"/>
    <w:rsid w:val="00E37B63"/>
    <w:rsid w:val="00E37C7C"/>
    <w:rsid w:val="00E37CA7"/>
    <w:rsid w:val="00E37E8C"/>
    <w:rsid w:val="00E40650"/>
    <w:rsid w:val="00E4069D"/>
    <w:rsid w:val="00E40A5A"/>
    <w:rsid w:val="00E40C9C"/>
    <w:rsid w:val="00E40EA3"/>
    <w:rsid w:val="00E414C8"/>
    <w:rsid w:val="00E416FF"/>
    <w:rsid w:val="00E41753"/>
    <w:rsid w:val="00E4181F"/>
    <w:rsid w:val="00E4188A"/>
    <w:rsid w:val="00E41930"/>
    <w:rsid w:val="00E41E17"/>
    <w:rsid w:val="00E42547"/>
    <w:rsid w:val="00E426CD"/>
    <w:rsid w:val="00E42F0F"/>
    <w:rsid w:val="00E42FA1"/>
    <w:rsid w:val="00E43751"/>
    <w:rsid w:val="00E43A15"/>
    <w:rsid w:val="00E43B22"/>
    <w:rsid w:val="00E43F94"/>
    <w:rsid w:val="00E43FBC"/>
    <w:rsid w:val="00E44785"/>
    <w:rsid w:val="00E4481A"/>
    <w:rsid w:val="00E4492C"/>
    <w:rsid w:val="00E44CA2"/>
    <w:rsid w:val="00E44ED9"/>
    <w:rsid w:val="00E45051"/>
    <w:rsid w:val="00E45141"/>
    <w:rsid w:val="00E45378"/>
    <w:rsid w:val="00E45957"/>
    <w:rsid w:val="00E45985"/>
    <w:rsid w:val="00E45B71"/>
    <w:rsid w:val="00E45C41"/>
    <w:rsid w:val="00E45DE5"/>
    <w:rsid w:val="00E46635"/>
    <w:rsid w:val="00E4683A"/>
    <w:rsid w:val="00E46D31"/>
    <w:rsid w:val="00E46FCE"/>
    <w:rsid w:val="00E4708B"/>
    <w:rsid w:val="00E4742C"/>
    <w:rsid w:val="00E4745C"/>
    <w:rsid w:val="00E4749E"/>
    <w:rsid w:val="00E474AF"/>
    <w:rsid w:val="00E476BF"/>
    <w:rsid w:val="00E47B61"/>
    <w:rsid w:val="00E47D0C"/>
    <w:rsid w:val="00E47D1E"/>
    <w:rsid w:val="00E5009C"/>
    <w:rsid w:val="00E5027A"/>
    <w:rsid w:val="00E50479"/>
    <w:rsid w:val="00E5064C"/>
    <w:rsid w:val="00E507A3"/>
    <w:rsid w:val="00E50886"/>
    <w:rsid w:val="00E51074"/>
    <w:rsid w:val="00E51077"/>
    <w:rsid w:val="00E51758"/>
    <w:rsid w:val="00E51E23"/>
    <w:rsid w:val="00E51E7A"/>
    <w:rsid w:val="00E51F8B"/>
    <w:rsid w:val="00E525F3"/>
    <w:rsid w:val="00E52648"/>
    <w:rsid w:val="00E526CF"/>
    <w:rsid w:val="00E52874"/>
    <w:rsid w:val="00E52E05"/>
    <w:rsid w:val="00E52ED9"/>
    <w:rsid w:val="00E5312A"/>
    <w:rsid w:val="00E5340A"/>
    <w:rsid w:val="00E53442"/>
    <w:rsid w:val="00E53ADA"/>
    <w:rsid w:val="00E53CFA"/>
    <w:rsid w:val="00E53DDC"/>
    <w:rsid w:val="00E54B82"/>
    <w:rsid w:val="00E54BD7"/>
    <w:rsid w:val="00E554C6"/>
    <w:rsid w:val="00E555B7"/>
    <w:rsid w:val="00E55703"/>
    <w:rsid w:val="00E5586D"/>
    <w:rsid w:val="00E559EB"/>
    <w:rsid w:val="00E55B49"/>
    <w:rsid w:val="00E55CDF"/>
    <w:rsid w:val="00E55F0C"/>
    <w:rsid w:val="00E56268"/>
    <w:rsid w:val="00E564FF"/>
    <w:rsid w:val="00E5660C"/>
    <w:rsid w:val="00E56772"/>
    <w:rsid w:val="00E56866"/>
    <w:rsid w:val="00E569A2"/>
    <w:rsid w:val="00E56C2E"/>
    <w:rsid w:val="00E56E13"/>
    <w:rsid w:val="00E56E4D"/>
    <w:rsid w:val="00E5722A"/>
    <w:rsid w:val="00E57266"/>
    <w:rsid w:val="00E573CE"/>
    <w:rsid w:val="00E57685"/>
    <w:rsid w:val="00E57B76"/>
    <w:rsid w:val="00E57D6B"/>
    <w:rsid w:val="00E60174"/>
    <w:rsid w:val="00E609C1"/>
    <w:rsid w:val="00E61228"/>
    <w:rsid w:val="00E61231"/>
    <w:rsid w:val="00E6151B"/>
    <w:rsid w:val="00E6159F"/>
    <w:rsid w:val="00E61602"/>
    <w:rsid w:val="00E616C9"/>
    <w:rsid w:val="00E62140"/>
    <w:rsid w:val="00E6231B"/>
    <w:rsid w:val="00E62408"/>
    <w:rsid w:val="00E62E3F"/>
    <w:rsid w:val="00E62EDE"/>
    <w:rsid w:val="00E6312C"/>
    <w:rsid w:val="00E6347E"/>
    <w:rsid w:val="00E634FA"/>
    <w:rsid w:val="00E635F8"/>
    <w:rsid w:val="00E636A2"/>
    <w:rsid w:val="00E6374F"/>
    <w:rsid w:val="00E637EF"/>
    <w:rsid w:val="00E63CF6"/>
    <w:rsid w:val="00E63D50"/>
    <w:rsid w:val="00E64146"/>
    <w:rsid w:val="00E64237"/>
    <w:rsid w:val="00E644F3"/>
    <w:rsid w:val="00E64A4A"/>
    <w:rsid w:val="00E64AD0"/>
    <w:rsid w:val="00E6528B"/>
    <w:rsid w:val="00E655F0"/>
    <w:rsid w:val="00E65812"/>
    <w:rsid w:val="00E65C48"/>
    <w:rsid w:val="00E65D38"/>
    <w:rsid w:val="00E65FD3"/>
    <w:rsid w:val="00E66242"/>
    <w:rsid w:val="00E66598"/>
    <w:rsid w:val="00E667E2"/>
    <w:rsid w:val="00E66A42"/>
    <w:rsid w:val="00E66B8F"/>
    <w:rsid w:val="00E66CBF"/>
    <w:rsid w:val="00E66F79"/>
    <w:rsid w:val="00E66F89"/>
    <w:rsid w:val="00E67608"/>
    <w:rsid w:val="00E676B0"/>
    <w:rsid w:val="00E67FAE"/>
    <w:rsid w:val="00E7017F"/>
    <w:rsid w:val="00E7034C"/>
    <w:rsid w:val="00E70535"/>
    <w:rsid w:val="00E70647"/>
    <w:rsid w:val="00E70F77"/>
    <w:rsid w:val="00E70F87"/>
    <w:rsid w:val="00E70F9A"/>
    <w:rsid w:val="00E718CD"/>
    <w:rsid w:val="00E71A69"/>
    <w:rsid w:val="00E7206A"/>
    <w:rsid w:val="00E720FD"/>
    <w:rsid w:val="00E7250B"/>
    <w:rsid w:val="00E728CB"/>
    <w:rsid w:val="00E7314C"/>
    <w:rsid w:val="00E7378C"/>
    <w:rsid w:val="00E739FA"/>
    <w:rsid w:val="00E73BCD"/>
    <w:rsid w:val="00E73D71"/>
    <w:rsid w:val="00E7434A"/>
    <w:rsid w:val="00E743C6"/>
    <w:rsid w:val="00E7458F"/>
    <w:rsid w:val="00E74596"/>
    <w:rsid w:val="00E7460C"/>
    <w:rsid w:val="00E7467C"/>
    <w:rsid w:val="00E748BE"/>
    <w:rsid w:val="00E74AE3"/>
    <w:rsid w:val="00E74FDB"/>
    <w:rsid w:val="00E7532E"/>
    <w:rsid w:val="00E75425"/>
    <w:rsid w:val="00E75507"/>
    <w:rsid w:val="00E75535"/>
    <w:rsid w:val="00E7562B"/>
    <w:rsid w:val="00E75827"/>
    <w:rsid w:val="00E7593D"/>
    <w:rsid w:val="00E75BB1"/>
    <w:rsid w:val="00E75BEF"/>
    <w:rsid w:val="00E75E49"/>
    <w:rsid w:val="00E75F14"/>
    <w:rsid w:val="00E75F71"/>
    <w:rsid w:val="00E76223"/>
    <w:rsid w:val="00E764E9"/>
    <w:rsid w:val="00E7658D"/>
    <w:rsid w:val="00E76B3D"/>
    <w:rsid w:val="00E76B68"/>
    <w:rsid w:val="00E76D07"/>
    <w:rsid w:val="00E76D44"/>
    <w:rsid w:val="00E77070"/>
    <w:rsid w:val="00E77139"/>
    <w:rsid w:val="00E77711"/>
    <w:rsid w:val="00E7794D"/>
    <w:rsid w:val="00E77A32"/>
    <w:rsid w:val="00E77C3D"/>
    <w:rsid w:val="00E77D61"/>
    <w:rsid w:val="00E77F48"/>
    <w:rsid w:val="00E8035E"/>
    <w:rsid w:val="00E80532"/>
    <w:rsid w:val="00E80AB4"/>
    <w:rsid w:val="00E80DC1"/>
    <w:rsid w:val="00E80ECF"/>
    <w:rsid w:val="00E81260"/>
    <w:rsid w:val="00E81302"/>
    <w:rsid w:val="00E818A9"/>
    <w:rsid w:val="00E81B3D"/>
    <w:rsid w:val="00E81BAE"/>
    <w:rsid w:val="00E81BBE"/>
    <w:rsid w:val="00E81DA8"/>
    <w:rsid w:val="00E81ED9"/>
    <w:rsid w:val="00E8206D"/>
    <w:rsid w:val="00E82221"/>
    <w:rsid w:val="00E8230C"/>
    <w:rsid w:val="00E82373"/>
    <w:rsid w:val="00E82414"/>
    <w:rsid w:val="00E8244B"/>
    <w:rsid w:val="00E8256A"/>
    <w:rsid w:val="00E825A7"/>
    <w:rsid w:val="00E82A1F"/>
    <w:rsid w:val="00E82D0D"/>
    <w:rsid w:val="00E82F4B"/>
    <w:rsid w:val="00E831CD"/>
    <w:rsid w:val="00E8346C"/>
    <w:rsid w:val="00E839CD"/>
    <w:rsid w:val="00E83A68"/>
    <w:rsid w:val="00E83D94"/>
    <w:rsid w:val="00E83DAC"/>
    <w:rsid w:val="00E83F0B"/>
    <w:rsid w:val="00E8431A"/>
    <w:rsid w:val="00E84690"/>
    <w:rsid w:val="00E84926"/>
    <w:rsid w:val="00E84ACB"/>
    <w:rsid w:val="00E84BCA"/>
    <w:rsid w:val="00E84C59"/>
    <w:rsid w:val="00E855F5"/>
    <w:rsid w:val="00E8566F"/>
    <w:rsid w:val="00E85701"/>
    <w:rsid w:val="00E85A36"/>
    <w:rsid w:val="00E85DE9"/>
    <w:rsid w:val="00E85F21"/>
    <w:rsid w:val="00E85F3B"/>
    <w:rsid w:val="00E85FEF"/>
    <w:rsid w:val="00E86308"/>
    <w:rsid w:val="00E8647D"/>
    <w:rsid w:val="00E86495"/>
    <w:rsid w:val="00E86A44"/>
    <w:rsid w:val="00E86A96"/>
    <w:rsid w:val="00E86ECF"/>
    <w:rsid w:val="00E87714"/>
    <w:rsid w:val="00E877EF"/>
    <w:rsid w:val="00E878F9"/>
    <w:rsid w:val="00E879C7"/>
    <w:rsid w:val="00E87DFD"/>
    <w:rsid w:val="00E90127"/>
    <w:rsid w:val="00E904D8"/>
    <w:rsid w:val="00E90668"/>
    <w:rsid w:val="00E906D4"/>
    <w:rsid w:val="00E90FA7"/>
    <w:rsid w:val="00E9102A"/>
    <w:rsid w:val="00E910DD"/>
    <w:rsid w:val="00E910E1"/>
    <w:rsid w:val="00E914CA"/>
    <w:rsid w:val="00E915FA"/>
    <w:rsid w:val="00E917F6"/>
    <w:rsid w:val="00E91DD5"/>
    <w:rsid w:val="00E91EDB"/>
    <w:rsid w:val="00E92775"/>
    <w:rsid w:val="00E928D1"/>
    <w:rsid w:val="00E92A41"/>
    <w:rsid w:val="00E92E54"/>
    <w:rsid w:val="00E931B3"/>
    <w:rsid w:val="00E9357F"/>
    <w:rsid w:val="00E935AC"/>
    <w:rsid w:val="00E93D85"/>
    <w:rsid w:val="00E943D8"/>
    <w:rsid w:val="00E94438"/>
    <w:rsid w:val="00E9468C"/>
    <w:rsid w:val="00E94AD3"/>
    <w:rsid w:val="00E94BAB"/>
    <w:rsid w:val="00E950BA"/>
    <w:rsid w:val="00E954A0"/>
    <w:rsid w:val="00E95B7D"/>
    <w:rsid w:val="00E95CDE"/>
    <w:rsid w:val="00E95D84"/>
    <w:rsid w:val="00E95FC4"/>
    <w:rsid w:val="00E9657C"/>
    <w:rsid w:val="00E96A09"/>
    <w:rsid w:val="00E96BBD"/>
    <w:rsid w:val="00E97228"/>
    <w:rsid w:val="00E973F5"/>
    <w:rsid w:val="00E97707"/>
    <w:rsid w:val="00E97B64"/>
    <w:rsid w:val="00E97F64"/>
    <w:rsid w:val="00EA01CD"/>
    <w:rsid w:val="00EA0CDF"/>
    <w:rsid w:val="00EA0FC5"/>
    <w:rsid w:val="00EA1048"/>
    <w:rsid w:val="00EA1100"/>
    <w:rsid w:val="00EA120C"/>
    <w:rsid w:val="00EA14D1"/>
    <w:rsid w:val="00EA26C9"/>
    <w:rsid w:val="00EA2770"/>
    <w:rsid w:val="00EA2791"/>
    <w:rsid w:val="00EA2998"/>
    <w:rsid w:val="00EA32D7"/>
    <w:rsid w:val="00EA33AA"/>
    <w:rsid w:val="00EA3AC2"/>
    <w:rsid w:val="00EA3EB7"/>
    <w:rsid w:val="00EA423C"/>
    <w:rsid w:val="00EA432C"/>
    <w:rsid w:val="00EA43AD"/>
    <w:rsid w:val="00EA4545"/>
    <w:rsid w:val="00EA4658"/>
    <w:rsid w:val="00EA4699"/>
    <w:rsid w:val="00EA49F7"/>
    <w:rsid w:val="00EA4BF8"/>
    <w:rsid w:val="00EA4E16"/>
    <w:rsid w:val="00EA5572"/>
    <w:rsid w:val="00EA59B8"/>
    <w:rsid w:val="00EA5C40"/>
    <w:rsid w:val="00EA5D05"/>
    <w:rsid w:val="00EA613D"/>
    <w:rsid w:val="00EA6259"/>
    <w:rsid w:val="00EA6793"/>
    <w:rsid w:val="00EA6A47"/>
    <w:rsid w:val="00EA6CB5"/>
    <w:rsid w:val="00EA6F65"/>
    <w:rsid w:val="00EA7137"/>
    <w:rsid w:val="00EA72A7"/>
    <w:rsid w:val="00EA7C9D"/>
    <w:rsid w:val="00EA7D20"/>
    <w:rsid w:val="00EA7E0B"/>
    <w:rsid w:val="00EA7FE6"/>
    <w:rsid w:val="00EB0224"/>
    <w:rsid w:val="00EB028E"/>
    <w:rsid w:val="00EB035F"/>
    <w:rsid w:val="00EB0845"/>
    <w:rsid w:val="00EB0BFC"/>
    <w:rsid w:val="00EB1318"/>
    <w:rsid w:val="00EB18D5"/>
    <w:rsid w:val="00EB1B86"/>
    <w:rsid w:val="00EB20B4"/>
    <w:rsid w:val="00EB25C2"/>
    <w:rsid w:val="00EB266E"/>
    <w:rsid w:val="00EB28FA"/>
    <w:rsid w:val="00EB2A10"/>
    <w:rsid w:val="00EB2BDF"/>
    <w:rsid w:val="00EB2E7B"/>
    <w:rsid w:val="00EB306C"/>
    <w:rsid w:val="00EB3451"/>
    <w:rsid w:val="00EB397F"/>
    <w:rsid w:val="00EB41B9"/>
    <w:rsid w:val="00EB466D"/>
    <w:rsid w:val="00EB4A4B"/>
    <w:rsid w:val="00EB4BA4"/>
    <w:rsid w:val="00EB4CAE"/>
    <w:rsid w:val="00EB4CBE"/>
    <w:rsid w:val="00EB500E"/>
    <w:rsid w:val="00EB51B8"/>
    <w:rsid w:val="00EB597F"/>
    <w:rsid w:val="00EB5CE7"/>
    <w:rsid w:val="00EB5F4B"/>
    <w:rsid w:val="00EB5FE4"/>
    <w:rsid w:val="00EB635B"/>
    <w:rsid w:val="00EB6995"/>
    <w:rsid w:val="00EB6B5C"/>
    <w:rsid w:val="00EB733C"/>
    <w:rsid w:val="00EB739F"/>
    <w:rsid w:val="00EB73C6"/>
    <w:rsid w:val="00EB7945"/>
    <w:rsid w:val="00EB7F5A"/>
    <w:rsid w:val="00EC00B4"/>
    <w:rsid w:val="00EC01A2"/>
    <w:rsid w:val="00EC02C8"/>
    <w:rsid w:val="00EC036F"/>
    <w:rsid w:val="00EC0577"/>
    <w:rsid w:val="00EC06F6"/>
    <w:rsid w:val="00EC0794"/>
    <w:rsid w:val="00EC0A1D"/>
    <w:rsid w:val="00EC0BE2"/>
    <w:rsid w:val="00EC0E4B"/>
    <w:rsid w:val="00EC1167"/>
    <w:rsid w:val="00EC1205"/>
    <w:rsid w:val="00EC1538"/>
    <w:rsid w:val="00EC1DFB"/>
    <w:rsid w:val="00EC2226"/>
    <w:rsid w:val="00EC2490"/>
    <w:rsid w:val="00EC281E"/>
    <w:rsid w:val="00EC3458"/>
    <w:rsid w:val="00EC3627"/>
    <w:rsid w:val="00EC39D1"/>
    <w:rsid w:val="00EC4987"/>
    <w:rsid w:val="00EC499D"/>
    <w:rsid w:val="00EC49FA"/>
    <w:rsid w:val="00EC4AD7"/>
    <w:rsid w:val="00EC4C31"/>
    <w:rsid w:val="00EC5386"/>
    <w:rsid w:val="00EC53EA"/>
    <w:rsid w:val="00EC57FC"/>
    <w:rsid w:val="00EC59F3"/>
    <w:rsid w:val="00EC6198"/>
    <w:rsid w:val="00EC61C1"/>
    <w:rsid w:val="00EC64C5"/>
    <w:rsid w:val="00EC66D8"/>
    <w:rsid w:val="00EC68D7"/>
    <w:rsid w:val="00EC723B"/>
    <w:rsid w:val="00EC73BF"/>
    <w:rsid w:val="00EC7BCC"/>
    <w:rsid w:val="00EC7DFE"/>
    <w:rsid w:val="00ED0A27"/>
    <w:rsid w:val="00ED0D10"/>
    <w:rsid w:val="00ED10C3"/>
    <w:rsid w:val="00ED1716"/>
    <w:rsid w:val="00ED19E7"/>
    <w:rsid w:val="00ED1A03"/>
    <w:rsid w:val="00ED1A81"/>
    <w:rsid w:val="00ED224E"/>
    <w:rsid w:val="00ED22FA"/>
    <w:rsid w:val="00ED2438"/>
    <w:rsid w:val="00ED25E9"/>
    <w:rsid w:val="00ED2602"/>
    <w:rsid w:val="00ED2606"/>
    <w:rsid w:val="00ED26C8"/>
    <w:rsid w:val="00ED2772"/>
    <w:rsid w:val="00ED2977"/>
    <w:rsid w:val="00ED29E9"/>
    <w:rsid w:val="00ED2AB9"/>
    <w:rsid w:val="00ED2B16"/>
    <w:rsid w:val="00ED2CD2"/>
    <w:rsid w:val="00ED2EAE"/>
    <w:rsid w:val="00ED30FA"/>
    <w:rsid w:val="00ED3123"/>
    <w:rsid w:val="00ED3673"/>
    <w:rsid w:val="00ED391B"/>
    <w:rsid w:val="00ED3ABA"/>
    <w:rsid w:val="00ED3AF8"/>
    <w:rsid w:val="00ED3E2A"/>
    <w:rsid w:val="00ED4050"/>
    <w:rsid w:val="00ED45B6"/>
    <w:rsid w:val="00ED4683"/>
    <w:rsid w:val="00ED4AC8"/>
    <w:rsid w:val="00ED4BA3"/>
    <w:rsid w:val="00ED4CCE"/>
    <w:rsid w:val="00ED56F4"/>
    <w:rsid w:val="00ED5B20"/>
    <w:rsid w:val="00ED5B30"/>
    <w:rsid w:val="00ED5C55"/>
    <w:rsid w:val="00ED5CC9"/>
    <w:rsid w:val="00ED5DB9"/>
    <w:rsid w:val="00ED5EA6"/>
    <w:rsid w:val="00ED651A"/>
    <w:rsid w:val="00ED692F"/>
    <w:rsid w:val="00ED6F66"/>
    <w:rsid w:val="00ED7590"/>
    <w:rsid w:val="00ED7C27"/>
    <w:rsid w:val="00ED7D37"/>
    <w:rsid w:val="00ED7EE1"/>
    <w:rsid w:val="00ED7F9C"/>
    <w:rsid w:val="00EE0852"/>
    <w:rsid w:val="00EE0A27"/>
    <w:rsid w:val="00EE0B80"/>
    <w:rsid w:val="00EE0C23"/>
    <w:rsid w:val="00EE0C4B"/>
    <w:rsid w:val="00EE100E"/>
    <w:rsid w:val="00EE11AD"/>
    <w:rsid w:val="00EE12F7"/>
    <w:rsid w:val="00EE1481"/>
    <w:rsid w:val="00EE14B9"/>
    <w:rsid w:val="00EE1538"/>
    <w:rsid w:val="00EE1676"/>
    <w:rsid w:val="00EE1A68"/>
    <w:rsid w:val="00EE1AC0"/>
    <w:rsid w:val="00EE1F8D"/>
    <w:rsid w:val="00EE2892"/>
    <w:rsid w:val="00EE28D2"/>
    <w:rsid w:val="00EE2A4F"/>
    <w:rsid w:val="00EE2D46"/>
    <w:rsid w:val="00EE2D5C"/>
    <w:rsid w:val="00EE2DF7"/>
    <w:rsid w:val="00EE3080"/>
    <w:rsid w:val="00EE339E"/>
    <w:rsid w:val="00EE37E5"/>
    <w:rsid w:val="00EE38D9"/>
    <w:rsid w:val="00EE3995"/>
    <w:rsid w:val="00EE463E"/>
    <w:rsid w:val="00EE4F3F"/>
    <w:rsid w:val="00EE53B5"/>
    <w:rsid w:val="00EE57EE"/>
    <w:rsid w:val="00EE585E"/>
    <w:rsid w:val="00EE5A61"/>
    <w:rsid w:val="00EE5CFC"/>
    <w:rsid w:val="00EE5D1B"/>
    <w:rsid w:val="00EE5E09"/>
    <w:rsid w:val="00EE5E99"/>
    <w:rsid w:val="00EE5EF3"/>
    <w:rsid w:val="00EE6343"/>
    <w:rsid w:val="00EE65A2"/>
    <w:rsid w:val="00EE7359"/>
    <w:rsid w:val="00EE73BB"/>
    <w:rsid w:val="00EE7863"/>
    <w:rsid w:val="00EE7AAC"/>
    <w:rsid w:val="00EE7AC1"/>
    <w:rsid w:val="00EE7B31"/>
    <w:rsid w:val="00EE7C42"/>
    <w:rsid w:val="00EE7DC1"/>
    <w:rsid w:val="00EF0288"/>
    <w:rsid w:val="00EF02F9"/>
    <w:rsid w:val="00EF033E"/>
    <w:rsid w:val="00EF03C3"/>
    <w:rsid w:val="00EF047D"/>
    <w:rsid w:val="00EF0586"/>
    <w:rsid w:val="00EF06A5"/>
    <w:rsid w:val="00EF0DA1"/>
    <w:rsid w:val="00EF0EC7"/>
    <w:rsid w:val="00EF0F42"/>
    <w:rsid w:val="00EF10D2"/>
    <w:rsid w:val="00EF1571"/>
    <w:rsid w:val="00EF16A3"/>
    <w:rsid w:val="00EF1A16"/>
    <w:rsid w:val="00EF1BD4"/>
    <w:rsid w:val="00EF1E2A"/>
    <w:rsid w:val="00EF1ECB"/>
    <w:rsid w:val="00EF204E"/>
    <w:rsid w:val="00EF2212"/>
    <w:rsid w:val="00EF27DD"/>
    <w:rsid w:val="00EF2D7A"/>
    <w:rsid w:val="00EF2E23"/>
    <w:rsid w:val="00EF2F21"/>
    <w:rsid w:val="00EF2FE9"/>
    <w:rsid w:val="00EF332D"/>
    <w:rsid w:val="00EF35A2"/>
    <w:rsid w:val="00EF37C4"/>
    <w:rsid w:val="00EF3C5D"/>
    <w:rsid w:val="00EF3C60"/>
    <w:rsid w:val="00EF3E85"/>
    <w:rsid w:val="00EF3F2E"/>
    <w:rsid w:val="00EF45C0"/>
    <w:rsid w:val="00EF4697"/>
    <w:rsid w:val="00EF4722"/>
    <w:rsid w:val="00EF489F"/>
    <w:rsid w:val="00EF49EE"/>
    <w:rsid w:val="00EF4DAE"/>
    <w:rsid w:val="00EF5142"/>
    <w:rsid w:val="00EF5400"/>
    <w:rsid w:val="00EF569A"/>
    <w:rsid w:val="00EF5B56"/>
    <w:rsid w:val="00EF5D93"/>
    <w:rsid w:val="00EF5ED9"/>
    <w:rsid w:val="00EF5EEC"/>
    <w:rsid w:val="00EF6096"/>
    <w:rsid w:val="00EF6D5C"/>
    <w:rsid w:val="00EF6ED4"/>
    <w:rsid w:val="00EF7019"/>
    <w:rsid w:val="00EF73BC"/>
    <w:rsid w:val="00EF756E"/>
    <w:rsid w:val="00EF7722"/>
    <w:rsid w:val="00EF78F6"/>
    <w:rsid w:val="00EF7E20"/>
    <w:rsid w:val="00EF7FDA"/>
    <w:rsid w:val="00F000E6"/>
    <w:rsid w:val="00F0047C"/>
    <w:rsid w:val="00F0049D"/>
    <w:rsid w:val="00F00570"/>
    <w:rsid w:val="00F00E36"/>
    <w:rsid w:val="00F00E5B"/>
    <w:rsid w:val="00F01009"/>
    <w:rsid w:val="00F0124E"/>
    <w:rsid w:val="00F01491"/>
    <w:rsid w:val="00F01960"/>
    <w:rsid w:val="00F01DFD"/>
    <w:rsid w:val="00F01E16"/>
    <w:rsid w:val="00F01E38"/>
    <w:rsid w:val="00F01E73"/>
    <w:rsid w:val="00F01F47"/>
    <w:rsid w:val="00F0216D"/>
    <w:rsid w:val="00F022AC"/>
    <w:rsid w:val="00F02351"/>
    <w:rsid w:val="00F026D5"/>
    <w:rsid w:val="00F02A17"/>
    <w:rsid w:val="00F02A84"/>
    <w:rsid w:val="00F02CD8"/>
    <w:rsid w:val="00F0358D"/>
    <w:rsid w:val="00F035F1"/>
    <w:rsid w:val="00F037DA"/>
    <w:rsid w:val="00F0413F"/>
    <w:rsid w:val="00F04179"/>
    <w:rsid w:val="00F043D2"/>
    <w:rsid w:val="00F04454"/>
    <w:rsid w:val="00F04621"/>
    <w:rsid w:val="00F04A5F"/>
    <w:rsid w:val="00F04AF2"/>
    <w:rsid w:val="00F04BDD"/>
    <w:rsid w:val="00F04C05"/>
    <w:rsid w:val="00F04C78"/>
    <w:rsid w:val="00F04ED4"/>
    <w:rsid w:val="00F04F0A"/>
    <w:rsid w:val="00F053F1"/>
    <w:rsid w:val="00F05469"/>
    <w:rsid w:val="00F059DF"/>
    <w:rsid w:val="00F05F9C"/>
    <w:rsid w:val="00F067AB"/>
    <w:rsid w:val="00F06F24"/>
    <w:rsid w:val="00F06F30"/>
    <w:rsid w:val="00F07173"/>
    <w:rsid w:val="00F0733B"/>
    <w:rsid w:val="00F07B54"/>
    <w:rsid w:val="00F07BCE"/>
    <w:rsid w:val="00F07C52"/>
    <w:rsid w:val="00F103BB"/>
    <w:rsid w:val="00F1045C"/>
    <w:rsid w:val="00F10779"/>
    <w:rsid w:val="00F107B2"/>
    <w:rsid w:val="00F1084E"/>
    <w:rsid w:val="00F11096"/>
    <w:rsid w:val="00F11109"/>
    <w:rsid w:val="00F11234"/>
    <w:rsid w:val="00F114C1"/>
    <w:rsid w:val="00F11779"/>
    <w:rsid w:val="00F11ADC"/>
    <w:rsid w:val="00F11B2B"/>
    <w:rsid w:val="00F12340"/>
    <w:rsid w:val="00F12C9F"/>
    <w:rsid w:val="00F139B2"/>
    <w:rsid w:val="00F13D6A"/>
    <w:rsid w:val="00F13F0A"/>
    <w:rsid w:val="00F14082"/>
    <w:rsid w:val="00F14F24"/>
    <w:rsid w:val="00F15163"/>
    <w:rsid w:val="00F159C7"/>
    <w:rsid w:val="00F15CC3"/>
    <w:rsid w:val="00F1622A"/>
    <w:rsid w:val="00F16409"/>
    <w:rsid w:val="00F164FB"/>
    <w:rsid w:val="00F16563"/>
    <w:rsid w:val="00F16588"/>
    <w:rsid w:val="00F16B24"/>
    <w:rsid w:val="00F16DAF"/>
    <w:rsid w:val="00F16E53"/>
    <w:rsid w:val="00F17175"/>
    <w:rsid w:val="00F171BA"/>
    <w:rsid w:val="00F17425"/>
    <w:rsid w:val="00F177C5"/>
    <w:rsid w:val="00F200F8"/>
    <w:rsid w:val="00F2053D"/>
    <w:rsid w:val="00F20624"/>
    <w:rsid w:val="00F20BBC"/>
    <w:rsid w:val="00F20E25"/>
    <w:rsid w:val="00F20EE9"/>
    <w:rsid w:val="00F21323"/>
    <w:rsid w:val="00F214A0"/>
    <w:rsid w:val="00F21BCD"/>
    <w:rsid w:val="00F21E08"/>
    <w:rsid w:val="00F22458"/>
    <w:rsid w:val="00F22491"/>
    <w:rsid w:val="00F22ACC"/>
    <w:rsid w:val="00F22BCC"/>
    <w:rsid w:val="00F22E83"/>
    <w:rsid w:val="00F24008"/>
    <w:rsid w:val="00F246BB"/>
    <w:rsid w:val="00F2488E"/>
    <w:rsid w:val="00F2490D"/>
    <w:rsid w:val="00F2510D"/>
    <w:rsid w:val="00F25AD7"/>
    <w:rsid w:val="00F25B06"/>
    <w:rsid w:val="00F25C6F"/>
    <w:rsid w:val="00F269F5"/>
    <w:rsid w:val="00F270B0"/>
    <w:rsid w:val="00F27179"/>
    <w:rsid w:val="00F273DB"/>
    <w:rsid w:val="00F2743D"/>
    <w:rsid w:val="00F2770B"/>
    <w:rsid w:val="00F27ABC"/>
    <w:rsid w:val="00F27BBA"/>
    <w:rsid w:val="00F27BD9"/>
    <w:rsid w:val="00F27D46"/>
    <w:rsid w:val="00F27D81"/>
    <w:rsid w:val="00F302A2"/>
    <w:rsid w:val="00F30353"/>
    <w:rsid w:val="00F30558"/>
    <w:rsid w:val="00F30A12"/>
    <w:rsid w:val="00F30A34"/>
    <w:rsid w:val="00F30B69"/>
    <w:rsid w:val="00F30B93"/>
    <w:rsid w:val="00F30C9F"/>
    <w:rsid w:val="00F30CA2"/>
    <w:rsid w:val="00F3139C"/>
    <w:rsid w:val="00F31C7D"/>
    <w:rsid w:val="00F31DE3"/>
    <w:rsid w:val="00F3205F"/>
    <w:rsid w:val="00F3209B"/>
    <w:rsid w:val="00F328A3"/>
    <w:rsid w:val="00F328F1"/>
    <w:rsid w:val="00F32C05"/>
    <w:rsid w:val="00F33012"/>
    <w:rsid w:val="00F33404"/>
    <w:rsid w:val="00F33604"/>
    <w:rsid w:val="00F33696"/>
    <w:rsid w:val="00F33954"/>
    <w:rsid w:val="00F3396A"/>
    <w:rsid w:val="00F33F0B"/>
    <w:rsid w:val="00F340B3"/>
    <w:rsid w:val="00F34A62"/>
    <w:rsid w:val="00F34DB0"/>
    <w:rsid w:val="00F350C3"/>
    <w:rsid w:val="00F35455"/>
    <w:rsid w:val="00F3576C"/>
    <w:rsid w:val="00F359AC"/>
    <w:rsid w:val="00F35A3A"/>
    <w:rsid w:val="00F3607A"/>
    <w:rsid w:val="00F36862"/>
    <w:rsid w:val="00F369C0"/>
    <w:rsid w:val="00F36ED5"/>
    <w:rsid w:val="00F37014"/>
    <w:rsid w:val="00F37688"/>
    <w:rsid w:val="00F37A66"/>
    <w:rsid w:val="00F37EBB"/>
    <w:rsid w:val="00F401D1"/>
    <w:rsid w:val="00F4025B"/>
    <w:rsid w:val="00F404AE"/>
    <w:rsid w:val="00F40C01"/>
    <w:rsid w:val="00F40C1B"/>
    <w:rsid w:val="00F4120C"/>
    <w:rsid w:val="00F417D2"/>
    <w:rsid w:val="00F41A50"/>
    <w:rsid w:val="00F41B3E"/>
    <w:rsid w:val="00F41E22"/>
    <w:rsid w:val="00F41EE0"/>
    <w:rsid w:val="00F41F21"/>
    <w:rsid w:val="00F42029"/>
    <w:rsid w:val="00F4263C"/>
    <w:rsid w:val="00F426FC"/>
    <w:rsid w:val="00F42929"/>
    <w:rsid w:val="00F42985"/>
    <w:rsid w:val="00F42AAC"/>
    <w:rsid w:val="00F42B25"/>
    <w:rsid w:val="00F42F5C"/>
    <w:rsid w:val="00F4317B"/>
    <w:rsid w:val="00F432C5"/>
    <w:rsid w:val="00F435E1"/>
    <w:rsid w:val="00F43832"/>
    <w:rsid w:val="00F43BB4"/>
    <w:rsid w:val="00F44019"/>
    <w:rsid w:val="00F44750"/>
    <w:rsid w:val="00F457A1"/>
    <w:rsid w:val="00F457D9"/>
    <w:rsid w:val="00F45C98"/>
    <w:rsid w:val="00F45F12"/>
    <w:rsid w:val="00F46274"/>
    <w:rsid w:val="00F46F38"/>
    <w:rsid w:val="00F471DB"/>
    <w:rsid w:val="00F476BD"/>
    <w:rsid w:val="00F479B4"/>
    <w:rsid w:val="00F47DE5"/>
    <w:rsid w:val="00F505E7"/>
    <w:rsid w:val="00F50693"/>
    <w:rsid w:val="00F50719"/>
    <w:rsid w:val="00F5077B"/>
    <w:rsid w:val="00F50E80"/>
    <w:rsid w:val="00F50F63"/>
    <w:rsid w:val="00F51074"/>
    <w:rsid w:val="00F51200"/>
    <w:rsid w:val="00F514E0"/>
    <w:rsid w:val="00F515EB"/>
    <w:rsid w:val="00F51D2D"/>
    <w:rsid w:val="00F51FA1"/>
    <w:rsid w:val="00F5204F"/>
    <w:rsid w:val="00F524A8"/>
    <w:rsid w:val="00F52DF8"/>
    <w:rsid w:val="00F52E0C"/>
    <w:rsid w:val="00F52E37"/>
    <w:rsid w:val="00F53009"/>
    <w:rsid w:val="00F5333B"/>
    <w:rsid w:val="00F5349F"/>
    <w:rsid w:val="00F53547"/>
    <w:rsid w:val="00F538F4"/>
    <w:rsid w:val="00F5396E"/>
    <w:rsid w:val="00F53B4C"/>
    <w:rsid w:val="00F53D8D"/>
    <w:rsid w:val="00F53F65"/>
    <w:rsid w:val="00F5423F"/>
    <w:rsid w:val="00F54777"/>
    <w:rsid w:val="00F550C6"/>
    <w:rsid w:val="00F550F6"/>
    <w:rsid w:val="00F553BB"/>
    <w:rsid w:val="00F555D2"/>
    <w:rsid w:val="00F55C60"/>
    <w:rsid w:val="00F560E1"/>
    <w:rsid w:val="00F56D56"/>
    <w:rsid w:val="00F56E67"/>
    <w:rsid w:val="00F56EA4"/>
    <w:rsid w:val="00F56F1D"/>
    <w:rsid w:val="00F570D8"/>
    <w:rsid w:val="00F5767D"/>
    <w:rsid w:val="00F57EDE"/>
    <w:rsid w:val="00F57EED"/>
    <w:rsid w:val="00F60354"/>
    <w:rsid w:val="00F605FC"/>
    <w:rsid w:val="00F60889"/>
    <w:rsid w:val="00F60ECB"/>
    <w:rsid w:val="00F60F21"/>
    <w:rsid w:val="00F612C6"/>
    <w:rsid w:val="00F61335"/>
    <w:rsid w:val="00F61614"/>
    <w:rsid w:val="00F617A8"/>
    <w:rsid w:val="00F61E69"/>
    <w:rsid w:val="00F62811"/>
    <w:rsid w:val="00F63241"/>
    <w:rsid w:val="00F63395"/>
    <w:rsid w:val="00F63A4B"/>
    <w:rsid w:val="00F63A7E"/>
    <w:rsid w:val="00F63B68"/>
    <w:rsid w:val="00F63CF1"/>
    <w:rsid w:val="00F6411C"/>
    <w:rsid w:val="00F6421E"/>
    <w:rsid w:val="00F6438D"/>
    <w:rsid w:val="00F644E0"/>
    <w:rsid w:val="00F64B74"/>
    <w:rsid w:val="00F64D4A"/>
    <w:rsid w:val="00F64E5E"/>
    <w:rsid w:val="00F6527C"/>
    <w:rsid w:val="00F656AF"/>
    <w:rsid w:val="00F65735"/>
    <w:rsid w:val="00F658E9"/>
    <w:rsid w:val="00F65930"/>
    <w:rsid w:val="00F65B72"/>
    <w:rsid w:val="00F65CBE"/>
    <w:rsid w:val="00F65EF5"/>
    <w:rsid w:val="00F66804"/>
    <w:rsid w:val="00F6689C"/>
    <w:rsid w:val="00F6711D"/>
    <w:rsid w:val="00F6714E"/>
    <w:rsid w:val="00F67888"/>
    <w:rsid w:val="00F67891"/>
    <w:rsid w:val="00F67C72"/>
    <w:rsid w:val="00F67CE4"/>
    <w:rsid w:val="00F67CF6"/>
    <w:rsid w:val="00F701BF"/>
    <w:rsid w:val="00F704E3"/>
    <w:rsid w:val="00F705A5"/>
    <w:rsid w:val="00F70834"/>
    <w:rsid w:val="00F70DE0"/>
    <w:rsid w:val="00F70FB5"/>
    <w:rsid w:val="00F71612"/>
    <w:rsid w:val="00F71745"/>
    <w:rsid w:val="00F71867"/>
    <w:rsid w:val="00F71B2F"/>
    <w:rsid w:val="00F71E4E"/>
    <w:rsid w:val="00F720B2"/>
    <w:rsid w:val="00F72239"/>
    <w:rsid w:val="00F7270D"/>
    <w:rsid w:val="00F73461"/>
    <w:rsid w:val="00F7395E"/>
    <w:rsid w:val="00F73B96"/>
    <w:rsid w:val="00F73BB6"/>
    <w:rsid w:val="00F73FEE"/>
    <w:rsid w:val="00F741A1"/>
    <w:rsid w:val="00F74463"/>
    <w:rsid w:val="00F7454C"/>
    <w:rsid w:val="00F74679"/>
    <w:rsid w:val="00F747FA"/>
    <w:rsid w:val="00F74820"/>
    <w:rsid w:val="00F7482F"/>
    <w:rsid w:val="00F74840"/>
    <w:rsid w:val="00F74923"/>
    <w:rsid w:val="00F7499E"/>
    <w:rsid w:val="00F749B3"/>
    <w:rsid w:val="00F74A0D"/>
    <w:rsid w:val="00F74D50"/>
    <w:rsid w:val="00F75097"/>
    <w:rsid w:val="00F7525D"/>
    <w:rsid w:val="00F753C3"/>
    <w:rsid w:val="00F75775"/>
    <w:rsid w:val="00F75790"/>
    <w:rsid w:val="00F75833"/>
    <w:rsid w:val="00F75A5D"/>
    <w:rsid w:val="00F75A61"/>
    <w:rsid w:val="00F75B84"/>
    <w:rsid w:val="00F75D08"/>
    <w:rsid w:val="00F76047"/>
    <w:rsid w:val="00F76BB2"/>
    <w:rsid w:val="00F76BFD"/>
    <w:rsid w:val="00F76DBF"/>
    <w:rsid w:val="00F76E0A"/>
    <w:rsid w:val="00F76E8A"/>
    <w:rsid w:val="00F76FE2"/>
    <w:rsid w:val="00F7708B"/>
    <w:rsid w:val="00F77242"/>
    <w:rsid w:val="00F77548"/>
    <w:rsid w:val="00F77739"/>
    <w:rsid w:val="00F7776D"/>
    <w:rsid w:val="00F779D0"/>
    <w:rsid w:val="00F77AFF"/>
    <w:rsid w:val="00F77DED"/>
    <w:rsid w:val="00F77FA4"/>
    <w:rsid w:val="00F80006"/>
    <w:rsid w:val="00F802D0"/>
    <w:rsid w:val="00F803BE"/>
    <w:rsid w:val="00F803C0"/>
    <w:rsid w:val="00F807AA"/>
    <w:rsid w:val="00F80EA7"/>
    <w:rsid w:val="00F8123E"/>
    <w:rsid w:val="00F81300"/>
    <w:rsid w:val="00F8194C"/>
    <w:rsid w:val="00F81ADB"/>
    <w:rsid w:val="00F81AEA"/>
    <w:rsid w:val="00F81B41"/>
    <w:rsid w:val="00F81C9D"/>
    <w:rsid w:val="00F81D93"/>
    <w:rsid w:val="00F81E2B"/>
    <w:rsid w:val="00F81F0F"/>
    <w:rsid w:val="00F82092"/>
    <w:rsid w:val="00F8220A"/>
    <w:rsid w:val="00F82311"/>
    <w:rsid w:val="00F8237F"/>
    <w:rsid w:val="00F825BE"/>
    <w:rsid w:val="00F82CB0"/>
    <w:rsid w:val="00F830CF"/>
    <w:rsid w:val="00F833C5"/>
    <w:rsid w:val="00F83719"/>
    <w:rsid w:val="00F83847"/>
    <w:rsid w:val="00F838EB"/>
    <w:rsid w:val="00F84253"/>
    <w:rsid w:val="00F847FC"/>
    <w:rsid w:val="00F84908"/>
    <w:rsid w:val="00F8531D"/>
    <w:rsid w:val="00F853B7"/>
    <w:rsid w:val="00F85BC8"/>
    <w:rsid w:val="00F85CBA"/>
    <w:rsid w:val="00F85E5D"/>
    <w:rsid w:val="00F85F6B"/>
    <w:rsid w:val="00F8627C"/>
    <w:rsid w:val="00F862D9"/>
    <w:rsid w:val="00F862EA"/>
    <w:rsid w:val="00F865BC"/>
    <w:rsid w:val="00F867A7"/>
    <w:rsid w:val="00F86AF8"/>
    <w:rsid w:val="00F86B73"/>
    <w:rsid w:val="00F86D09"/>
    <w:rsid w:val="00F86DFB"/>
    <w:rsid w:val="00F86E76"/>
    <w:rsid w:val="00F86FE1"/>
    <w:rsid w:val="00F8743F"/>
    <w:rsid w:val="00F87A4A"/>
    <w:rsid w:val="00F87CDD"/>
    <w:rsid w:val="00F87D60"/>
    <w:rsid w:val="00F87EC3"/>
    <w:rsid w:val="00F87EF5"/>
    <w:rsid w:val="00F9003C"/>
    <w:rsid w:val="00F90527"/>
    <w:rsid w:val="00F906A2"/>
    <w:rsid w:val="00F90992"/>
    <w:rsid w:val="00F90997"/>
    <w:rsid w:val="00F90D32"/>
    <w:rsid w:val="00F911AB"/>
    <w:rsid w:val="00F917F5"/>
    <w:rsid w:val="00F91A7B"/>
    <w:rsid w:val="00F91AB2"/>
    <w:rsid w:val="00F91CA7"/>
    <w:rsid w:val="00F92B7A"/>
    <w:rsid w:val="00F92BA7"/>
    <w:rsid w:val="00F93345"/>
    <w:rsid w:val="00F9335B"/>
    <w:rsid w:val="00F936ED"/>
    <w:rsid w:val="00F93D6A"/>
    <w:rsid w:val="00F93F20"/>
    <w:rsid w:val="00F93F93"/>
    <w:rsid w:val="00F943A9"/>
    <w:rsid w:val="00F943AB"/>
    <w:rsid w:val="00F94555"/>
    <w:rsid w:val="00F947B7"/>
    <w:rsid w:val="00F94A98"/>
    <w:rsid w:val="00F94C87"/>
    <w:rsid w:val="00F94D76"/>
    <w:rsid w:val="00F94DB8"/>
    <w:rsid w:val="00F94FA8"/>
    <w:rsid w:val="00F9553C"/>
    <w:rsid w:val="00F96464"/>
    <w:rsid w:val="00F96E67"/>
    <w:rsid w:val="00F96ED3"/>
    <w:rsid w:val="00F9745A"/>
    <w:rsid w:val="00F97745"/>
    <w:rsid w:val="00F97B6E"/>
    <w:rsid w:val="00F97B80"/>
    <w:rsid w:val="00FA01DA"/>
    <w:rsid w:val="00FA0345"/>
    <w:rsid w:val="00FA056B"/>
    <w:rsid w:val="00FA080C"/>
    <w:rsid w:val="00FA0D70"/>
    <w:rsid w:val="00FA0DBC"/>
    <w:rsid w:val="00FA0F7E"/>
    <w:rsid w:val="00FA1065"/>
    <w:rsid w:val="00FA10AA"/>
    <w:rsid w:val="00FA1134"/>
    <w:rsid w:val="00FA113E"/>
    <w:rsid w:val="00FA1675"/>
    <w:rsid w:val="00FA2490"/>
    <w:rsid w:val="00FA2540"/>
    <w:rsid w:val="00FA27BC"/>
    <w:rsid w:val="00FA297B"/>
    <w:rsid w:val="00FA2C10"/>
    <w:rsid w:val="00FA2C27"/>
    <w:rsid w:val="00FA2C50"/>
    <w:rsid w:val="00FA2F27"/>
    <w:rsid w:val="00FA2F6C"/>
    <w:rsid w:val="00FA33A0"/>
    <w:rsid w:val="00FA3662"/>
    <w:rsid w:val="00FA37FA"/>
    <w:rsid w:val="00FA3BC7"/>
    <w:rsid w:val="00FA3F06"/>
    <w:rsid w:val="00FA4132"/>
    <w:rsid w:val="00FA4CDF"/>
    <w:rsid w:val="00FA4E83"/>
    <w:rsid w:val="00FA5175"/>
    <w:rsid w:val="00FA51B0"/>
    <w:rsid w:val="00FA5372"/>
    <w:rsid w:val="00FA5418"/>
    <w:rsid w:val="00FA557A"/>
    <w:rsid w:val="00FA567A"/>
    <w:rsid w:val="00FA5C27"/>
    <w:rsid w:val="00FA5C72"/>
    <w:rsid w:val="00FA6029"/>
    <w:rsid w:val="00FA659D"/>
    <w:rsid w:val="00FA69B9"/>
    <w:rsid w:val="00FA6C38"/>
    <w:rsid w:val="00FA6D15"/>
    <w:rsid w:val="00FA7357"/>
    <w:rsid w:val="00FA76E3"/>
    <w:rsid w:val="00FA7B78"/>
    <w:rsid w:val="00FA7BC2"/>
    <w:rsid w:val="00FA7CC4"/>
    <w:rsid w:val="00FA7F6C"/>
    <w:rsid w:val="00FA7FDD"/>
    <w:rsid w:val="00FB03C2"/>
    <w:rsid w:val="00FB0ADA"/>
    <w:rsid w:val="00FB0EC1"/>
    <w:rsid w:val="00FB1517"/>
    <w:rsid w:val="00FB1BD0"/>
    <w:rsid w:val="00FB1D1F"/>
    <w:rsid w:val="00FB1FFE"/>
    <w:rsid w:val="00FB2071"/>
    <w:rsid w:val="00FB20FC"/>
    <w:rsid w:val="00FB21BA"/>
    <w:rsid w:val="00FB2563"/>
    <w:rsid w:val="00FB2573"/>
    <w:rsid w:val="00FB25C7"/>
    <w:rsid w:val="00FB25D2"/>
    <w:rsid w:val="00FB2AB0"/>
    <w:rsid w:val="00FB2B30"/>
    <w:rsid w:val="00FB2DFF"/>
    <w:rsid w:val="00FB2F6A"/>
    <w:rsid w:val="00FB32F3"/>
    <w:rsid w:val="00FB3466"/>
    <w:rsid w:val="00FB35D8"/>
    <w:rsid w:val="00FB39ED"/>
    <w:rsid w:val="00FB3AB3"/>
    <w:rsid w:val="00FB42B2"/>
    <w:rsid w:val="00FB42C9"/>
    <w:rsid w:val="00FB42F7"/>
    <w:rsid w:val="00FB457E"/>
    <w:rsid w:val="00FB4693"/>
    <w:rsid w:val="00FB4D1F"/>
    <w:rsid w:val="00FB5239"/>
    <w:rsid w:val="00FB5784"/>
    <w:rsid w:val="00FB60E6"/>
    <w:rsid w:val="00FB6191"/>
    <w:rsid w:val="00FB6AA8"/>
    <w:rsid w:val="00FB6CB7"/>
    <w:rsid w:val="00FB6E47"/>
    <w:rsid w:val="00FB6EDC"/>
    <w:rsid w:val="00FB6F29"/>
    <w:rsid w:val="00FB6F3C"/>
    <w:rsid w:val="00FB77FF"/>
    <w:rsid w:val="00FB7897"/>
    <w:rsid w:val="00FB7EA3"/>
    <w:rsid w:val="00FC0341"/>
    <w:rsid w:val="00FC0DD9"/>
    <w:rsid w:val="00FC0F3C"/>
    <w:rsid w:val="00FC105A"/>
    <w:rsid w:val="00FC1073"/>
    <w:rsid w:val="00FC107E"/>
    <w:rsid w:val="00FC10E2"/>
    <w:rsid w:val="00FC12A3"/>
    <w:rsid w:val="00FC1441"/>
    <w:rsid w:val="00FC1B34"/>
    <w:rsid w:val="00FC1D3F"/>
    <w:rsid w:val="00FC1D4A"/>
    <w:rsid w:val="00FC1D90"/>
    <w:rsid w:val="00FC24A0"/>
    <w:rsid w:val="00FC279E"/>
    <w:rsid w:val="00FC2956"/>
    <w:rsid w:val="00FC29EA"/>
    <w:rsid w:val="00FC2A06"/>
    <w:rsid w:val="00FC3105"/>
    <w:rsid w:val="00FC3491"/>
    <w:rsid w:val="00FC34B8"/>
    <w:rsid w:val="00FC3626"/>
    <w:rsid w:val="00FC46A3"/>
    <w:rsid w:val="00FC4787"/>
    <w:rsid w:val="00FC4E4C"/>
    <w:rsid w:val="00FC4E4D"/>
    <w:rsid w:val="00FC4EA2"/>
    <w:rsid w:val="00FC5386"/>
    <w:rsid w:val="00FC553A"/>
    <w:rsid w:val="00FC5BE2"/>
    <w:rsid w:val="00FC5DD9"/>
    <w:rsid w:val="00FC60B5"/>
    <w:rsid w:val="00FC6293"/>
    <w:rsid w:val="00FC6EB5"/>
    <w:rsid w:val="00FC74B5"/>
    <w:rsid w:val="00FC7DEF"/>
    <w:rsid w:val="00FD01ED"/>
    <w:rsid w:val="00FD07B1"/>
    <w:rsid w:val="00FD0942"/>
    <w:rsid w:val="00FD0E9B"/>
    <w:rsid w:val="00FD110C"/>
    <w:rsid w:val="00FD1AA4"/>
    <w:rsid w:val="00FD1CDC"/>
    <w:rsid w:val="00FD1EC4"/>
    <w:rsid w:val="00FD1FDB"/>
    <w:rsid w:val="00FD2145"/>
    <w:rsid w:val="00FD284C"/>
    <w:rsid w:val="00FD2C0D"/>
    <w:rsid w:val="00FD3065"/>
    <w:rsid w:val="00FD3239"/>
    <w:rsid w:val="00FD3790"/>
    <w:rsid w:val="00FD3AB5"/>
    <w:rsid w:val="00FD3D61"/>
    <w:rsid w:val="00FD3D8E"/>
    <w:rsid w:val="00FD3E51"/>
    <w:rsid w:val="00FD407D"/>
    <w:rsid w:val="00FD4335"/>
    <w:rsid w:val="00FD4367"/>
    <w:rsid w:val="00FD43D4"/>
    <w:rsid w:val="00FD440E"/>
    <w:rsid w:val="00FD46C5"/>
    <w:rsid w:val="00FD49D5"/>
    <w:rsid w:val="00FD5455"/>
    <w:rsid w:val="00FD54A6"/>
    <w:rsid w:val="00FD637C"/>
    <w:rsid w:val="00FD66A6"/>
    <w:rsid w:val="00FD68FF"/>
    <w:rsid w:val="00FD69BB"/>
    <w:rsid w:val="00FD6CA5"/>
    <w:rsid w:val="00FD6EED"/>
    <w:rsid w:val="00FD728A"/>
    <w:rsid w:val="00FD7305"/>
    <w:rsid w:val="00FD7787"/>
    <w:rsid w:val="00FD786E"/>
    <w:rsid w:val="00FD7A86"/>
    <w:rsid w:val="00FD7D06"/>
    <w:rsid w:val="00FD7D66"/>
    <w:rsid w:val="00FD7D88"/>
    <w:rsid w:val="00FD7DE3"/>
    <w:rsid w:val="00FE02EC"/>
    <w:rsid w:val="00FE0371"/>
    <w:rsid w:val="00FE0AE0"/>
    <w:rsid w:val="00FE0C34"/>
    <w:rsid w:val="00FE0ED8"/>
    <w:rsid w:val="00FE102E"/>
    <w:rsid w:val="00FE170D"/>
    <w:rsid w:val="00FE1F2A"/>
    <w:rsid w:val="00FE1F62"/>
    <w:rsid w:val="00FE1F8A"/>
    <w:rsid w:val="00FE1F8C"/>
    <w:rsid w:val="00FE24DC"/>
    <w:rsid w:val="00FE2671"/>
    <w:rsid w:val="00FE2B19"/>
    <w:rsid w:val="00FE2C00"/>
    <w:rsid w:val="00FE2C7F"/>
    <w:rsid w:val="00FE2D63"/>
    <w:rsid w:val="00FE2E9F"/>
    <w:rsid w:val="00FE30AE"/>
    <w:rsid w:val="00FE342D"/>
    <w:rsid w:val="00FE37B5"/>
    <w:rsid w:val="00FE38A9"/>
    <w:rsid w:val="00FE3A7F"/>
    <w:rsid w:val="00FE3B13"/>
    <w:rsid w:val="00FE4100"/>
    <w:rsid w:val="00FE46AC"/>
    <w:rsid w:val="00FE47FC"/>
    <w:rsid w:val="00FE4A99"/>
    <w:rsid w:val="00FE4EDA"/>
    <w:rsid w:val="00FE4EED"/>
    <w:rsid w:val="00FE50B8"/>
    <w:rsid w:val="00FE5847"/>
    <w:rsid w:val="00FE5BA4"/>
    <w:rsid w:val="00FE5C2F"/>
    <w:rsid w:val="00FE628C"/>
    <w:rsid w:val="00FE66B2"/>
    <w:rsid w:val="00FE6751"/>
    <w:rsid w:val="00FE68A7"/>
    <w:rsid w:val="00FE6903"/>
    <w:rsid w:val="00FE690D"/>
    <w:rsid w:val="00FE6B2A"/>
    <w:rsid w:val="00FE71C9"/>
    <w:rsid w:val="00FE7528"/>
    <w:rsid w:val="00FE76B2"/>
    <w:rsid w:val="00FE77BB"/>
    <w:rsid w:val="00FE796E"/>
    <w:rsid w:val="00FE7985"/>
    <w:rsid w:val="00FE7DF7"/>
    <w:rsid w:val="00FE7F92"/>
    <w:rsid w:val="00FF067D"/>
    <w:rsid w:val="00FF072B"/>
    <w:rsid w:val="00FF08AA"/>
    <w:rsid w:val="00FF0A92"/>
    <w:rsid w:val="00FF0B70"/>
    <w:rsid w:val="00FF0D12"/>
    <w:rsid w:val="00FF1017"/>
    <w:rsid w:val="00FF15DA"/>
    <w:rsid w:val="00FF1642"/>
    <w:rsid w:val="00FF1728"/>
    <w:rsid w:val="00FF1887"/>
    <w:rsid w:val="00FF18AA"/>
    <w:rsid w:val="00FF1A24"/>
    <w:rsid w:val="00FF1FBF"/>
    <w:rsid w:val="00FF2361"/>
    <w:rsid w:val="00FF23E6"/>
    <w:rsid w:val="00FF2930"/>
    <w:rsid w:val="00FF2DCE"/>
    <w:rsid w:val="00FF2EAA"/>
    <w:rsid w:val="00FF3974"/>
    <w:rsid w:val="00FF3CE2"/>
    <w:rsid w:val="00FF3D7D"/>
    <w:rsid w:val="00FF3FA5"/>
    <w:rsid w:val="00FF4BDE"/>
    <w:rsid w:val="00FF4E6D"/>
    <w:rsid w:val="00FF5130"/>
    <w:rsid w:val="00FF5251"/>
    <w:rsid w:val="00FF5366"/>
    <w:rsid w:val="00FF5B2A"/>
    <w:rsid w:val="00FF5FCB"/>
    <w:rsid w:val="00FF643B"/>
    <w:rsid w:val="00FF6876"/>
    <w:rsid w:val="00FF6889"/>
    <w:rsid w:val="00FF6BEF"/>
    <w:rsid w:val="00FF707C"/>
    <w:rsid w:val="00FF7170"/>
    <w:rsid w:val="00FF71E2"/>
    <w:rsid w:val="00FF724A"/>
    <w:rsid w:val="0311C5CA"/>
    <w:rsid w:val="03C9F1E3"/>
    <w:rsid w:val="03E093C7"/>
    <w:rsid w:val="060C5571"/>
    <w:rsid w:val="07CF50C1"/>
    <w:rsid w:val="0969D851"/>
    <w:rsid w:val="09A01678"/>
    <w:rsid w:val="0B1C8C31"/>
    <w:rsid w:val="0B8AB320"/>
    <w:rsid w:val="0B95BB8B"/>
    <w:rsid w:val="0BD7509A"/>
    <w:rsid w:val="0C17E29C"/>
    <w:rsid w:val="0CAC2111"/>
    <w:rsid w:val="0DFD69CF"/>
    <w:rsid w:val="0FA6E25B"/>
    <w:rsid w:val="0FF9BC18"/>
    <w:rsid w:val="10535388"/>
    <w:rsid w:val="1396CF71"/>
    <w:rsid w:val="14225860"/>
    <w:rsid w:val="17E1950D"/>
    <w:rsid w:val="1907F118"/>
    <w:rsid w:val="1986D58B"/>
    <w:rsid w:val="1A99B696"/>
    <w:rsid w:val="1AB845B4"/>
    <w:rsid w:val="1C096B32"/>
    <w:rsid w:val="1C653212"/>
    <w:rsid w:val="1CDA48EC"/>
    <w:rsid w:val="1EA0E900"/>
    <w:rsid w:val="1F5B0265"/>
    <w:rsid w:val="206BC859"/>
    <w:rsid w:val="2149740D"/>
    <w:rsid w:val="215D82E5"/>
    <w:rsid w:val="21BF2B3F"/>
    <w:rsid w:val="2254AD39"/>
    <w:rsid w:val="23A4C6E4"/>
    <w:rsid w:val="24E891BF"/>
    <w:rsid w:val="25158DA5"/>
    <w:rsid w:val="25503731"/>
    <w:rsid w:val="25ADF13C"/>
    <w:rsid w:val="2615E68D"/>
    <w:rsid w:val="262570E6"/>
    <w:rsid w:val="26DA884C"/>
    <w:rsid w:val="294347B5"/>
    <w:rsid w:val="29EC6298"/>
    <w:rsid w:val="2A253022"/>
    <w:rsid w:val="2B708264"/>
    <w:rsid w:val="2E2B2371"/>
    <w:rsid w:val="2E76E316"/>
    <w:rsid w:val="2EE4DEDC"/>
    <w:rsid w:val="2F0C1FA1"/>
    <w:rsid w:val="2FC184DA"/>
    <w:rsid w:val="2FC1DC9A"/>
    <w:rsid w:val="2FC54B2B"/>
    <w:rsid w:val="30810506"/>
    <w:rsid w:val="309D6351"/>
    <w:rsid w:val="30CBA75E"/>
    <w:rsid w:val="3400EC3C"/>
    <w:rsid w:val="35413B19"/>
    <w:rsid w:val="35F86BCE"/>
    <w:rsid w:val="3626300E"/>
    <w:rsid w:val="36DAEFF1"/>
    <w:rsid w:val="37345737"/>
    <w:rsid w:val="37CD4F41"/>
    <w:rsid w:val="387D1476"/>
    <w:rsid w:val="393D6BB9"/>
    <w:rsid w:val="3BC79BE0"/>
    <w:rsid w:val="3CEECC78"/>
    <w:rsid w:val="3D7E9466"/>
    <w:rsid w:val="3E13BE90"/>
    <w:rsid w:val="3E1844C4"/>
    <w:rsid w:val="3EFB16B9"/>
    <w:rsid w:val="3FE7975F"/>
    <w:rsid w:val="436702BD"/>
    <w:rsid w:val="43AE54E1"/>
    <w:rsid w:val="4454A6ED"/>
    <w:rsid w:val="463440D4"/>
    <w:rsid w:val="4698A506"/>
    <w:rsid w:val="47AFDC20"/>
    <w:rsid w:val="47B2D7FC"/>
    <w:rsid w:val="4841958D"/>
    <w:rsid w:val="499F9846"/>
    <w:rsid w:val="4B3E0941"/>
    <w:rsid w:val="4BFCCFF3"/>
    <w:rsid w:val="4D6AF6E5"/>
    <w:rsid w:val="5061C9B3"/>
    <w:rsid w:val="5141A0F5"/>
    <w:rsid w:val="52FB47C8"/>
    <w:rsid w:val="53170B24"/>
    <w:rsid w:val="53278CBA"/>
    <w:rsid w:val="545F2C80"/>
    <w:rsid w:val="546746CE"/>
    <w:rsid w:val="5577A1F0"/>
    <w:rsid w:val="5830D89B"/>
    <w:rsid w:val="595A92CA"/>
    <w:rsid w:val="5BC47513"/>
    <w:rsid w:val="5F7A1AC4"/>
    <w:rsid w:val="5F9252AA"/>
    <w:rsid w:val="602EEE43"/>
    <w:rsid w:val="62EA99D3"/>
    <w:rsid w:val="63C9C97C"/>
    <w:rsid w:val="641A77BC"/>
    <w:rsid w:val="64CE331C"/>
    <w:rsid w:val="65B6D341"/>
    <w:rsid w:val="67E0C8B9"/>
    <w:rsid w:val="67E24F69"/>
    <w:rsid w:val="68227CD1"/>
    <w:rsid w:val="68259479"/>
    <w:rsid w:val="684A8923"/>
    <w:rsid w:val="685A6FF9"/>
    <w:rsid w:val="68D2EF1A"/>
    <w:rsid w:val="69058FCB"/>
    <w:rsid w:val="6996926C"/>
    <w:rsid w:val="69BB2723"/>
    <w:rsid w:val="69E4A802"/>
    <w:rsid w:val="6C1D13BF"/>
    <w:rsid w:val="6C52DD53"/>
    <w:rsid w:val="6CCBC08E"/>
    <w:rsid w:val="6D788605"/>
    <w:rsid w:val="6DA094F4"/>
    <w:rsid w:val="6E204B34"/>
    <w:rsid w:val="6E825DB8"/>
    <w:rsid w:val="6EA41118"/>
    <w:rsid w:val="705D5EB7"/>
    <w:rsid w:val="70CC75FA"/>
    <w:rsid w:val="70EF60BB"/>
    <w:rsid w:val="71BB4DF0"/>
    <w:rsid w:val="7311E552"/>
    <w:rsid w:val="731ED5BC"/>
    <w:rsid w:val="73484748"/>
    <w:rsid w:val="7549056D"/>
    <w:rsid w:val="7551F027"/>
    <w:rsid w:val="75F16AA5"/>
    <w:rsid w:val="76E1A383"/>
    <w:rsid w:val="76F13DEF"/>
    <w:rsid w:val="791FC340"/>
    <w:rsid w:val="792E16CF"/>
    <w:rsid w:val="794C12CE"/>
    <w:rsid w:val="79AB362F"/>
    <w:rsid w:val="7CDC75FD"/>
    <w:rsid w:val="7D75CA6A"/>
    <w:rsid w:val="7D7A2B26"/>
    <w:rsid w:val="7FB1F161"/>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1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1B56"/>
    <w:pPr>
      <w:spacing w:after="132" w:line="267" w:lineRule="auto"/>
      <w:ind w:left="78" w:hanging="8"/>
      <w:jc w:val="both"/>
    </w:pPr>
    <w:rPr>
      <w:rFonts w:ascii="Times New Roman" w:eastAsia="Times New Roman" w:hAnsi="Times New Roman" w:cs="Times New Roman"/>
      <w:color w:val="000000"/>
      <w:sz w:val="24"/>
    </w:rPr>
  </w:style>
  <w:style w:type="paragraph" w:styleId="Nagwek1">
    <w:name w:val="heading 1"/>
    <w:next w:val="NormalnyIRiESD"/>
    <w:link w:val="Nagwek1Znak"/>
    <w:autoRedefine/>
    <w:uiPriority w:val="9"/>
    <w:qFormat/>
    <w:rsid w:val="003D1957"/>
    <w:pPr>
      <w:numPr>
        <w:numId w:val="76"/>
      </w:numPr>
      <w:spacing w:before="240" w:after="240" w:line="250" w:lineRule="auto"/>
      <w:jc w:val="both"/>
      <w:outlineLvl w:val="0"/>
    </w:pPr>
    <w:rPr>
      <w:rFonts w:ascii="Times New Roman" w:eastAsia="Times New Roman" w:hAnsi="Times New Roman" w:cs="Times New Roman"/>
      <w:b/>
      <w:color w:val="000000"/>
      <w:sz w:val="24"/>
    </w:rPr>
  </w:style>
  <w:style w:type="paragraph" w:styleId="Nagwek2">
    <w:name w:val="heading 2"/>
    <w:next w:val="NormalnyIRiESD"/>
    <w:link w:val="Nagwek2Znak"/>
    <w:autoRedefine/>
    <w:uiPriority w:val="9"/>
    <w:unhideWhenUsed/>
    <w:qFormat/>
    <w:rsid w:val="00912464"/>
    <w:pPr>
      <w:numPr>
        <w:ilvl w:val="1"/>
        <w:numId w:val="336"/>
      </w:numPr>
      <w:spacing w:before="120" w:after="120" w:line="266" w:lineRule="auto"/>
      <w:ind w:left="1134" w:hanging="1134"/>
      <w:jc w:val="both"/>
      <w:outlineLvl w:val="1"/>
    </w:pPr>
    <w:rPr>
      <w:rFonts w:ascii="Times New Roman" w:eastAsia="Times New Roman" w:hAnsi="Times New Roman" w:cs="Times New Roman"/>
      <w:b/>
      <w:color w:val="000000"/>
      <w:sz w:val="24"/>
    </w:rPr>
  </w:style>
  <w:style w:type="paragraph" w:styleId="Nagwek3">
    <w:name w:val="heading 3"/>
    <w:next w:val="NormalnyIRiESD"/>
    <w:link w:val="Nagwek3Znak"/>
    <w:uiPriority w:val="9"/>
    <w:unhideWhenUsed/>
    <w:qFormat/>
    <w:rsid w:val="002122F3"/>
    <w:pPr>
      <w:numPr>
        <w:ilvl w:val="2"/>
        <w:numId w:val="336"/>
      </w:numPr>
      <w:spacing w:before="120" w:after="120" w:line="276" w:lineRule="auto"/>
      <w:jc w:val="both"/>
      <w:outlineLvl w:val="2"/>
    </w:pPr>
    <w:rPr>
      <w:rFonts w:ascii="Times New Roman" w:eastAsia="Times New Roman" w:hAnsi="Times New Roman" w:cs="Times New Roman"/>
      <w:color w:val="000000"/>
      <w:sz w:val="24"/>
    </w:rPr>
  </w:style>
  <w:style w:type="paragraph" w:styleId="Nagwek4">
    <w:name w:val="heading 4"/>
    <w:next w:val="NormalnyIRiESD"/>
    <w:link w:val="Nagwek4Znak"/>
    <w:autoRedefine/>
    <w:uiPriority w:val="9"/>
    <w:unhideWhenUsed/>
    <w:qFormat/>
    <w:rsid w:val="009A432E"/>
    <w:pPr>
      <w:numPr>
        <w:ilvl w:val="3"/>
        <w:numId w:val="336"/>
      </w:numPr>
      <w:spacing w:before="120" w:after="120" w:line="276" w:lineRule="auto"/>
      <w:ind w:left="1134" w:hanging="1134"/>
      <w:jc w:val="both"/>
      <w:outlineLvl w:val="3"/>
    </w:pPr>
    <w:rPr>
      <w:rFonts w:ascii="Times New Roman" w:eastAsia="Times New Roman" w:hAnsi="Times New Roman" w:cs="Times New Roman"/>
      <w:color w:val="000000"/>
      <w:sz w:val="24"/>
    </w:rPr>
  </w:style>
  <w:style w:type="paragraph" w:styleId="Nagwek5">
    <w:name w:val="heading 5"/>
    <w:next w:val="Normalny"/>
    <w:link w:val="Nagwek5Znak"/>
    <w:autoRedefine/>
    <w:uiPriority w:val="9"/>
    <w:unhideWhenUsed/>
    <w:qFormat/>
    <w:rsid w:val="002122F3"/>
    <w:pPr>
      <w:numPr>
        <w:ilvl w:val="4"/>
        <w:numId w:val="336"/>
      </w:numPr>
      <w:spacing w:before="120" w:after="120" w:line="276" w:lineRule="auto"/>
      <w:jc w:val="both"/>
      <w:outlineLvl w:val="4"/>
    </w:pPr>
    <w:rPr>
      <w:rFonts w:ascii="Times New Roman" w:eastAsia="Times New Roman" w:hAnsi="Times New Roman" w:cs="Times New Roman"/>
      <w:color w:val="000000"/>
      <w:sz w:val="24"/>
    </w:rPr>
  </w:style>
  <w:style w:type="paragraph" w:styleId="Nagwek6">
    <w:name w:val="heading 6"/>
    <w:next w:val="NormalnyIRiESD"/>
    <w:link w:val="Nagwek6Znak"/>
    <w:autoRedefine/>
    <w:uiPriority w:val="9"/>
    <w:unhideWhenUsed/>
    <w:qFormat/>
    <w:rsid w:val="002122F3"/>
    <w:pPr>
      <w:numPr>
        <w:ilvl w:val="5"/>
        <w:numId w:val="336"/>
      </w:numPr>
      <w:spacing w:before="120" w:after="120" w:line="276" w:lineRule="auto"/>
      <w:jc w:val="both"/>
      <w:outlineLvl w:val="5"/>
    </w:pPr>
    <w:rPr>
      <w:rFonts w:ascii="Times New Roman" w:eastAsia="Times New Roman" w:hAnsi="Times New Roman" w:cs="Times New Roman"/>
      <w:color w:val="000000"/>
      <w:sz w:val="24"/>
    </w:rPr>
  </w:style>
  <w:style w:type="paragraph" w:styleId="Nagwek7">
    <w:name w:val="heading 7"/>
    <w:next w:val="Normalny"/>
    <w:link w:val="Nagwek7Znak"/>
    <w:uiPriority w:val="9"/>
    <w:unhideWhenUsed/>
    <w:qFormat/>
    <w:rsid w:val="00106156"/>
    <w:pPr>
      <w:keepNext/>
      <w:keepLines/>
      <w:numPr>
        <w:ilvl w:val="6"/>
        <w:numId w:val="336"/>
      </w:numPr>
      <w:spacing w:after="108" w:line="249" w:lineRule="auto"/>
      <w:ind w:right="27"/>
      <w:jc w:val="both"/>
      <w:outlineLvl w:val="6"/>
    </w:pPr>
    <w:rPr>
      <w:rFonts w:ascii="Times New Roman" w:eastAsia="Times New Roman" w:hAnsi="Times New Roman" w:cs="Times New Roman"/>
      <w:color w:val="000000"/>
      <w:sz w:val="24"/>
    </w:rPr>
  </w:style>
  <w:style w:type="paragraph" w:styleId="Nagwek8">
    <w:name w:val="heading 8"/>
    <w:basedOn w:val="Normalny"/>
    <w:next w:val="Normalny"/>
    <w:link w:val="Nagwek8Znak"/>
    <w:uiPriority w:val="9"/>
    <w:unhideWhenUsed/>
    <w:qFormat/>
    <w:rsid w:val="00700EFC"/>
    <w:pPr>
      <w:keepNext/>
      <w:numPr>
        <w:numId w:val="140"/>
      </w:numPr>
      <w:spacing w:before="360" w:after="360" w:line="276" w:lineRule="auto"/>
      <w:ind w:left="470" w:hanging="357"/>
      <w:outlineLvl w:val="7"/>
    </w:pPr>
    <w:rPr>
      <w:b/>
      <w:bCs/>
    </w:rPr>
  </w:style>
  <w:style w:type="paragraph" w:styleId="Nagwek9">
    <w:name w:val="heading 9"/>
    <w:basedOn w:val="Normalny"/>
    <w:next w:val="Normalny"/>
    <w:link w:val="Nagwek9Znak"/>
    <w:uiPriority w:val="9"/>
    <w:unhideWhenUsed/>
    <w:qFormat/>
    <w:rsid w:val="00700EFC"/>
    <w:pPr>
      <w:keepNext/>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link w:val="Nagwek7"/>
    <w:uiPriority w:val="9"/>
    <w:rsid w:val="00106156"/>
    <w:rPr>
      <w:rFonts w:ascii="Times New Roman" w:eastAsia="Times New Roman" w:hAnsi="Times New Roman" w:cs="Times New Roman"/>
      <w:color w:val="000000"/>
      <w:sz w:val="24"/>
    </w:rPr>
  </w:style>
  <w:style w:type="character" w:customStyle="1" w:styleId="Nagwek3Znak">
    <w:name w:val="Nagłówek 3 Znak"/>
    <w:link w:val="Nagwek3"/>
    <w:uiPriority w:val="9"/>
    <w:rsid w:val="002122F3"/>
    <w:rPr>
      <w:rFonts w:ascii="Times New Roman" w:eastAsia="Times New Roman" w:hAnsi="Times New Roman" w:cs="Times New Roman"/>
      <w:color w:val="000000"/>
      <w:sz w:val="24"/>
    </w:rPr>
  </w:style>
  <w:style w:type="character" w:customStyle="1" w:styleId="Nagwek6Znak">
    <w:name w:val="Nagłówek 6 Znak"/>
    <w:link w:val="Nagwek6"/>
    <w:uiPriority w:val="9"/>
    <w:rsid w:val="002122F3"/>
    <w:rPr>
      <w:rFonts w:ascii="Times New Roman" w:eastAsia="Times New Roman" w:hAnsi="Times New Roman" w:cs="Times New Roman"/>
      <w:color w:val="000000"/>
      <w:sz w:val="24"/>
    </w:rPr>
  </w:style>
  <w:style w:type="character" w:customStyle="1" w:styleId="Nagwek1Znak">
    <w:name w:val="Nagłówek 1 Znak"/>
    <w:link w:val="Nagwek1"/>
    <w:uiPriority w:val="9"/>
    <w:rsid w:val="003D1957"/>
    <w:rPr>
      <w:rFonts w:ascii="Times New Roman" w:eastAsia="Times New Roman" w:hAnsi="Times New Roman" w:cs="Times New Roman"/>
      <w:b/>
      <w:color w:val="000000"/>
      <w:sz w:val="24"/>
    </w:rPr>
  </w:style>
  <w:style w:type="character" w:customStyle="1" w:styleId="Nagwek2Znak">
    <w:name w:val="Nagłówek 2 Znak"/>
    <w:link w:val="Nagwek2"/>
    <w:uiPriority w:val="9"/>
    <w:rsid w:val="00912464"/>
    <w:rPr>
      <w:rFonts w:ascii="Times New Roman" w:eastAsia="Times New Roman" w:hAnsi="Times New Roman" w:cs="Times New Roman"/>
      <w:b/>
      <w:color w:val="000000"/>
      <w:sz w:val="24"/>
    </w:rPr>
  </w:style>
  <w:style w:type="character" w:customStyle="1" w:styleId="Nagwek4Znak">
    <w:name w:val="Nagłówek 4 Znak"/>
    <w:link w:val="Nagwek4"/>
    <w:uiPriority w:val="9"/>
    <w:rsid w:val="009A432E"/>
    <w:rPr>
      <w:rFonts w:ascii="Times New Roman" w:eastAsia="Times New Roman" w:hAnsi="Times New Roman" w:cs="Times New Roman"/>
      <w:color w:val="000000"/>
      <w:sz w:val="24"/>
    </w:rPr>
  </w:style>
  <w:style w:type="character" w:customStyle="1" w:styleId="Nagwek5Znak">
    <w:name w:val="Nagłówek 5 Znak"/>
    <w:link w:val="Nagwek5"/>
    <w:uiPriority w:val="9"/>
    <w:rsid w:val="002122F3"/>
    <w:rPr>
      <w:rFonts w:ascii="Times New Roman" w:eastAsia="Times New Roman" w:hAnsi="Times New Roman" w:cs="Times New Roman"/>
      <w:color w:val="000000"/>
      <w:sz w:val="24"/>
    </w:rPr>
  </w:style>
  <w:style w:type="table" w:customStyle="1" w:styleId="Tabela-Siatka1">
    <w:name w:val="Tabela - Siatka1"/>
    <w:rsid w:val="00200A6D"/>
    <w:pPr>
      <w:spacing w:after="0" w:line="240" w:lineRule="auto"/>
    </w:pPr>
    <w:tblPr>
      <w:tblCellMar>
        <w:top w:w="0" w:type="dxa"/>
        <w:left w:w="0" w:type="dxa"/>
        <w:bottom w:w="0" w:type="dxa"/>
        <w:right w:w="0" w:type="dxa"/>
      </w:tblCellMar>
    </w:tblPr>
  </w:style>
  <w:style w:type="paragraph" w:styleId="Nagwekspisutreci">
    <w:name w:val="TOC Heading"/>
    <w:basedOn w:val="Nagwek1"/>
    <w:next w:val="Normalny"/>
    <w:uiPriority w:val="39"/>
    <w:unhideWhenUsed/>
    <w:qFormat/>
    <w:rsid w:val="007363E9"/>
    <w:pPr>
      <w:spacing w:after="0" w:line="259" w:lineRule="auto"/>
      <w:ind w:left="0" w:firstLine="0"/>
      <w:outlineLvl w:val="9"/>
    </w:pPr>
    <w:rPr>
      <w:rFonts w:asciiTheme="majorHAnsi" w:eastAsiaTheme="majorEastAsia" w:hAnsiTheme="majorHAnsi" w:cstheme="majorBidi"/>
      <w:b w:val="0"/>
      <w:color w:val="2F5496" w:themeColor="accent1" w:themeShade="BF"/>
      <w:sz w:val="32"/>
      <w:szCs w:val="32"/>
    </w:rPr>
  </w:style>
  <w:style w:type="paragraph" w:styleId="Spistreci1">
    <w:name w:val="toc 1"/>
    <w:basedOn w:val="Normalny"/>
    <w:next w:val="Normalny"/>
    <w:autoRedefine/>
    <w:uiPriority w:val="39"/>
    <w:unhideWhenUsed/>
    <w:rsid w:val="00D6322B"/>
    <w:pPr>
      <w:tabs>
        <w:tab w:val="right" w:pos="8778"/>
      </w:tabs>
      <w:spacing w:before="120" w:after="120" w:line="276" w:lineRule="auto"/>
      <w:ind w:left="567" w:right="567" w:hanging="567"/>
      <w:jc w:val="left"/>
    </w:pPr>
    <w:rPr>
      <w:b/>
      <w:bCs/>
      <w:sz w:val="18"/>
      <w:szCs w:val="20"/>
    </w:rPr>
  </w:style>
  <w:style w:type="paragraph" w:styleId="Spistreci2">
    <w:name w:val="toc 2"/>
    <w:basedOn w:val="Normalny"/>
    <w:next w:val="Normalny"/>
    <w:autoRedefine/>
    <w:uiPriority w:val="39"/>
    <w:unhideWhenUsed/>
    <w:rsid w:val="00695A64"/>
    <w:pPr>
      <w:spacing w:after="60" w:line="276" w:lineRule="auto"/>
      <w:ind w:left="567" w:right="567" w:hanging="567"/>
      <w:jc w:val="left"/>
    </w:pPr>
    <w:rPr>
      <w:iCs/>
      <w:sz w:val="18"/>
      <w:szCs w:val="20"/>
    </w:rPr>
  </w:style>
  <w:style w:type="paragraph" w:styleId="Spistreci3">
    <w:name w:val="toc 3"/>
    <w:basedOn w:val="Normalny"/>
    <w:next w:val="Normalny"/>
    <w:autoRedefine/>
    <w:uiPriority w:val="39"/>
    <w:unhideWhenUsed/>
    <w:rsid w:val="00404D6E"/>
    <w:pPr>
      <w:tabs>
        <w:tab w:val="right" w:pos="8778"/>
      </w:tabs>
      <w:spacing w:before="120" w:after="0" w:line="240" w:lineRule="auto"/>
      <w:ind w:left="2835" w:right="991" w:hanging="425"/>
      <w:jc w:val="left"/>
    </w:pPr>
    <w:rPr>
      <w:b/>
      <w:noProof/>
      <w:sz w:val="18"/>
      <w:szCs w:val="20"/>
    </w:rPr>
  </w:style>
  <w:style w:type="character" w:styleId="Hipercze">
    <w:name w:val="Hyperlink"/>
    <w:basedOn w:val="Domylnaczcionkaakapitu"/>
    <w:uiPriority w:val="99"/>
    <w:unhideWhenUsed/>
    <w:rsid w:val="007363E9"/>
    <w:rPr>
      <w:color w:val="0563C1" w:themeColor="hyperlink"/>
      <w:u w:val="single"/>
    </w:rPr>
  </w:style>
  <w:style w:type="paragraph" w:styleId="Akapitzlist">
    <w:name w:val="List Paragraph"/>
    <w:basedOn w:val="Normalny"/>
    <w:link w:val="AkapitzlistZnak"/>
    <w:uiPriority w:val="34"/>
    <w:qFormat/>
    <w:rsid w:val="00BA7F93"/>
    <w:pPr>
      <w:ind w:left="720"/>
      <w:contextualSpacing/>
    </w:pPr>
  </w:style>
  <w:style w:type="character" w:styleId="Tekstzastpczy">
    <w:name w:val="Placeholder Text"/>
    <w:basedOn w:val="Domylnaczcionkaakapitu"/>
    <w:uiPriority w:val="99"/>
    <w:semiHidden/>
    <w:rsid w:val="00761964"/>
    <w:rPr>
      <w:color w:val="808080"/>
    </w:rPr>
  </w:style>
  <w:style w:type="paragraph" w:styleId="Tekstdymka">
    <w:name w:val="Balloon Text"/>
    <w:basedOn w:val="Normalny"/>
    <w:link w:val="TekstdymkaZnak"/>
    <w:uiPriority w:val="99"/>
    <w:semiHidden/>
    <w:unhideWhenUsed/>
    <w:rsid w:val="008A1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196B"/>
    <w:rPr>
      <w:rFonts w:ascii="Segoe UI" w:eastAsia="Times New Roman" w:hAnsi="Segoe UI" w:cs="Segoe UI"/>
      <w:color w:val="000000"/>
      <w:sz w:val="18"/>
      <w:szCs w:val="18"/>
    </w:rPr>
  </w:style>
  <w:style w:type="paragraph" w:styleId="Tekstpodstawowy">
    <w:name w:val="Body Text"/>
    <w:basedOn w:val="Normalny"/>
    <w:link w:val="TekstpodstawowyZnak"/>
    <w:rsid w:val="00D95658"/>
    <w:pPr>
      <w:tabs>
        <w:tab w:val="center" w:pos="4536"/>
        <w:tab w:val="right" w:pos="9072"/>
      </w:tabs>
      <w:spacing w:before="120" w:after="0" w:line="360" w:lineRule="auto"/>
      <w:ind w:left="0" w:firstLine="0"/>
    </w:pPr>
    <w:rPr>
      <w:szCs w:val="20"/>
    </w:rPr>
  </w:style>
  <w:style w:type="character" w:customStyle="1" w:styleId="TekstpodstawowyZnak">
    <w:name w:val="Tekst podstawowy Znak"/>
    <w:basedOn w:val="Domylnaczcionkaakapitu"/>
    <w:link w:val="Tekstpodstawowy"/>
    <w:rsid w:val="00D95658"/>
    <w:rPr>
      <w:rFonts w:ascii="Times New Roman" w:eastAsia="Times New Roman" w:hAnsi="Times New Roman" w:cs="Times New Roman"/>
      <w:color w:val="000000"/>
      <w:sz w:val="24"/>
      <w:szCs w:val="20"/>
    </w:rPr>
  </w:style>
  <w:style w:type="paragraph" w:customStyle="1" w:styleId="Default">
    <w:name w:val="Default"/>
    <w:rsid w:val="00072CE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agwek">
    <w:name w:val="header"/>
    <w:basedOn w:val="Normalny"/>
    <w:link w:val="NagwekZnak"/>
    <w:uiPriority w:val="99"/>
    <w:unhideWhenUsed/>
    <w:rsid w:val="00072C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2CE8"/>
    <w:rPr>
      <w:rFonts w:ascii="Times New Roman" w:eastAsia="Times New Roman" w:hAnsi="Times New Roman" w:cs="Times New Roman"/>
      <w:color w:val="000000"/>
      <w:sz w:val="24"/>
    </w:rPr>
  </w:style>
  <w:style w:type="character" w:customStyle="1" w:styleId="Nierozpoznanawzmianka1">
    <w:name w:val="Nierozpoznana wzmianka1"/>
    <w:basedOn w:val="Domylnaczcionkaakapitu"/>
    <w:uiPriority w:val="99"/>
    <w:semiHidden/>
    <w:unhideWhenUsed/>
    <w:rsid w:val="003D3170"/>
    <w:rPr>
      <w:color w:val="605E5C"/>
      <w:shd w:val="clear" w:color="auto" w:fill="E1DFDD"/>
    </w:rPr>
  </w:style>
  <w:style w:type="numbering" w:customStyle="1" w:styleId="IRiESD">
    <w:name w:val="IRiESD"/>
    <w:uiPriority w:val="99"/>
    <w:rsid w:val="00D254DC"/>
    <w:pPr>
      <w:numPr>
        <w:numId w:val="1"/>
      </w:numPr>
    </w:pPr>
  </w:style>
  <w:style w:type="paragraph" w:styleId="Tekstblokowy">
    <w:name w:val="Block Text"/>
    <w:basedOn w:val="Normalny"/>
    <w:uiPriority w:val="99"/>
    <w:unhideWhenUsed/>
    <w:rsid w:val="00D2484B"/>
    <w:pPr>
      <w:spacing w:after="62" w:line="331" w:lineRule="auto"/>
      <w:ind w:left="1560" w:right="169" w:firstLine="0"/>
    </w:pPr>
    <w:rPr>
      <w:szCs w:val="24"/>
    </w:rPr>
  </w:style>
  <w:style w:type="paragraph" w:customStyle="1" w:styleId="1przed">
    <w:name w:val="1) przed"/>
    <w:basedOn w:val="Akapitzlist"/>
    <w:link w:val="1przedZnak"/>
    <w:autoRedefine/>
    <w:qFormat/>
    <w:rsid w:val="00EF06A5"/>
    <w:pPr>
      <w:numPr>
        <w:numId w:val="2"/>
      </w:numPr>
      <w:spacing w:before="120" w:after="120" w:line="276" w:lineRule="auto"/>
      <w:contextualSpacing w:val="0"/>
    </w:pPr>
  </w:style>
  <w:style w:type="paragraph" w:customStyle="1" w:styleId="apo">
    <w:name w:val="a) po"/>
    <w:basedOn w:val="Akapitzlist"/>
    <w:link w:val="apoZnak"/>
    <w:autoRedefine/>
    <w:qFormat/>
    <w:rsid w:val="00F42B25"/>
    <w:pPr>
      <w:spacing w:before="120" w:after="120" w:line="266" w:lineRule="auto"/>
      <w:ind w:left="1701" w:firstLine="0"/>
      <w:contextualSpacing w:val="0"/>
    </w:pPr>
  </w:style>
  <w:style w:type="character" w:customStyle="1" w:styleId="AkapitzlistZnak">
    <w:name w:val="Akapit z listą Znak"/>
    <w:basedOn w:val="Domylnaczcionkaakapitu"/>
    <w:link w:val="Akapitzlist"/>
    <w:uiPriority w:val="34"/>
    <w:rsid w:val="00BF2F3F"/>
    <w:rPr>
      <w:rFonts w:ascii="Times New Roman" w:eastAsia="Times New Roman" w:hAnsi="Times New Roman" w:cs="Times New Roman"/>
      <w:color w:val="000000"/>
      <w:sz w:val="24"/>
    </w:rPr>
  </w:style>
  <w:style w:type="character" w:customStyle="1" w:styleId="1przedZnak">
    <w:name w:val="1) przed Znak"/>
    <w:basedOn w:val="AkapitzlistZnak"/>
    <w:link w:val="1przed"/>
    <w:rsid w:val="00EF06A5"/>
    <w:rPr>
      <w:rFonts w:ascii="Times New Roman" w:eastAsia="Times New Roman" w:hAnsi="Times New Roman" w:cs="Times New Roman"/>
      <w:color w:val="000000"/>
      <w:sz w:val="24"/>
    </w:rPr>
  </w:style>
  <w:style w:type="character" w:customStyle="1" w:styleId="apoZnak">
    <w:name w:val="a) po Znak"/>
    <w:basedOn w:val="AkapitzlistZnak"/>
    <w:link w:val="apo"/>
    <w:rsid w:val="00F42B25"/>
    <w:rPr>
      <w:rFonts w:ascii="Times New Roman" w:eastAsia="Times New Roman" w:hAnsi="Times New Roman" w:cs="Times New Roman"/>
      <w:color w:val="000000"/>
      <w:sz w:val="24"/>
    </w:rPr>
  </w:style>
  <w:style w:type="paragraph" w:customStyle="1" w:styleId="i">
    <w:name w:val="(i)"/>
    <w:basedOn w:val="Normalny"/>
    <w:link w:val="iZnak"/>
    <w:autoRedefine/>
    <w:qFormat/>
    <w:rsid w:val="00591A0A"/>
    <w:pPr>
      <w:numPr>
        <w:numId w:val="75"/>
      </w:numPr>
      <w:spacing w:before="120" w:after="120" w:line="266" w:lineRule="auto"/>
    </w:pPr>
  </w:style>
  <w:style w:type="paragraph" w:customStyle="1" w:styleId="aprzed">
    <w:name w:val="a) przed"/>
    <w:link w:val="aprzedZnak"/>
    <w:autoRedefine/>
    <w:qFormat/>
    <w:rsid w:val="00DF5D04"/>
    <w:pPr>
      <w:numPr>
        <w:numId w:val="388"/>
      </w:numPr>
      <w:spacing w:before="120" w:after="120" w:line="266" w:lineRule="auto"/>
      <w:jc w:val="both"/>
    </w:pPr>
    <w:rPr>
      <w:rFonts w:ascii="Times New Roman" w:eastAsia="Times New Roman" w:hAnsi="Times New Roman" w:cs="Times New Roman"/>
      <w:color w:val="000000"/>
      <w:sz w:val="24"/>
    </w:rPr>
  </w:style>
  <w:style w:type="character" w:customStyle="1" w:styleId="iZnak">
    <w:name w:val="(i) Znak"/>
    <w:basedOn w:val="Domylnaczcionkaakapitu"/>
    <w:link w:val="i"/>
    <w:rsid w:val="00591A0A"/>
    <w:rPr>
      <w:rFonts w:ascii="Times New Roman" w:eastAsia="Times New Roman" w:hAnsi="Times New Roman" w:cs="Times New Roman"/>
      <w:color w:val="000000"/>
      <w:sz w:val="24"/>
    </w:rPr>
  </w:style>
  <w:style w:type="paragraph" w:customStyle="1" w:styleId="-">
    <w:name w:val="-"/>
    <w:link w:val="-Znak"/>
    <w:autoRedefine/>
    <w:qFormat/>
    <w:rsid w:val="00E65C48"/>
    <w:pPr>
      <w:numPr>
        <w:numId w:val="13"/>
      </w:numPr>
      <w:spacing w:before="120" w:after="120" w:line="276" w:lineRule="auto"/>
      <w:ind w:left="2285" w:hanging="357"/>
      <w:jc w:val="both"/>
    </w:pPr>
    <w:rPr>
      <w:rFonts w:ascii="Times New Roman" w:eastAsia="Times New Roman" w:hAnsi="Times New Roman" w:cs="Times New Roman"/>
      <w:color w:val="000000"/>
      <w:sz w:val="24"/>
    </w:rPr>
  </w:style>
  <w:style w:type="character" w:customStyle="1" w:styleId="aprzedZnak">
    <w:name w:val="a) przed Znak"/>
    <w:basedOn w:val="1przedZnak"/>
    <w:link w:val="aprzed"/>
    <w:rsid w:val="00DF5D04"/>
    <w:rPr>
      <w:rFonts w:ascii="Times New Roman" w:eastAsia="Times New Roman" w:hAnsi="Times New Roman" w:cs="Times New Roman"/>
      <w:color w:val="000000"/>
      <w:sz w:val="24"/>
    </w:rPr>
  </w:style>
  <w:style w:type="paragraph" w:customStyle="1" w:styleId="Nagwek3gruby">
    <w:name w:val="Nagłówek 3 gruby"/>
    <w:basedOn w:val="Nagwek3"/>
    <w:next w:val="Nagwek3"/>
    <w:link w:val="Nagwek3grubyZnak"/>
    <w:autoRedefine/>
    <w:qFormat/>
    <w:rsid w:val="003A6277"/>
    <w:rPr>
      <w:b/>
    </w:rPr>
  </w:style>
  <w:style w:type="character" w:customStyle="1" w:styleId="-Znak">
    <w:name w:val="- Znak"/>
    <w:basedOn w:val="Domylnaczcionkaakapitu"/>
    <w:link w:val="-"/>
    <w:rsid w:val="00E65C48"/>
    <w:rPr>
      <w:rFonts w:ascii="Times New Roman" w:eastAsia="Times New Roman" w:hAnsi="Times New Roman" w:cs="Times New Roman"/>
      <w:color w:val="000000"/>
      <w:sz w:val="24"/>
    </w:rPr>
  </w:style>
  <w:style w:type="paragraph" w:customStyle="1" w:styleId="kropka">
    <w:name w:val="kropka"/>
    <w:basedOn w:val="Normalny"/>
    <w:link w:val="kropkaZnak"/>
    <w:autoRedefine/>
    <w:qFormat/>
    <w:rsid w:val="00924395"/>
    <w:pPr>
      <w:numPr>
        <w:numId w:val="43"/>
      </w:numPr>
      <w:spacing w:before="120" w:after="120" w:line="276" w:lineRule="auto"/>
      <w:ind w:left="2285" w:hanging="442"/>
    </w:pPr>
  </w:style>
  <w:style w:type="character" w:customStyle="1" w:styleId="Nagwek3grubyZnak">
    <w:name w:val="Nagłówek 3 gruby Znak"/>
    <w:basedOn w:val="Nagwek3Znak"/>
    <w:link w:val="Nagwek3gruby"/>
    <w:rsid w:val="003A6277"/>
    <w:rPr>
      <w:rFonts w:ascii="Times New Roman" w:eastAsia="Times New Roman" w:hAnsi="Times New Roman" w:cs="Times New Roman"/>
      <w:b/>
      <w:color w:val="000000"/>
      <w:sz w:val="24"/>
    </w:rPr>
  </w:style>
  <w:style w:type="paragraph" w:customStyle="1" w:styleId="Normalnytekst">
    <w:name w:val="Normalny tekst"/>
    <w:basedOn w:val="Nagwek5"/>
    <w:link w:val="NormalnytekstZnak"/>
    <w:rsid w:val="00E914CA"/>
    <w:pPr>
      <w:numPr>
        <w:ilvl w:val="0"/>
        <w:numId w:val="0"/>
      </w:numPr>
      <w:ind w:left="1531"/>
    </w:pPr>
  </w:style>
  <w:style w:type="character" w:customStyle="1" w:styleId="kropkaZnak">
    <w:name w:val="kropka Znak"/>
    <w:basedOn w:val="Domylnaczcionkaakapitu"/>
    <w:link w:val="kropka"/>
    <w:rsid w:val="00924395"/>
    <w:rPr>
      <w:rFonts w:ascii="Times New Roman" w:eastAsia="Times New Roman" w:hAnsi="Times New Roman" w:cs="Times New Roman"/>
      <w:color w:val="000000"/>
      <w:sz w:val="24"/>
    </w:rPr>
  </w:style>
  <w:style w:type="paragraph" w:customStyle="1" w:styleId="NormalnyIRiESD">
    <w:name w:val="Normalny IRiESD"/>
    <w:basedOn w:val="Normalny"/>
    <w:link w:val="NormalnyIRiESDZnak"/>
    <w:autoRedefine/>
    <w:qFormat/>
    <w:rsid w:val="00CD6EA3"/>
    <w:pPr>
      <w:numPr>
        <w:numId w:val="435"/>
      </w:numPr>
      <w:tabs>
        <w:tab w:val="left" w:pos="2694"/>
      </w:tabs>
      <w:spacing w:before="120" w:after="120" w:line="266" w:lineRule="auto"/>
      <w:ind w:left="1134" w:hanging="1134"/>
    </w:pPr>
  </w:style>
  <w:style w:type="character" w:customStyle="1" w:styleId="NormalnytekstZnak">
    <w:name w:val="Normalny tekst Znak"/>
    <w:basedOn w:val="Nagwek5Znak"/>
    <w:link w:val="Normalnytekst"/>
    <w:rsid w:val="00E914CA"/>
    <w:rPr>
      <w:rFonts w:ascii="Times New Roman" w:eastAsia="Times New Roman" w:hAnsi="Times New Roman" w:cs="Times New Roman"/>
      <w:color w:val="000000"/>
      <w:sz w:val="24"/>
    </w:rPr>
  </w:style>
  <w:style w:type="character" w:customStyle="1" w:styleId="NormalnyIRiESDZnak">
    <w:name w:val="Normalny IRiESD Znak"/>
    <w:basedOn w:val="Domylnaczcionkaakapitu"/>
    <w:link w:val="NormalnyIRiESD"/>
    <w:rsid w:val="00CD6EA3"/>
    <w:rPr>
      <w:rFonts w:ascii="Times New Roman" w:eastAsia="Times New Roman" w:hAnsi="Times New Roman" w:cs="Times New Roman"/>
      <w:color w:val="000000"/>
      <w:sz w:val="24"/>
    </w:rPr>
  </w:style>
  <w:style w:type="paragraph" w:styleId="Tekstpodstawowywcity">
    <w:name w:val="Body Text Indent"/>
    <w:basedOn w:val="Normalny"/>
    <w:link w:val="TekstpodstawowywcityZnak"/>
    <w:uiPriority w:val="99"/>
    <w:unhideWhenUsed/>
    <w:rsid w:val="00BB6BE1"/>
    <w:pPr>
      <w:ind w:left="70" w:firstLine="0"/>
      <w:jc w:val="center"/>
    </w:pPr>
    <w:rPr>
      <w:b/>
      <w:bCs/>
      <w:sz w:val="40"/>
      <w:szCs w:val="40"/>
    </w:rPr>
  </w:style>
  <w:style w:type="character" w:customStyle="1" w:styleId="TekstpodstawowywcityZnak">
    <w:name w:val="Tekst podstawowy wcięty Znak"/>
    <w:basedOn w:val="Domylnaczcionkaakapitu"/>
    <w:link w:val="Tekstpodstawowywcity"/>
    <w:uiPriority w:val="99"/>
    <w:rsid w:val="00BB6BE1"/>
    <w:rPr>
      <w:rFonts w:ascii="Times New Roman" w:eastAsia="Times New Roman" w:hAnsi="Times New Roman" w:cs="Times New Roman"/>
      <w:b/>
      <w:bCs/>
      <w:color w:val="000000"/>
      <w:sz w:val="40"/>
      <w:szCs w:val="40"/>
    </w:rPr>
  </w:style>
  <w:style w:type="paragraph" w:customStyle="1" w:styleId="ANagwek1">
    <w:name w:val="A Nagłówek 1"/>
    <w:basedOn w:val="Nagwek1"/>
    <w:next w:val="NormalnyIRiESD"/>
    <w:link w:val="ANagwek1Znak"/>
    <w:autoRedefine/>
    <w:qFormat/>
    <w:rsid w:val="00791B7D"/>
    <w:pPr>
      <w:numPr>
        <w:numId w:val="0"/>
      </w:numPr>
      <w:spacing w:before="120" w:line="276" w:lineRule="auto"/>
      <w:ind w:left="1191" w:hanging="1191"/>
    </w:pPr>
    <w:rPr>
      <w:rFonts w:eastAsia="Calibri"/>
      <w:b w:val="0"/>
      <w:bCs/>
    </w:rPr>
  </w:style>
  <w:style w:type="character" w:customStyle="1" w:styleId="ANagwek1Znak">
    <w:name w:val="A Nagłówek 1 Znak"/>
    <w:basedOn w:val="Nagwek1Znak"/>
    <w:link w:val="ANagwek1"/>
    <w:rsid w:val="00791B7D"/>
    <w:rPr>
      <w:rFonts w:ascii="Times New Roman" w:eastAsia="Calibri" w:hAnsi="Times New Roman" w:cs="Times New Roman"/>
      <w:b w:val="0"/>
      <w:bCs/>
      <w:color w:val="000000"/>
      <w:sz w:val="24"/>
    </w:rPr>
  </w:style>
  <w:style w:type="paragraph" w:customStyle="1" w:styleId="ANagwek2">
    <w:name w:val="A Nagłówek 2"/>
    <w:basedOn w:val="Nagwek2"/>
    <w:next w:val="NormalnyIRiESD"/>
    <w:link w:val="ANagwek2Znak"/>
    <w:autoRedefine/>
    <w:qFormat/>
    <w:rsid w:val="0024189C"/>
    <w:pPr>
      <w:numPr>
        <w:numId w:val="85"/>
      </w:numPr>
      <w:spacing w:line="276" w:lineRule="auto"/>
      <w:ind w:left="1134" w:hanging="1134"/>
    </w:pPr>
    <w:rPr>
      <w:bCs/>
    </w:rPr>
  </w:style>
  <w:style w:type="paragraph" w:customStyle="1" w:styleId="ANagwek3">
    <w:name w:val="A Nagłówek 3"/>
    <w:basedOn w:val="Nagwek3"/>
    <w:next w:val="NormalnyIRiESD"/>
    <w:link w:val="ANagwek3Znak"/>
    <w:autoRedefine/>
    <w:qFormat/>
    <w:rsid w:val="004854C6"/>
    <w:pPr>
      <w:numPr>
        <w:numId w:val="85"/>
      </w:numPr>
      <w:ind w:left="1134" w:hanging="1134"/>
    </w:pPr>
    <w:rPr>
      <w:color w:val="auto"/>
    </w:rPr>
  </w:style>
  <w:style w:type="character" w:customStyle="1" w:styleId="ANagwek2Znak">
    <w:name w:val="A Nagłówek 2 Znak"/>
    <w:basedOn w:val="Nagwek2Znak"/>
    <w:link w:val="ANagwek2"/>
    <w:rsid w:val="0024189C"/>
    <w:rPr>
      <w:rFonts w:ascii="Times New Roman" w:eastAsia="Times New Roman" w:hAnsi="Times New Roman" w:cs="Times New Roman"/>
      <w:b/>
      <w:bCs/>
      <w:color w:val="000000"/>
      <w:sz w:val="24"/>
    </w:rPr>
  </w:style>
  <w:style w:type="paragraph" w:customStyle="1" w:styleId="ANagwek4">
    <w:name w:val="A Nagłówek 4"/>
    <w:basedOn w:val="Nagwek4"/>
    <w:next w:val="NormalnyIRiESD"/>
    <w:link w:val="ANagwek4Znak"/>
    <w:qFormat/>
    <w:rsid w:val="004C2EAB"/>
    <w:pPr>
      <w:numPr>
        <w:numId w:val="85"/>
      </w:numPr>
    </w:pPr>
  </w:style>
  <w:style w:type="character" w:customStyle="1" w:styleId="ANagwek3Znak">
    <w:name w:val="A Nagłówek 3 Znak"/>
    <w:basedOn w:val="Nagwek3Znak"/>
    <w:link w:val="ANagwek3"/>
    <w:rsid w:val="004854C6"/>
    <w:rPr>
      <w:rFonts w:ascii="Times New Roman" w:eastAsia="Times New Roman" w:hAnsi="Times New Roman" w:cs="Times New Roman"/>
      <w:color w:val="000000"/>
      <w:sz w:val="24"/>
    </w:rPr>
  </w:style>
  <w:style w:type="paragraph" w:customStyle="1" w:styleId="ANagwek5">
    <w:name w:val="A Nagłówek 5"/>
    <w:basedOn w:val="Nagwek5"/>
    <w:next w:val="NormalnyIRiESD"/>
    <w:link w:val="ANagwek5Znak"/>
    <w:qFormat/>
    <w:rsid w:val="004C2EAB"/>
    <w:pPr>
      <w:numPr>
        <w:numId w:val="85"/>
      </w:numPr>
    </w:pPr>
  </w:style>
  <w:style w:type="character" w:customStyle="1" w:styleId="ANagwek4Znak">
    <w:name w:val="A Nagłówek 4 Znak"/>
    <w:basedOn w:val="Nagwek4Znak"/>
    <w:link w:val="ANagwek4"/>
    <w:rsid w:val="004C2EAB"/>
    <w:rPr>
      <w:rFonts w:ascii="Times New Roman" w:eastAsia="Times New Roman" w:hAnsi="Times New Roman" w:cs="Times New Roman"/>
      <w:color w:val="000000"/>
      <w:sz w:val="24"/>
    </w:rPr>
  </w:style>
  <w:style w:type="paragraph" w:customStyle="1" w:styleId="ANagwek7">
    <w:name w:val="A Nagłówek 7"/>
    <w:basedOn w:val="Nagwek7"/>
    <w:next w:val="NormalnyIRiESD"/>
    <w:link w:val="ANagwek7Znak"/>
    <w:autoRedefine/>
    <w:qFormat/>
    <w:rsid w:val="00D86678"/>
    <w:pPr>
      <w:numPr>
        <w:numId w:val="85"/>
      </w:numPr>
      <w:spacing w:before="120" w:after="120" w:line="276" w:lineRule="auto"/>
      <w:ind w:right="0"/>
    </w:pPr>
  </w:style>
  <w:style w:type="character" w:customStyle="1" w:styleId="ANagwek5Znak">
    <w:name w:val="A Nagłówek 5 Znak"/>
    <w:basedOn w:val="Nagwek5Znak"/>
    <w:link w:val="ANagwek5"/>
    <w:rsid w:val="004C2EAB"/>
    <w:rPr>
      <w:rFonts w:ascii="Times New Roman" w:eastAsia="Times New Roman" w:hAnsi="Times New Roman" w:cs="Times New Roman"/>
      <w:color w:val="000000"/>
      <w:sz w:val="24"/>
    </w:rPr>
  </w:style>
  <w:style w:type="paragraph" w:customStyle="1" w:styleId="ANagwek3gruby">
    <w:name w:val="A Nagłówek 3 gruby"/>
    <w:basedOn w:val="ANagwek3"/>
    <w:next w:val="ANagwek3"/>
    <w:link w:val="ANagwek3grubyZnak"/>
    <w:autoRedefine/>
    <w:qFormat/>
    <w:rsid w:val="00245544"/>
    <w:pPr>
      <w:numPr>
        <w:ilvl w:val="0"/>
        <w:numId w:val="0"/>
      </w:numPr>
      <w:ind w:left="1531" w:hanging="1531"/>
    </w:pPr>
    <w:rPr>
      <w:b/>
    </w:rPr>
  </w:style>
  <w:style w:type="character" w:customStyle="1" w:styleId="ANagwek7Znak">
    <w:name w:val="A Nagłówek 7 Znak"/>
    <w:basedOn w:val="Nagwek7Znak"/>
    <w:link w:val="ANagwek7"/>
    <w:rsid w:val="00D86678"/>
    <w:rPr>
      <w:rFonts w:ascii="Times New Roman" w:eastAsia="Times New Roman" w:hAnsi="Times New Roman" w:cs="Times New Roman"/>
      <w:color w:val="000000"/>
      <w:sz w:val="24"/>
    </w:rPr>
  </w:style>
  <w:style w:type="paragraph" w:styleId="Tekstpodstawowywcity2">
    <w:name w:val="Body Text Indent 2"/>
    <w:basedOn w:val="Normalny"/>
    <w:link w:val="Tekstpodstawowywcity2Znak"/>
    <w:uiPriority w:val="99"/>
    <w:unhideWhenUsed/>
    <w:rsid w:val="009115F2"/>
    <w:pPr>
      <w:ind w:left="70" w:firstLine="0"/>
    </w:pPr>
  </w:style>
  <w:style w:type="character" w:customStyle="1" w:styleId="ANagwek3grubyZnak">
    <w:name w:val="A Nagłówek 3 gruby Znak"/>
    <w:basedOn w:val="Nagwek3grubyZnak"/>
    <w:link w:val="ANagwek3gruby"/>
    <w:rsid w:val="00245544"/>
    <w:rPr>
      <w:rFonts w:ascii="Times New Roman" w:eastAsia="Times New Roman" w:hAnsi="Times New Roman" w:cs="Times New Roman"/>
      <w:b/>
      <w:color w:val="000000"/>
      <w:sz w:val="24"/>
    </w:rPr>
  </w:style>
  <w:style w:type="character" w:customStyle="1" w:styleId="Tekstpodstawowywcity2Znak">
    <w:name w:val="Tekst podstawowy wcięty 2 Znak"/>
    <w:basedOn w:val="Domylnaczcionkaakapitu"/>
    <w:link w:val="Tekstpodstawowywcity2"/>
    <w:uiPriority w:val="99"/>
    <w:rsid w:val="009115F2"/>
    <w:rPr>
      <w:rFonts w:ascii="Times New Roman" w:eastAsia="Times New Roman" w:hAnsi="Times New Roman" w:cs="Times New Roman"/>
      <w:color w:val="000000"/>
      <w:sz w:val="24"/>
    </w:rPr>
  </w:style>
  <w:style w:type="paragraph" w:customStyle="1" w:styleId="1przeda">
    <w:name w:val="1) przed a)"/>
    <w:basedOn w:val="1przed"/>
    <w:next w:val="NormalnyIRiESD"/>
    <w:link w:val="1przedaZnak"/>
    <w:qFormat/>
    <w:rsid w:val="009115F2"/>
    <w:pPr>
      <w:numPr>
        <w:numId w:val="0"/>
      </w:numPr>
    </w:pPr>
  </w:style>
  <w:style w:type="paragraph" w:customStyle="1" w:styleId="1przedab">
    <w:name w:val="1) przed a)b)"/>
    <w:basedOn w:val="1przed"/>
    <w:next w:val="NormalnyIRiESD"/>
    <w:link w:val="1przedabZnak"/>
    <w:qFormat/>
    <w:rsid w:val="006D310F"/>
    <w:pPr>
      <w:numPr>
        <w:ilvl w:val="1"/>
        <w:numId w:val="129"/>
      </w:numPr>
      <w:ind w:left="1888" w:hanging="357"/>
    </w:pPr>
  </w:style>
  <w:style w:type="character" w:customStyle="1" w:styleId="1przedaZnak">
    <w:name w:val="1) przed a) Znak"/>
    <w:basedOn w:val="1przedZnak"/>
    <w:link w:val="1przeda"/>
    <w:rsid w:val="009115F2"/>
    <w:rPr>
      <w:rFonts w:ascii="Times New Roman" w:eastAsia="Times New Roman" w:hAnsi="Times New Roman" w:cs="Times New Roman"/>
      <w:color w:val="000000"/>
      <w:sz w:val="24"/>
    </w:rPr>
  </w:style>
  <w:style w:type="paragraph" w:styleId="Tekstpodstawowywcity3">
    <w:name w:val="Body Text Indent 3"/>
    <w:basedOn w:val="Normalny"/>
    <w:link w:val="Tekstpodstawowywcity3Znak"/>
    <w:uiPriority w:val="99"/>
    <w:unhideWhenUsed/>
    <w:rsid w:val="006D310F"/>
    <w:pPr>
      <w:ind w:left="70" w:firstLine="0"/>
      <w:jc w:val="center"/>
    </w:pPr>
    <w:rPr>
      <w:sz w:val="40"/>
      <w:szCs w:val="36"/>
    </w:rPr>
  </w:style>
  <w:style w:type="character" w:customStyle="1" w:styleId="1przedabZnak">
    <w:name w:val="1) przed a)b) Znak"/>
    <w:basedOn w:val="1przedZnak"/>
    <w:link w:val="1przedab"/>
    <w:rsid w:val="006D310F"/>
    <w:rPr>
      <w:rFonts w:ascii="Times New Roman" w:eastAsia="Times New Roman" w:hAnsi="Times New Roman" w:cs="Times New Roman"/>
      <w:color w:val="000000"/>
      <w:sz w:val="24"/>
    </w:rPr>
  </w:style>
  <w:style w:type="character" w:customStyle="1" w:styleId="Tekstpodstawowywcity3Znak">
    <w:name w:val="Tekst podstawowy wcięty 3 Znak"/>
    <w:basedOn w:val="Domylnaczcionkaakapitu"/>
    <w:link w:val="Tekstpodstawowywcity3"/>
    <w:uiPriority w:val="99"/>
    <w:rsid w:val="006D310F"/>
    <w:rPr>
      <w:rFonts w:ascii="Times New Roman" w:eastAsia="Times New Roman" w:hAnsi="Times New Roman" w:cs="Times New Roman"/>
      <w:color w:val="000000"/>
      <w:sz w:val="40"/>
      <w:szCs w:val="36"/>
    </w:rPr>
  </w:style>
  <w:style w:type="character" w:customStyle="1" w:styleId="Nagwek8Znak">
    <w:name w:val="Nagłówek 8 Znak"/>
    <w:basedOn w:val="Domylnaczcionkaakapitu"/>
    <w:link w:val="Nagwek8"/>
    <w:uiPriority w:val="9"/>
    <w:rsid w:val="00700EFC"/>
    <w:rPr>
      <w:rFonts w:ascii="Times New Roman" w:eastAsia="Times New Roman" w:hAnsi="Times New Roman" w:cs="Times New Roman"/>
      <w:b/>
      <w:bCs/>
      <w:color w:val="000000"/>
      <w:sz w:val="24"/>
    </w:rPr>
  </w:style>
  <w:style w:type="character" w:customStyle="1" w:styleId="Nagwek9Znak">
    <w:name w:val="Nagłówek 9 Znak"/>
    <w:basedOn w:val="Domylnaczcionkaakapitu"/>
    <w:link w:val="Nagwek9"/>
    <w:uiPriority w:val="9"/>
    <w:rsid w:val="00700EFC"/>
    <w:rPr>
      <w:rFonts w:ascii="Times New Roman" w:eastAsia="Times New Roman" w:hAnsi="Times New Roman" w:cs="Times New Roman"/>
      <w:b/>
      <w:bCs/>
      <w:color w:val="000000"/>
      <w:sz w:val="24"/>
    </w:rPr>
  </w:style>
  <w:style w:type="paragraph" w:styleId="Spistreci4">
    <w:name w:val="toc 4"/>
    <w:basedOn w:val="Normalny"/>
    <w:next w:val="Normalny"/>
    <w:autoRedefine/>
    <w:uiPriority w:val="39"/>
    <w:unhideWhenUsed/>
    <w:rsid w:val="00695A64"/>
    <w:pPr>
      <w:spacing w:after="60" w:line="266" w:lineRule="auto"/>
      <w:ind w:left="567" w:hanging="567"/>
      <w:jc w:val="left"/>
    </w:pPr>
    <w:rPr>
      <w:sz w:val="18"/>
      <w:szCs w:val="20"/>
    </w:rPr>
  </w:style>
  <w:style w:type="paragraph" w:styleId="Spistreci5">
    <w:name w:val="toc 5"/>
    <w:basedOn w:val="Normalny"/>
    <w:next w:val="Normalny"/>
    <w:autoRedefine/>
    <w:uiPriority w:val="39"/>
    <w:unhideWhenUsed/>
    <w:rsid w:val="000A495D"/>
    <w:pPr>
      <w:spacing w:after="0"/>
      <w:ind w:left="960"/>
      <w:jc w:val="left"/>
    </w:pPr>
    <w:rPr>
      <w:rFonts w:asciiTheme="minorHAnsi" w:hAnsiTheme="minorHAnsi"/>
      <w:sz w:val="20"/>
      <w:szCs w:val="20"/>
    </w:rPr>
  </w:style>
  <w:style w:type="paragraph" w:styleId="Spistreci6">
    <w:name w:val="toc 6"/>
    <w:basedOn w:val="Normalny"/>
    <w:next w:val="Normalny"/>
    <w:autoRedefine/>
    <w:uiPriority w:val="39"/>
    <w:unhideWhenUsed/>
    <w:rsid w:val="000A495D"/>
    <w:pPr>
      <w:spacing w:after="0"/>
      <w:ind w:left="1200"/>
      <w:jc w:val="left"/>
    </w:pPr>
    <w:rPr>
      <w:rFonts w:asciiTheme="minorHAnsi" w:hAnsiTheme="minorHAnsi"/>
      <w:sz w:val="20"/>
      <w:szCs w:val="20"/>
    </w:rPr>
  </w:style>
  <w:style w:type="paragraph" w:styleId="Spistreci7">
    <w:name w:val="toc 7"/>
    <w:basedOn w:val="Normalny"/>
    <w:next w:val="Normalny"/>
    <w:autoRedefine/>
    <w:uiPriority w:val="39"/>
    <w:unhideWhenUsed/>
    <w:rsid w:val="000A495D"/>
    <w:pPr>
      <w:spacing w:after="0"/>
      <w:ind w:left="1440"/>
      <w:jc w:val="left"/>
    </w:pPr>
    <w:rPr>
      <w:rFonts w:asciiTheme="minorHAnsi" w:hAnsiTheme="minorHAnsi"/>
      <w:sz w:val="20"/>
      <w:szCs w:val="20"/>
    </w:rPr>
  </w:style>
  <w:style w:type="paragraph" w:styleId="Spistreci8">
    <w:name w:val="toc 8"/>
    <w:basedOn w:val="Normalny"/>
    <w:next w:val="Normalny"/>
    <w:autoRedefine/>
    <w:uiPriority w:val="39"/>
    <w:unhideWhenUsed/>
    <w:rsid w:val="000A495D"/>
    <w:pPr>
      <w:spacing w:after="0"/>
      <w:ind w:left="1680"/>
      <w:jc w:val="left"/>
    </w:pPr>
    <w:rPr>
      <w:rFonts w:asciiTheme="minorHAnsi" w:hAnsiTheme="minorHAnsi"/>
      <w:sz w:val="20"/>
      <w:szCs w:val="20"/>
    </w:rPr>
  </w:style>
  <w:style w:type="paragraph" w:styleId="Spistreci9">
    <w:name w:val="toc 9"/>
    <w:basedOn w:val="Normalny"/>
    <w:next w:val="Normalny"/>
    <w:autoRedefine/>
    <w:uiPriority w:val="39"/>
    <w:unhideWhenUsed/>
    <w:rsid w:val="000A495D"/>
    <w:pPr>
      <w:spacing w:after="0"/>
      <w:ind w:left="1920"/>
      <w:jc w:val="left"/>
    </w:pPr>
    <w:rPr>
      <w:rFonts w:asciiTheme="minorHAnsi" w:hAnsiTheme="minorHAnsi"/>
      <w:sz w:val="20"/>
      <w:szCs w:val="20"/>
    </w:rPr>
  </w:style>
  <w:style w:type="character" w:styleId="Nierozpoznanawzmianka">
    <w:name w:val="Unresolved Mention"/>
    <w:basedOn w:val="Domylnaczcionkaakapitu"/>
    <w:uiPriority w:val="99"/>
    <w:semiHidden/>
    <w:unhideWhenUsed/>
    <w:rsid w:val="000A495D"/>
    <w:rPr>
      <w:color w:val="605E5C"/>
      <w:shd w:val="clear" w:color="auto" w:fill="E1DFDD"/>
    </w:rPr>
  </w:style>
  <w:style w:type="paragraph" w:customStyle="1" w:styleId="ANagwek3Grubyy">
    <w:name w:val="A Nagłówek 3 Grubyy"/>
    <w:basedOn w:val="ANagwek3"/>
    <w:next w:val="NormalnyIRiESD"/>
    <w:link w:val="ANagwek3GrubyyZnak"/>
    <w:qFormat/>
    <w:rsid w:val="00205428"/>
    <w:rPr>
      <w:b/>
    </w:rPr>
  </w:style>
  <w:style w:type="character" w:customStyle="1" w:styleId="ANagwek3GrubyyZnak">
    <w:name w:val="A Nagłówek 3 Grubyy Znak"/>
    <w:basedOn w:val="ANagwek3Znak"/>
    <w:link w:val="ANagwek3Grubyy"/>
    <w:rsid w:val="00205428"/>
    <w:rPr>
      <w:rFonts w:ascii="Times New Roman" w:eastAsia="Times New Roman" w:hAnsi="Times New Roman" w:cs="Times New Roman"/>
      <w:b/>
      <w:color w:val="000000"/>
      <w:sz w:val="24"/>
    </w:rPr>
  </w:style>
  <w:style w:type="paragraph" w:customStyle="1" w:styleId="Dane">
    <w:name w:val="Dane"/>
    <w:autoRedefine/>
    <w:qFormat/>
    <w:rsid w:val="00E83DAC"/>
    <w:pPr>
      <w:spacing w:after="0"/>
      <w:jc w:val="center"/>
    </w:pPr>
    <w:rPr>
      <w:rFonts w:ascii="Times New Roman" w:eastAsia="Times New Roman" w:hAnsi="Times New Roman" w:cs="Times New Roman"/>
      <w:i/>
      <w:color w:val="000000"/>
      <w:sz w:val="24"/>
    </w:rPr>
  </w:style>
  <w:style w:type="paragraph" w:customStyle="1" w:styleId="a2">
    <w:name w:val="a) 2"/>
    <w:basedOn w:val="Akapitzlist"/>
    <w:qFormat/>
    <w:rsid w:val="00415801"/>
    <w:pPr>
      <w:numPr>
        <w:numId w:val="149"/>
      </w:numPr>
      <w:spacing w:line="266" w:lineRule="auto"/>
    </w:pPr>
  </w:style>
  <w:style w:type="paragraph" w:customStyle="1" w:styleId="Gwny1">
    <w:name w:val="Główny 1"/>
    <w:basedOn w:val="Akapitzlist"/>
    <w:qFormat/>
    <w:rsid w:val="00415801"/>
    <w:pPr>
      <w:spacing w:line="266" w:lineRule="auto"/>
      <w:ind w:left="357" w:hanging="357"/>
      <w:contextualSpacing w:val="0"/>
      <w:jc w:val="left"/>
    </w:pPr>
  </w:style>
  <w:style w:type="paragraph" w:customStyle="1" w:styleId="Gwny2">
    <w:name w:val="Główny 2"/>
    <w:basedOn w:val="Akapitzlist"/>
    <w:qFormat/>
    <w:rsid w:val="00415801"/>
    <w:pPr>
      <w:numPr>
        <w:ilvl w:val="1"/>
        <w:numId w:val="148"/>
      </w:numPr>
      <w:spacing w:line="266" w:lineRule="auto"/>
      <w:contextualSpacing w:val="0"/>
    </w:pPr>
  </w:style>
  <w:style w:type="paragraph" w:customStyle="1" w:styleId="Gwny3">
    <w:name w:val="Główny 3"/>
    <w:autoRedefine/>
    <w:qFormat/>
    <w:rsid w:val="008A27E8"/>
    <w:pPr>
      <w:numPr>
        <w:numId w:val="476"/>
      </w:numPr>
      <w:spacing w:after="60" w:line="266" w:lineRule="auto"/>
      <w:jc w:val="both"/>
    </w:pPr>
    <w:rPr>
      <w:rFonts w:ascii="Times New Roman" w:eastAsia="Times New Roman" w:hAnsi="Times New Roman" w:cs="Times New Roman"/>
      <w:color w:val="000000"/>
      <w:sz w:val="24"/>
    </w:rPr>
  </w:style>
  <w:style w:type="paragraph" w:customStyle="1" w:styleId="GUDI">
    <w:name w:val="GUD I"/>
    <w:basedOn w:val="Normalny"/>
    <w:qFormat/>
    <w:rsid w:val="00FA33A0"/>
    <w:pPr>
      <w:numPr>
        <w:numId w:val="148"/>
      </w:numPr>
      <w:spacing w:line="266" w:lineRule="auto"/>
      <w:jc w:val="left"/>
    </w:pPr>
  </w:style>
  <w:style w:type="paragraph" w:customStyle="1" w:styleId="Nagwek4gruby">
    <w:name w:val="Nagłówek 4 gruby"/>
    <w:basedOn w:val="Nagwek4"/>
    <w:qFormat/>
    <w:rsid w:val="00E4481A"/>
    <w:rPr>
      <w:b/>
    </w:rPr>
  </w:style>
  <w:style w:type="paragraph" w:styleId="Poprawka">
    <w:name w:val="Revision"/>
    <w:hidden/>
    <w:uiPriority w:val="99"/>
    <w:semiHidden/>
    <w:rsid w:val="00C93139"/>
    <w:pPr>
      <w:spacing w:after="0" w:line="240" w:lineRule="auto"/>
    </w:pPr>
    <w:rPr>
      <w:rFonts w:ascii="Times New Roman" w:eastAsia="Times New Roman" w:hAnsi="Times New Roman" w:cs="Times New Roman"/>
      <w:color w:val="000000"/>
      <w:sz w:val="24"/>
    </w:rPr>
  </w:style>
  <w:style w:type="character" w:styleId="Odwoaniedokomentarza">
    <w:name w:val="annotation reference"/>
    <w:basedOn w:val="Domylnaczcionkaakapitu"/>
    <w:uiPriority w:val="99"/>
    <w:semiHidden/>
    <w:unhideWhenUsed/>
    <w:rsid w:val="001148F8"/>
    <w:rPr>
      <w:sz w:val="16"/>
      <w:szCs w:val="16"/>
    </w:rPr>
  </w:style>
  <w:style w:type="paragraph" w:styleId="Tekstkomentarza">
    <w:name w:val="annotation text"/>
    <w:basedOn w:val="Normalny"/>
    <w:link w:val="TekstkomentarzaZnak"/>
    <w:uiPriority w:val="99"/>
    <w:unhideWhenUsed/>
    <w:rsid w:val="001148F8"/>
    <w:pPr>
      <w:spacing w:line="240" w:lineRule="auto"/>
    </w:pPr>
    <w:rPr>
      <w:sz w:val="20"/>
      <w:szCs w:val="20"/>
    </w:rPr>
  </w:style>
  <w:style w:type="character" w:customStyle="1" w:styleId="TekstkomentarzaZnak">
    <w:name w:val="Tekst komentarza Znak"/>
    <w:basedOn w:val="Domylnaczcionkaakapitu"/>
    <w:link w:val="Tekstkomentarza"/>
    <w:uiPriority w:val="99"/>
    <w:rsid w:val="001148F8"/>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1148F8"/>
    <w:rPr>
      <w:b/>
      <w:bCs/>
    </w:rPr>
  </w:style>
  <w:style w:type="character" w:customStyle="1" w:styleId="TematkomentarzaZnak">
    <w:name w:val="Temat komentarza Znak"/>
    <w:basedOn w:val="TekstkomentarzaZnak"/>
    <w:link w:val="Tematkomentarza"/>
    <w:uiPriority w:val="99"/>
    <w:semiHidden/>
    <w:rsid w:val="001148F8"/>
    <w:rPr>
      <w:rFonts w:ascii="Times New Roman" w:eastAsia="Times New Roman" w:hAnsi="Times New Roman" w:cs="Times New Roman"/>
      <w:b/>
      <w:bCs/>
      <w:color w:val="000000"/>
      <w:sz w:val="20"/>
      <w:szCs w:val="20"/>
    </w:rPr>
  </w:style>
  <w:style w:type="paragraph" w:customStyle="1" w:styleId="pierwszy">
    <w:name w:val="pierwszy"/>
    <w:basedOn w:val="Normalny"/>
    <w:next w:val="NormalnyIRiESD"/>
    <w:autoRedefine/>
    <w:qFormat/>
    <w:rsid w:val="00792FCF"/>
    <w:pPr>
      <w:numPr>
        <w:numId w:val="188"/>
      </w:numPr>
      <w:spacing w:before="120" w:after="160" w:line="276" w:lineRule="auto"/>
      <w:ind w:left="357" w:hanging="357"/>
    </w:pPr>
    <w:rPr>
      <w:rFonts w:eastAsiaTheme="minorHAnsi" w:cstheme="minorBidi"/>
      <w:color w:val="auto"/>
      <w:lang w:eastAsia="en-US"/>
    </w:rPr>
  </w:style>
  <w:style w:type="paragraph" w:customStyle="1" w:styleId="Atabela">
    <w:name w:val="A tabela"/>
    <w:basedOn w:val="Normalny"/>
    <w:rsid w:val="00792FCF"/>
    <w:pPr>
      <w:numPr>
        <w:numId w:val="189"/>
      </w:numPr>
      <w:spacing w:before="120" w:after="0" w:line="240" w:lineRule="auto"/>
      <w:jc w:val="center"/>
    </w:pPr>
    <w:rPr>
      <w:rFonts w:eastAsiaTheme="minorHAnsi" w:cstheme="minorBidi"/>
      <w:color w:val="auto"/>
      <w:sz w:val="22"/>
      <w:lang w:eastAsia="en-US"/>
    </w:rPr>
  </w:style>
  <w:style w:type="paragraph" w:customStyle="1" w:styleId="1drugi">
    <w:name w:val="1) drugi"/>
    <w:autoRedefine/>
    <w:qFormat/>
    <w:rsid w:val="00792FCF"/>
    <w:pPr>
      <w:numPr>
        <w:numId w:val="190"/>
      </w:numPr>
      <w:jc w:val="both"/>
    </w:pPr>
    <w:rPr>
      <w:rFonts w:ascii="Times New Roman" w:eastAsiaTheme="minorHAnsi" w:hAnsi="Times New Roman"/>
      <w:sz w:val="24"/>
      <w:lang w:eastAsia="en-US"/>
    </w:rPr>
  </w:style>
  <w:style w:type="paragraph" w:customStyle="1" w:styleId="a">
    <w:name w:val="a)"/>
    <w:autoRedefine/>
    <w:qFormat/>
    <w:rsid w:val="00792FCF"/>
    <w:pPr>
      <w:numPr>
        <w:numId w:val="191"/>
      </w:numPr>
      <w:spacing w:before="120" w:after="120"/>
      <w:ind w:left="1775" w:hanging="357"/>
      <w:jc w:val="both"/>
    </w:pPr>
    <w:rPr>
      <w:rFonts w:ascii="Times New Roman" w:eastAsiaTheme="minorHAnsi" w:hAnsi="Times New Roman"/>
      <w:sz w:val="24"/>
      <w:lang w:eastAsia="en-US"/>
    </w:rPr>
  </w:style>
  <w:style w:type="paragraph" w:customStyle="1" w:styleId="Styl1">
    <w:name w:val="Styl1"/>
    <w:basedOn w:val="apo"/>
    <w:qFormat/>
    <w:rsid w:val="00E25AB9"/>
    <w:pPr>
      <w:numPr>
        <w:numId w:val="268"/>
      </w:numPr>
    </w:pPr>
  </w:style>
  <w:style w:type="paragraph" w:styleId="Stopka">
    <w:name w:val="footer"/>
    <w:basedOn w:val="Normalny"/>
    <w:link w:val="StopkaZnak"/>
    <w:uiPriority w:val="99"/>
    <w:unhideWhenUsed/>
    <w:rsid w:val="00B92B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2BD0"/>
    <w:rPr>
      <w:rFonts w:ascii="Times New Roman" w:eastAsia="Times New Roman" w:hAnsi="Times New Roman" w:cs="Times New Roman"/>
      <w:color w:val="000000"/>
      <w:sz w:val="24"/>
    </w:rPr>
  </w:style>
  <w:style w:type="table" w:styleId="Tabela-Siatka">
    <w:name w:val="Table Grid"/>
    <w:basedOn w:val="Standardowy"/>
    <w:uiPriority w:val="39"/>
    <w:rsid w:val="00922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sid w:val="001D4E91"/>
    <w:rPr>
      <w:color w:val="2B579A"/>
      <w:shd w:val="clear" w:color="auto" w:fill="E1DFDD"/>
    </w:rPr>
  </w:style>
  <w:style w:type="paragraph" w:styleId="Tekstprzypisukocowego">
    <w:name w:val="endnote text"/>
    <w:basedOn w:val="Normalny"/>
    <w:link w:val="TekstprzypisukocowegoZnak"/>
    <w:uiPriority w:val="99"/>
    <w:semiHidden/>
    <w:unhideWhenUsed/>
    <w:rsid w:val="00986FB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6FB6"/>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986FB6"/>
    <w:rPr>
      <w:vertAlign w:val="superscript"/>
    </w:rPr>
  </w:style>
  <w:style w:type="table" w:styleId="Tabelasiatki1jasnaakcent1">
    <w:name w:val="Grid Table 1 Light Accent 1"/>
    <w:basedOn w:val="Standardowy"/>
    <w:uiPriority w:val="46"/>
    <w:rsid w:val="0004470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072638">
      <w:bodyDiv w:val="1"/>
      <w:marLeft w:val="0"/>
      <w:marRight w:val="0"/>
      <w:marTop w:val="0"/>
      <w:marBottom w:val="0"/>
      <w:divBdr>
        <w:top w:val="none" w:sz="0" w:space="0" w:color="auto"/>
        <w:left w:val="none" w:sz="0" w:space="0" w:color="auto"/>
        <w:bottom w:val="none" w:sz="0" w:space="0" w:color="auto"/>
        <w:right w:val="none" w:sz="0" w:space="0" w:color="auto"/>
      </w:divBdr>
    </w:div>
    <w:div w:id="731850555">
      <w:bodyDiv w:val="1"/>
      <w:marLeft w:val="0"/>
      <w:marRight w:val="0"/>
      <w:marTop w:val="0"/>
      <w:marBottom w:val="0"/>
      <w:divBdr>
        <w:top w:val="none" w:sz="0" w:space="0" w:color="auto"/>
        <w:left w:val="none" w:sz="0" w:space="0" w:color="auto"/>
        <w:bottom w:val="none" w:sz="0" w:space="0" w:color="auto"/>
        <w:right w:val="none" w:sz="0" w:space="0" w:color="auto"/>
      </w:divBdr>
    </w:div>
    <w:div w:id="1397900058">
      <w:bodyDiv w:val="1"/>
      <w:marLeft w:val="0"/>
      <w:marRight w:val="0"/>
      <w:marTop w:val="0"/>
      <w:marBottom w:val="0"/>
      <w:divBdr>
        <w:top w:val="none" w:sz="0" w:space="0" w:color="auto"/>
        <w:left w:val="none" w:sz="0" w:space="0" w:color="auto"/>
        <w:bottom w:val="none" w:sz="0" w:space="0" w:color="auto"/>
        <w:right w:val="none" w:sz="0" w:space="0" w:color="auto"/>
      </w:divBdr>
    </w:div>
    <w:div w:id="1810047111">
      <w:bodyDiv w:val="1"/>
      <w:marLeft w:val="0"/>
      <w:marRight w:val="0"/>
      <w:marTop w:val="0"/>
      <w:marBottom w:val="0"/>
      <w:divBdr>
        <w:top w:val="none" w:sz="0" w:space="0" w:color="auto"/>
        <w:left w:val="none" w:sz="0" w:space="0" w:color="auto"/>
        <w:bottom w:val="none" w:sz="0" w:space="0" w:color="auto"/>
        <w:right w:val="none" w:sz="0" w:space="0" w:color="auto"/>
      </w:divBdr>
    </w:div>
    <w:div w:id="1987661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eader" Target="header7.xml"/><Relationship Id="rId37"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image" Target="media/image6.png"/><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96a131-8273-40a7-9741-44fa8f0107b3" xsi:nil="true"/>
    <lcf76f155ced4ddcb4097134ff3c332f xmlns="b3da95fc-b3b6-41f0-a1ae-15d291f95c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9F8ECE351F6D447A4C3B99FDA4E784F" ma:contentTypeVersion="18" ma:contentTypeDescription="Create a new document." ma:contentTypeScope="" ma:versionID="dd9ced788d9134cc2ab162e3c4842fc9">
  <xsd:schema xmlns:xsd="http://www.w3.org/2001/XMLSchema" xmlns:xs="http://www.w3.org/2001/XMLSchema" xmlns:p="http://schemas.microsoft.com/office/2006/metadata/properties" xmlns:ns2="b3da95fc-b3b6-41f0-a1ae-15d291f95c4a" xmlns:ns3="6d96a131-8273-40a7-9741-44fa8f0107b3" targetNamespace="http://schemas.microsoft.com/office/2006/metadata/properties" ma:root="true" ma:fieldsID="b84e89b9fc9fac3917e1fcc713b5e354" ns2:_="" ns3:_="">
    <xsd:import namespace="b3da95fc-b3b6-41f0-a1ae-15d291f95c4a"/>
    <xsd:import namespace="6d96a131-8273-40a7-9741-44fa8f0107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a95fc-b3b6-41f0-a1ae-15d291f95c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8f62f3-2766-4483-8833-c5dd3088a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96a131-8273-40a7-9741-44fa8f0107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75eaba-7862-4ab5-b742-8d1878b4fa66}" ma:internalName="TaxCatchAll" ma:showField="CatchAllData" ma:web="6d96a131-8273-40a7-9741-44fa8f010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4DAEF2-91E0-45D1-8F3C-51850829B34D}">
  <ds:schemaRefs>
    <ds:schemaRef ds:uri="http://schemas.microsoft.com/office/2006/metadata/properties"/>
    <ds:schemaRef ds:uri="http://schemas.microsoft.com/office/infopath/2007/PartnerControls"/>
    <ds:schemaRef ds:uri="6d96a131-8273-40a7-9741-44fa8f0107b3"/>
    <ds:schemaRef ds:uri="b3da95fc-b3b6-41f0-a1ae-15d291f95c4a"/>
  </ds:schemaRefs>
</ds:datastoreItem>
</file>

<file path=customXml/itemProps2.xml><?xml version="1.0" encoding="utf-8"?>
<ds:datastoreItem xmlns:ds="http://schemas.openxmlformats.org/officeDocument/2006/customXml" ds:itemID="{A49E62FF-DDB2-4529-954F-0400DE12654E}">
  <ds:schemaRefs>
    <ds:schemaRef ds:uri="http://schemas.microsoft.com/sharepoint/v3/contenttype/forms"/>
  </ds:schemaRefs>
</ds:datastoreItem>
</file>

<file path=customXml/itemProps3.xml><?xml version="1.0" encoding="utf-8"?>
<ds:datastoreItem xmlns:ds="http://schemas.openxmlformats.org/officeDocument/2006/customXml" ds:itemID="{D55F7C9A-C76C-9944-8332-407C9A35AB19}">
  <ds:schemaRefs>
    <ds:schemaRef ds:uri="http://schemas.openxmlformats.org/officeDocument/2006/bibliography"/>
  </ds:schemaRefs>
</ds:datastoreItem>
</file>

<file path=customXml/itemProps4.xml><?xml version="1.0" encoding="utf-8"?>
<ds:datastoreItem xmlns:ds="http://schemas.openxmlformats.org/officeDocument/2006/customXml" ds:itemID="{6F419476-B00F-4E3B-82BC-BA5B0FA3B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a95fc-b3b6-41f0-a1ae-15d291f95c4a"/>
    <ds:schemaRef ds:uri="6d96a131-8273-40a7-9741-44fa8f010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274</Pages>
  <Words>100457</Words>
  <Characters>602743</Characters>
  <Application>Microsoft Office Word</Application>
  <DocSecurity>0</DocSecurity>
  <Lines>5022</Lines>
  <Paragraphs>1403</Paragraphs>
  <ScaleCrop>false</ScaleCrop>
  <HeadingPairs>
    <vt:vector size="2" baseType="variant">
      <vt:variant>
        <vt:lpstr>Tytuł</vt:lpstr>
      </vt:variant>
      <vt:variant>
        <vt:i4>1</vt:i4>
      </vt:variant>
    </vt:vector>
  </HeadingPairs>
  <TitlesOfParts>
    <vt:vector size="1" baseType="lpstr">
      <vt:lpstr>Instrukcja Ruchu i Eksploatacji Sieci Dystrybucyjnej</vt:lpstr>
    </vt:vector>
  </TitlesOfParts>
  <Company/>
  <LinksUpToDate>false</LinksUpToDate>
  <CharactersWithSpaces>701797</CharactersWithSpaces>
  <SharedDoc>false</SharedDoc>
  <HLinks>
    <vt:vector size="594" baseType="variant">
      <vt:variant>
        <vt:i4>7340038</vt:i4>
      </vt:variant>
      <vt:variant>
        <vt:i4>2223</vt:i4>
      </vt:variant>
      <vt:variant>
        <vt:i4>0</vt:i4>
      </vt:variant>
      <vt:variant>
        <vt:i4>5</vt:i4>
      </vt:variant>
      <vt:variant>
        <vt:lpwstr>mailto:biuro@pal-energia.pl</vt:lpwstr>
      </vt:variant>
      <vt:variant>
        <vt:lpwstr/>
      </vt:variant>
      <vt:variant>
        <vt:i4>7209003</vt:i4>
      </vt:variant>
      <vt:variant>
        <vt:i4>1953</vt:i4>
      </vt:variant>
      <vt:variant>
        <vt:i4>0</vt:i4>
      </vt:variant>
      <vt:variant>
        <vt:i4>5</vt:i4>
      </vt:variant>
      <vt:variant>
        <vt:lpwstr>http://www.pal-energia.pl/</vt:lpwstr>
      </vt:variant>
      <vt:variant>
        <vt:lpwstr/>
      </vt:variant>
      <vt:variant>
        <vt:i4>1114163</vt:i4>
      </vt:variant>
      <vt:variant>
        <vt:i4>464</vt:i4>
      </vt:variant>
      <vt:variant>
        <vt:i4>0</vt:i4>
      </vt:variant>
      <vt:variant>
        <vt:i4>5</vt:i4>
      </vt:variant>
      <vt:variant>
        <vt:lpwstr/>
      </vt:variant>
      <vt:variant>
        <vt:lpwstr>_Toc189833854</vt:lpwstr>
      </vt:variant>
      <vt:variant>
        <vt:i4>1114163</vt:i4>
      </vt:variant>
      <vt:variant>
        <vt:i4>458</vt:i4>
      </vt:variant>
      <vt:variant>
        <vt:i4>0</vt:i4>
      </vt:variant>
      <vt:variant>
        <vt:i4>5</vt:i4>
      </vt:variant>
      <vt:variant>
        <vt:lpwstr/>
      </vt:variant>
      <vt:variant>
        <vt:lpwstr>_Toc189833853</vt:lpwstr>
      </vt:variant>
      <vt:variant>
        <vt:i4>1114163</vt:i4>
      </vt:variant>
      <vt:variant>
        <vt:i4>452</vt:i4>
      </vt:variant>
      <vt:variant>
        <vt:i4>0</vt:i4>
      </vt:variant>
      <vt:variant>
        <vt:i4>5</vt:i4>
      </vt:variant>
      <vt:variant>
        <vt:lpwstr/>
      </vt:variant>
      <vt:variant>
        <vt:lpwstr>_Toc189833852</vt:lpwstr>
      </vt:variant>
      <vt:variant>
        <vt:i4>1507379</vt:i4>
      </vt:variant>
      <vt:variant>
        <vt:i4>446</vt:i4>
      </vt:variant>
      <vt:variant>
        <vt:i4>0</vt:i4>
      </vt:variant>
      <vt:variant>
        <vt:i4>5</vt:i4>
      </vt:variant>
      <vt:variant>
        <vt:lpwstr/>
      </vt:variant>
      <vt:variant>
        <vt:lpwstr>_Toc189833837</vt:lpwstr>
      </vt:variant>
      <vt:variant>
        <vt:i4>1441843</vt:i4>
      </vt:variant>
      <vt:variant>
        <vt:i4>440</vt:i4>
      </vt:variant>
      <vt:variant>
        <vt:i4>0</vt:i4>
      </vt:variant>
      <vt:variant>
        <vt:i4>5</vt:i4>
      </vt:variant>
      <vt:variant>
        <vt:lpwstr/>
      </vt:variant>
      <vt:variant>
        <vt:lpwstr>_Toc189833824</vt:lpwstr>
      </vt:variant>
      <vt:variant>
        <vt:i4>1376307</vt:i4>
      </vt:variant>
      <vt:variant>
        <vt:i4>434</vt:i4>
      </vt:variant>
      <vt:variant>
        <vt:i4>0</vt:i4>
      </vt:variant>
      <vt:variant>
        <vt:i4>5</vt:i4>
      </vt:variant>
      <vt:variant>
        <vt:lpwstr/>
      </vt:variant>
      <vt:variant>
        <vt:lpwstr>_Toc189833817</vt:lpwstr>
      </vt:variant>
      <vt:variant>
        <vt:i4>1376307</vt:i4>
      </vt:variant>
      <vt:variant>
        <vt:i4>428</vt:i4>
      </vt:variant>
      <vt:variant>
        <vt:i4>0</vt:i4>
      </vt:variant>
      <vt:variant>
        <vt:i4>5</vt:i4>
      </vt:variant>
      <vt:variant>
        <vt:lpwstr/>
      </vt:variant>
      <vt:variant>
        <vt:lpwstr>_Toc189833816</vt:lpwstr>
      </vt:variant>
      <vt:variant>
        <vt:i4>1376307</vt:i4>
      </vt:variant>
      <vt:variant>
        <vt:i4>422</vt:i4>
      </vt:variant>
      <vt:variant>
        <vt:i4>0</vt:i4>
      </vt:variant>
      <vt:variant>
        <vt:i4>5</vt:i4>
      </vt:variant>
      <vt:variant>
        <vt:lpwstr/>
      </vt:variant>
      <vt:variant>
        <vt:lpwstr>_Toc189833815</vt:lpwstr>
      </vt:variant>
      <vt:variant>
        <vt:i4>1376307</vt:i4>
      </vt:variant>
      <vt:variant>
        <vt:i4>416</vt:i4>
      </vt:variant>
      <vt:variant>
        <vt:i4>0</vt:i4>
      </vt:variant>
      <vt:variant>
        <vt:i4>5</vt:i4>
      </vt:variant>
      <vt:variant>
        <vt:lpwstr/>
      </vt:variant>
      <vt:variant>
        <vt:lpwstr>_Toc189833814</vt:lpwstr>
      </vt:variant>
      <vt:variant>
        <vt:i4>1310771</vt:i4>
      </vt:variant>
      <vt:variant>
        <vt:i4>410</vt:i4>
      </vt:variant>
      <vt:variant>
        <vt:i4>0</vt:i4>
      </vt:variant>
      <vt:variant>
        <vt:i4>5</vt:i4>
      </vt:variant>
      <vt:variant>
        <vt:lpwstr/>
      </vt:variant>
      <vt:variant>
        <vt:lpwstr>_Toc189833803</vt:lpwstr>
      </vt:variant>
      <vt:variant>
        <vt:i4>1310771</vt:i4>
      </vt:variant>
      <vt:variant>
        <vt:i4>404</vt:i4>
      </vt:variant>
      <vt:variant>
        <vt:i4>0</vt:i4>
      </vt:variant>
      <vt:variant>
        <vt:i4>5</vt:i4>
      </vt:variant>
      <vt:variant>
        <vt:lpwstr/>
      </vt:variant>
      <vt:variant>
        <vt:lpwstr>_Toc189833802</vt:lpwstr>
      </vt:variant>
      <vt:variant>
        <vt:i4>1310771</vt:i4>
      </vt:variant>
      <vt:variant>
        <vt:i4>398</vt:i4>
      </vt:variant>
      <vt:variant>
        <vt:i4>0</vt:i4>
      </vt:variant>
      <vt:variant>
        <vt:i4>5</vt:i4>
      </vt:variant>
      <vt:variant>
        <vt:lpwstr/>
      </vt:variant>
      <vt:variant>
        <vt:lpwstr>_Toc189833801</vt:lpwstr>
      </vt:variant>
      <vt:variant>
        <vt:i4>1310771</vt:i4>
      </vt:variant>
      <vt:variant>
        <vt:i4>392</vt:i4>
      </vt:variant>
      <vt:variant>
        <vt:i4>0</vt:i4>
      </vt:variant>
      <vt:variant>
        <vt:i4>5</vt:i4>
      </vt:variant>
      <vt:variant>
        <vt:lpwstr/>
      </vt:variant>
      <vt:variant>
        <vt:lpwstr>_Toc189833800</vt:lpwstr>
      </vt:variant>
      <vt:variant>
        <vt:i4>1900604</vt:i4>
      </vt:variant>
      <vt:variant>
        <vt:i4>386</vt:i4>
      </vt:variant>
      <vt:variant>
        <vt:i4>0</vt:i4>
      </vt:variant>
      <vt:variant>
        <vt:i4>5</vt:i4>
      </vt:variant>
      <vt:variant>
        <vt:lpwstr/>
      </vt:variant>
      <vt:variant>
        <vt:lpwstr>_Toc189833799</vt:lpwstr>
      </vt:variant>
      <vt:variant>
        <vt:i4>1900604</vt:i4>
      </vt:variant>
      <vt:variant>
        <vt:i4>380</vt:i4>
      </vt:variant>
      <vt:variant>
        <vt:i4>0</vt:i4>
      </vt:variant>
      <vt:variant>
        <vt:i4>5</vt:i4>
      </vt:variant>
      <vt:variant>
        <vt:lpwstr/>
      </vt:variant>
      <vt:variant>
        <vt:lpwstr>_Toc189833798</vt:lpwstr>
      </vt:variant>
      <vt:variant>
        <vt:i4>1900604</vt:i4>
      </vt:variant>
      <vt:variant>
        <vt:i4>374</vt:i4>
      </vt:variant>
      <vt:variant>
        <vt:i4>0</vt:i4>
      </vt:variant>
      <vt:variant>
        <vt:i4>5</vt:i4>
      </vt:variant>
      <vt:variant>
        <vt:lpwstr/>
      </vt:variant>
      <vt:variant>
        <vt:lpwstr>_Toc189833797</vt:lpwstr>
      </vt:variant>
      <vt:variant>
        <vt:i4>1900604</vt:i4>
      </vt:variant>
      <vt:variant>
        <vt:i4>368</vt:i4>
      </vt:variant>
      <vt:variant>
        <vt:i4>0</vt:i4>
      </vt:variant>
      <vt:variant>
        <vt:i4>5</vt:i4>
      </vt:variant>
      <vt:variant>
        <vt:lpwstr/>
      </vt:variant>
      <vt:variant>
        <vt:lpwstr>_Toc189833796</vt:lpwstr>
      </vt:variant>
      <vt:variant>
        <vt:i4>1900604</vt:i4>
      </vt:variant>
      <vt:variant>
        <vt:i4>362</vt:i4>
      </vt:variant>
      <vt:variant>
        <vt:i4>0</vt:i4>
      </vt:variant>
      <vt:variant>
        <vt:i4>5</vt:i4>
      </vt:variant>
      <vt:variant>
        <vt:lpwstr/>
      </vt:variant>
      <vt:variant>
        <vt:lpwstr>_Toc189833795</vt:lpwstr>
      </vt:variant>
      <vt:variant>
        <vt:i4>1900604</vt:i4>
      </vt:variant>
      <vt:variant>
        <vt:i4>356</vt:i4>
      </vt:variant>
      <vt:variant>
        <vt:i4>0</vt:i4>
      </vt:variant>
      <vt:variant>
        <vt:i4>5</vt:i4>
      </vt:variant>
      <vt:variant>
        <vt:lpwstr/>
      </vt:variant>
      <vt:variant>
        <vt:lpwstr>_Toc189833794</vt:lpwstr>
      </vt:variant>
      <vt:variant>
        <vt:i4>1179708</vt:i4>
      </vt:variant>
      <vt:variant>
        <vt:i4>350</vt:i4>
      </vt:variant>
      <vt:variant>
        <vt:i4>0</vt:i4>
      </vt:variant>
      <vt:variant>
        <vt:i4>5</vt:i4>
      </vt:variant>
      <vt:variant>
        <vt:lpwstr/>
      </vt:variant>
      <vt:variant>
        <vt:lpwstr>_Toc189833761</vt:lpwstr>
      </vt:variant>
      <vt:variant>
        <vt:i4>1179708</vt:i4>
      </vt:variant>
      <vt:variant>
        <vt:i4>344</vt:i4>
      </vt:variant>
      <vt:variant>
        <vt:i4>0</vt:i4>
      </vt:variant>
      <vt:variant>
        <vt:i4>5</vt:i4>
      </vt:variant>
      <vt:variant>
        <vt:lpwstr/>
      </vt:variant>
      <vt:variant>
        <vt:lpwstr>_Toc189833760</vt:lpwstr>
      </vt:variant>
      <vt:variant>
        <vt:i4>1114172</vt:i4>
      </vt:variant>
      <vt:variant>
        <vt:i4>338</vt:i4>
      </vt:variant>
      <vt:variant>
        <vt:i4>0</vt:i4>
      </vt:variant>
      <vt:variant>
        <vt:i4>5</vt:i4>
      </vt:variant>
      <vt:variant>
        <vt:lpwstr/>
      </vt:variant>
      <vt:variant>
        <vt:lpwstr>_Toc189833759</vt:lpwstr>
      </vt:variant>
      <vt:variant>
        <vt:i4>1114172</vt:i4>
      </vt:variant>
      <vt:variant>
        <vt:i4>332</vt:i4>
      </vt:variant>
      <vt:variant>
        <vt:i4>0</vt:i4>
      </vt:variant>
      <vt:variant>
        <vt:i4>5</vt:i4>
      </vt:variant>
      <vt:variant>
        <vt:lpwstr/>
      </vt:variant>
      <vt:variant>
        <vt:lpwstr>_Toc189833758</vt:lpwstr>
      </vt:variant>
      <vt:variant>
        <vt:i4>1114172</vt:i4>
      </vt:variant>
      <vt:variant>
        <vt:i4>326</vt:i4>
      </vt:variant>
      <vt:variant>
        <vt:i4>0</vt:i4>
      </vt:variant>
      <vt:variant>
        <vt:i4>5</vt:i4>
      </vt:variant>
      <vt:variant>
        <vt:lpwstr/>
      </vt:variant>
      <vt:variant>
        <vt:lpwstr>_Toc189833757</vt:lpwstr>
      </vt:variant>
      <vt:variant>
        <vt:i4>1114172</vt:i4>
      </vt:variant>
      <vt:variant>
        <vt:i4>320</vt:i4>
      </vt:variant>
      <vt:variant>
        <vt:i4>0</vt:i4>
      </vt:variant>
      <vt:variant>
        <vt:i4>5</vt:i4>
      </vt:variant>
      <vt:variant>
        <vt:lpwstr/>
      </vt:variant>
      <vt:variant>
        <vt:lpwstr>_Toc189833756</vt:lpwstr>
      </vt:variant>
      <vt:variant>
        <vt:i4>1114172</vt:i4>
      </vt:variant>
      <vt:variant>
        <vt:i4>314</vt:i4>
      </vt:variant>
      <vt:variant>
        <vt:i4>0</vt:i4>
      </vt:variant>
      <vt:variant>
        <vt:i4>5</vt:i4>
      </vt:variant>
      <vt:variant>
        <vt:lpwstr/>
      </vt:variant>
      <vt:variant>
        <vt:lpwstr>_Toc189833755</vt:lpwstr>
      </vt:variant>
      <vt:variant>
        <vt:i4>1114172</vt:i4>
      </vt:variant>
      <vt:variant>
        <vt:i4>308</vt:i4>
      </vt:variant>
      <vt:variant>
        <vt:i4>0</vt:i4>
      </vt:variant>
      <vt:variant>
        <vt:i4>5</vt:i4>
      </vt:variant>
      <vt:variant>
        <vt:lpwstr/>
      </vt:variant>
      <vt:variant>
        <vt:lpwstr>_Toc189833754</vt:lpwstr>
      </vt:variant>
      <vt:variant>
        <vt:i4>1114172</vt:i4>
      </vt:variant>
      <vt:variant>
        <vt:i4>302</vt:i4>
      </vt:variant>
      <vt:variant>
        <vt:i4>0</vt:i4>
      </vt:variant>
      <vt:variant>
        <vt:i4>5</vt:i4>
      </vt:variant>
      <vt:variant>
        <vt:lpwstr/>
      </vt:variant>
      <vt:variant>
        <vt:lpwstr>_Toc189833753</vt:lpwstr>
      </vt:variant>
      <vt:variant>
        <vt:i4>1114172</vt:i4>
      </vt:variant>
      <vt:variant>
        <vt:i4>296</vt:i4>
      </vt:variant>
      <vt:variant>
        <vt:i4>0</vt:i4>
      </vt:variant>
      <vt:variant>
        <vt:i4>5</vt:i4>
      </vt:variant>
      <vt:variant>
        <vt:lpwstr/>
      </vt:variant>
      <vt:variant>
        <vt:lpwstr>_Toc189833752</vt:lpwstr>
      </vt:variant>
      <vt:variant>
        <vt:i4>1114172</vt:i4>
      </vt:variant>
      <vt:variant>
        <vt:i4>290</vt:i4>
      </vt:variant>
      <vt:variant>
        <vt:i4>0</vt:i4>
      </vt:variant>
      <vt:variant>
        <vt:i4>5</vt:i4>
      </vt:variant>
      <vt:variant>
        <vt:lpwstr/>
      </vt:variant>
      <vt:variant>
        <vt:lpwstr>_Toc189833751</vt:lpwstr>
      </vt:variant>
      <vt:variant>
        <vt:i4>1114172</vt:i4>
      </vt:variant>
      <vt:variant>
        <vt:i4>284</vt:i4>
      </vt:variant>
      <vt:variant>
        <vt:i4>0</vt:i4>
      </vt:variant>
      <vt:variant>
        <vt:i4>5</vt:i4>
      </vt:variant>
      <vt:variant>
        <vt:lpwstr/>
      </vt:variant>
      <vt:variant>
        <vt:lpwstr>_Toc189833750</vt:lpwstr>
      </vt:variant>
      <vt:variant>
        <vt:i4>1048636</vt:i4>
      </vt:variant>
      <vt:variant>
        <vt:i4>278</vt:i4>
      </vt:variant>
      <vt:variant>
        <vt:i4>0</vt:i4>
      </vt:variant>
      <vt:variant>
        <vt:i4>5</vt:i4>
      </vt:variant>
      <vt:variant>
        <vt:lpwstr/>
      </vt:variant>
      <vt:variant>
        <vt:lpwstr>_Toc189833749</vt:lpwstr>
      </vt:variant>
      <vt:variant>
        <vt:i4>1048636</vt:i4>
      </vt:variant>
      <vt:variant>
        <vt:i4>272</vt:i4>
      </vt:variant>
      <vt:variant>
        <vt:i4>0</vt:i4>
      </vt:variant>
      <vt:variant>
        <vt:i4>5</vt:i4>
      </vt:variant>
      <vt:variant>
        <vt:lpwstr/>
      </vt:variant>
      <vt:variant>
        <vt:lpwstr>_Toc189833748</vt:lpwstr>
      </vt:variant>
      <vt:variant>
        <vt:i4>1048636</vt:i4>
      </vt:variant>
      <vt:variant>
        <vt:i4>266</vt:i4>
      </vt:variant>
      <vt:variant>
        <vt:i4>0</vt:i4>
      </vt:variant>
      <vt:variant>
        <vt:i4>5</vt:i4>
      </vt:variant>
      <vt:variant>
        <vt:lpwstr/>
      </vt:variant>
      <vt:variant>
        <vt:lpwstr>_Toc189833747</vt:lpwstr>
      </vt:variant>
      <vt:variant>
        <vt:i4>1048636</vt:i4>
      </vt:variant>
      <vt:variant>
        <vt:i4>260</vt:i4>
      </vt:variant>
      <vt:variant>
        <vt:i4>0</vt:i4>
      </vt:variant>
      <vt:variant>
        <vt:i4>5</vt:i4>
      </vt:variant>
      <vt:variant>
        <vt:lpwstr/>
      </vt:variant>
      <vt:variant>
        <vt:lpwstr>_Toc189833746</vt:lpwstr>
      </vt:variant>
      <vt:variant>
        <vt:i4>1048636</vt:i4>
      </vt:variant>
      <vt:variant>
        <vt:i4>254</vt:i4>
      </vt:variant>
      <vt:variant>
        <vt:i4>0</vt:i4>
      </vt:variant>
      <vt:variant>
        <vt:i4>5</vt:i4>
      </vt:variant>
      <vt:variant>
        <vt:lpwstr/>
      </vt:variant>
      <vt:variant>
        <vt:lpwstr>_Toc189833745</vt:lpwstr>
      </vt:variant>
      <vt:variant>
        <vt:i4>1048636</vt:i4>
      </vt:variant>
      <vt:variant>
        <vt:i4>248</vt:i4>
      </vt:variant>
      <vt:variant>
        <vt:i4>0</vt:i4>
      </vt:variant>
      <vt:variant>
        <vt:i4>5</vt:i4>
      </vt:variant>
      <vt:variant>
        <vt:lpwstr/>
      </vt:variant>
      <vt:variant>
        <vt:lpwstr>_Toc189833744</vt:lpwstr>
      </vt:variant>
      <vt:variant>
        <vt:i4>1048636</vt:i4>
      </vt:variant>
      <vt:variant>
        <vt:i4>242</vt:i4>
      </vt:variant>
      <vt:variant>
        <vt:i4>0</vt:i4>
      </vt:variant>
      <vt:variant>
        <vt:i4>5</vt:i4>
      </vt:variant>
      <vt:variant>
        <vt:lpwstr/>
      </vt:variant>
      <vt:variant>
        <vt:lpwstr>_Toc189833743</vt:lpwstr>
      </vt:variant>
      <vt:variant>
        <vt:i4>1507388</vt:i4>
      </vt:variant>
      <vt:variant>
        <vt:i4>236</vt:i4>
      </vt:variant>
      <vt:variant>
        <vt:i4>0</vt:i4>
      </vt:variant>
      <vt:variant>
        <vt:i4>5</vt:i4>
      </vt:variant>
      <vt:variant>
        <vt:lpwstr/>
      </vt:variant>
      <vt:variant>
        <vt:lpwstr>_Toc189833738</vt:lpwstr>
      </vt:variant>
      <vt:variant>
        <vt:i4>1507388</vt:i4>
      </vt:variant>
      <vt:variant>
        <vt:i4>230</vt:i4>
      </vt:variant>
      <vt:variant>
        <vt:i4>0</vt:i4>
      </vt:variant>
      <vt:variant>
        <vt:i4>5</vt:i4>
      </vt:variant>
      <vt:variant>
        <vt:lpwstr/>
      </vt:variant>
      <vt:variant>
        <vt:lpwstr>_Toc189833734</vt:lpwstr>
      </vt:variant>
      <vt:variant>
        <vt:i4>1507388</vt:i4>
      </vt:variant>
      <vt:variant>
        <vt:i4>224</vt:i4>
      </vt:variant>
      <vt:variant>
        <vt:i4>0</vt:i4>
      </vt:variant>
      <vt:variant>
        <vt:i4>5</vt:i4>
      </vt:variant>
      <vt:variant>
        <vt:lpwstr/>
      </vt:variant>
      <vt:variant>
        <vt:lpwstr>_Toc189833733</vt:lpwstr>
      </vt:variant>
      <vt:variant>
        <vt:i4>1507388</vt:i4>
      </vt:variant>
      <vt:variant>
        <vt:i4>218</vt:i4>
      </vt:variant>
      <vt:variant>
        <vt:i4>0</vt:i4>
      </vt:variant>
      <vt:variant>
        <vt:i4>5</vt:i4>
      </vt:variant>
      <vt:variant>
        <vt:lpwstr/>
      </vt:variant>
      <vt:variant>
        <vt:lpwstr>_Toc189833732</vt:lpwstr>
      </vt:variant>
      <vt:variant>
        <vt:i4>1507388</vt:i4>
      </vt:variant>
      <vt:variant>
        <vt:i4>212</vt:i4>
      </vt:variant>
      <vt:variant>
        <vt:i4>0</vt:i4>
      </vt:variant>
      <vt:variant>
        <vt:i4>5</vt:i4>
      </vt:variant>
      <vt:variant>
        <vt:lpwstr/>
      </vt:variant>
      <vt:variant>
        <vt:lpwstr>_Toc189833731</vt:lpwstr>
      </vt:variant>
      <vt:variant>
        <vt:i4>1507388</vt:i4>
      </vt:variant>
      <vt:variant>
        <vt:i4>206</vt:i4>
      </vt:variant>
      <vt:variant>
        <vt:i4>0</vt:i4>
      </vt:variant>
      <vt:variant>
        <vt:i4>5</vt:i4>
      </vt:variant>
      <vt:variant>
        <vt:lpwstr/>
      </vt:variant>
      <vt:variant>
        <vt:lpwstr>_Toc189833730</vt:lpwstr>
      </vt:variant>
      <vt:variant>
        <vt:i4>1441852</vt:i4>
      </vt:variant>
      <vt:variant>
        <vt:i4>200</vt:i4>
      </vt:variant>
      <vt:variant>
        <vt:i4>0</vt:i4>
      </vt:variant>
      <vt:variant>
        <vt:i4>5</vt:i4>
      </vt:variant>
      <vt:variant>
        <vt:lpwstr/>
      </vt:variant>
      <vt:variant>
        <vt:lpwstr>_Toc189833729</vt:lpwstr>
      </vt:variant>
      <vt:variant>
        <vt:i4>1441852</vt:i4>
      </vt:variant>
      <vt:variant>
        <vt:i4>194</vt:i4>
      </vt:variant>
      <vt:variant>
        <vt:i4>0</vt:i4>
      </vt:variant>
      <vt:variant>
        <vt:i4>5</vt:i4>
      </vt:variant>
      <vt:variant>
        <vt:lpwstr/>
      </vt:variant>
      <vt:variant>
        <vt:lpwstr>_Toc189833728</vt:lpwstr>
      </vt:variant>
      <vt:variant>
        <vt:i4>1441852</vt:i4>
      </vt:variant>
      <vt:variant>
        <vt:i4>188</vt:i4>
      </vt:variant>
      <vt:variant>
        <vt:i4>0</vt:i4>
      </vt:variant>
      <vt:variant>
        <vt:i4>5</vt:i4>
      </vt:variant>
      <vt:variant>
        <vt:lpwstr/>
      </vt:variant>
      <vt:variant>
        <vt:lpwstr>_Toc189833727</vt:lpwstr>
      </vt:variant>
      <vt:variant>
        <vt:i4>1376316</vt:i4>
      </vt:variant>
      <vt:variant>
        <vt:i4>182</vt:i4>
      </vt:variant>
      <vt:variant>
        <vt:i4>0</vt:i4>
      </vt:variant>
      <vt:variant>
        <vt:i4>5</vt:i4>
      </vt:variant>
      <vt:variant>
        <vt:lpwstr/>
      </vt:variant>
      <vt:variant>
        <vt:lpwstr>_Toc189833714</vt:lpwstr>
      </vt:variant>
      <vt:variant>
        <vt:i4>1376316</vt:i4>
      </vt:variant>
      <vt:variant>
        <vt:i4>176</vt:i4>
      </vt:variant>
      <vt:variant>
        <vt:i4>0</vt:i4>
      </vt:variant>
      <vt:variant>
        <vt:i4>5</vt:i4>
      </vt:variant>
      <vt:variant>
        <vt:lpwstr/>
      </vt:variant>
      <vt:variant>
        <vt:lpwstr>_Toc189833713</vt:lpwstr>
      </vt:variant>
      <vt:variant>
        <vt:i4>1376316</vt:i4>
      </vt:variant>
      <vt:variant>
        <vt:i4>170</vt:i4>
      </vt:variant>
      <vt:variant>
        <vt:i4>0</vt:i4>
      </vt:variant>
      <vt:variant>
        <vt:i4>5</vt:i4>
      </vt:variant>
      <vt:variant>
        <vt:lpwstr/>
      </vt:variant>
      <vt:variant>
        <vt:lpwstr>_Toc189833712</vt:lpwstr>
      </vt:variant>
      <vt:variant>
        <vt:i4>1376316</vt:i4>
      </vt:variant>
      <vt:variant>
        <vt:i4>164</vt:i4>
      </vt:variant>
      <vt:variant>
        <vt:i4>0</vt:i4>
      </vt:variant>
      <vt:variant>
        <vt:i4>5</vt:i4>
      </vt:variant>
      <vt:variant>
        <vt:lpwstr/>
      </vt:variant>
      <vt:variant>
        <vt:lpwstr>_Toc189833711</vt:lpwstr>
      </vt:variant>
      <vt:variant>
        <vt:i4>1376316</vt:i4>
      </vt:variant>
      <vt:variant>
        <vt:i4>158</vt:i4>
      </vt:variant>
      <vt:variant>
        <vt:i4>0</vt:i4>
      </vt:variant>
      <vt:variant>
        <vt:i4>5</vt:i4>
      </vt:variant>
      <vt:variant>
        <vt:lpwstr/>
      </vt:variant>
      <vt:variant>
        <vt:lpwstr>_Toc189833710</vt:lpwstr>
      </vt:variant>
      <vt:variant>
        <vt:i4>1310780</vt:i4>
      </vt:variant>
      <vt:variant>
        <vt:i4>152</vt:i4>
      </vt:variant>
      <vt:variant>
        <vt:i4>0</vt:i4>
      </vt:variant>
      <vt:variant>
        <vt:i4>5</vt:i4>
      </vt:variant>
      <vt:variant>
        <vt:lpwstr/>
      </vt:variant>
      <vt:variant>
        <vt:lpwstr>_Toc189833709</vt:lpwstr>
      </vt:variant>
      <vt:variant>
        <vt:i4>1310780</vt:i4>
      </vt:variant>
      <vt:variant>
        <vt:i4>146</vt:i4>
      </vt:variant>
      <vt:variant>
        <vt:i4>0</vt:i4>
      </vt:variant>
      <vt:variant>
        <vt:i4>5</vt:i4>
      </vt:variant>
      <vt:variant>
        <vt:lpwstr/>
      </vt:variant>
      <vt:variant>
        <vt:lpwstr>_Toc189833708</vt:lpwstr>
      </vt:variant>
      <vt:variant>
        <vt:i4>1310780</vt:i4>
      </vt:variant>
      <vt:variant>
        <vt:i4>140</vt:i4>
      </vt:variant>
      <vt:variant>
        <vt:i4>0</vt:i4>
      </vt:variant>
      <vt:variant>
        <vt:i4>5</vt:i4>
      </vt:variant>
      <vt:variant>
        <vt:lpwstr/>
      </vt:variant>
      <vt:variant>
        <vt:lpwstr>_Toc189833707</vt:lpwstr>
      </vt:variant>
      <vt:variant>
        <vt:i4>1310780</vt:i4>
      </vt:variant>
      <vt:variant>
        <vt:i4>134</vt:i4>
      </vt:variant>
      <vt:variant>
        <vt:i4>0</vt:i4>
      </vt:variant>
      <vt:variant>
        <vt:i4>5</vt:i4>
      </vt:variant>
      <vt:variant>
        <vt:lpwstr/>
      </vt:variant>
      <vt:variant>
        <vt:lpwstr>_Toc189833706</vt:lpwstr>
      </vt:variant>
      <vt:variant>
        <vt:i4>1310780</vt:i4>
      </vt:variant>
      <vt:variant>
        <vt:i4>128</vt:i4>
      </vt:variant>
      <vt:variant>
        <vt:i4>0</vt:i4>
      </vt:variant>
      <vt:variant>
        <vt:i4>5</vt:i4>
      </vt:variant>
      <vt:variant>
        <vt:lpwstr/>
      </vt:variant>
      <vt:variant>
        <vt:lpwstr>_Toc189833705</vt:lpwstr>
      </vt:variant>
      <vt:variant>
        <vt:i4>1310780</vt:i4>
      </vt:variant>
      <vt:variant>
        <vt:i4>122</vt:i4>
      </vt:variant>
      <vt:variant>
        <vt:i4>0</vt:i4>
      </vt:variant>
      <vt:variant>
        <vt:i4>5</vt:i4>
      </vt:variant>
      <vt:variant>
        <vt:lpwstr/>
      </vt:variant>
      <vt:variant>
        <vt:lpwstr>_Toc189833704</vt:lpwstr>
      </vt:variant>
      <vt:variant>
        <vt:i4>1310780</vt:i4>
      </vt:variant>
      <vt:variant>
        <vt:i4>116</vt:i4>
      </vt:variant>
      <vt:variant>
        <vt:i4>0</vt:i4>
      </vt:variant>
      <vt:variant>
        <vt:i4>5</vt:i4>
      </vt:variant>
      <vt:variant>
        <vt:lpwstr/>
      </vt:variant>
      <vt:variant>
        <vt:lpwstr>_Toc189833703</vt:lpwstr>
      </vt:variant>
      <vt:variant>
        <vt:i4>1310780</vt:i4>
      </vt:variant>
      <vt:variant>
        <vt:i4>110</vt:i4>
      </vt:variant>
      <vt:variant>
        <vt:i4>0</vt:i4>
      </vt:variant>
      <vt:variant>
        <vt:i4>5</vt:i4>
      </vt:variant>
      <vt:variant>
        <vt:lpwstr/>
      </vt:variant>
      <vt:variant>
        <vt:lpwstr>_Toc189833702</vt:lpwstr>
      </vt:variant>
      <vt:variant>
        <vt:i4>1310780</vt:i4>
      </vt:variant>
      <vt:variant>
        <vt:i4>104</vt:i4>
      </vt:variant>
      <vt:variant>
        <vt:i4>0</vt:i4>
      </vt:variant>
      <vt:variant>
        <vt:i4>5</vt:i4>
      </vt:variant>
      <vt:variant>
        <vt:lpwstr/>
      </vt:variant>
      <vt:variant>
        <vt:lpwstr>_Toc189833701</vt:lpwstr>
      </vt:variant>
      <vt:variant>
        <vt:i4>1310780</vt:i4>
      </vt:variant>
      <vt:variant>
        <vt:i4>98</vt:i4>
      </vt:variant>
      <vt:variant>
        <vt:i4>0</vt:i4>
      </vt:variant>
      <vt:variant>
        <vt:i4>5</vt:i4>
      </vt:variant>
      <vt:variant>
        <vt:lpwstr/>
      </vt:variant>
      <vt:variant>
        <vt:lpwstr>_Toc189833700</vt:lpwstr>
      </vt:variant>
      <vt:variant>
        <vt:i4>1900605</vt:i4>
      </vt:variant>
      <vt:variant>
        <vt:i4>92</vt:i4>
      </vt:variant>
      <vt:variant>
        <vt:i4>0</vt:i4>
      </vt:variant>
      <vt:variant>
        <vt:i4>5</vt:i4>
      </vt:variant>
      <vt:variant>
        <vt:lpwstr/>
      </vt:variant>
      <vt:variant>
        <vt:lpwstr>_Toc189833699</vt:lpwstr>
      </vt:variant>
      <vt:variant>
        <vt:i4>1900605</vt:i4>
      </vt:variant>
      <vt:variant>
        <vt:i4>86</vt:i4>
      </vt:variant>
      <vt:variant>
        <vt:i4>0</vt:i4>
      </vt:variant>
      <vt:variant>
        <vt:i4>5</vt:i4>
      </vt:variant>
      <vt:variant>
        <vt:lpwstr/>
      </vt:variant>
      <vt:variant>
        <vt:lpwstr>_Toc189833698</vt:lpwstr>
      </vt:variant>
      <vt:variant>
        <vt:i4>1900605</vt:i4>
      </vt:variant>
      <vt:variant>
        <vt:i4>80</vt:i4>
      </vt:variant>
      <vt:variant>
        <vt:i4>0</vt:i4>
      </vt:variant>
      <vt:variant>
        <vt:i4>5</vt:i4>
      </vt:variant>
      <vt:variant>
        <vt:lpwstr/>
      </vt:variant>
      <vt:variant>
        <vt:lpwstr>_Toc189833697</vt:lpwstr>
      </vt:variant>
      <vt:variant>
        <vt:i4>1900605</vt:i4>
      </vt:variant>
      <vt:variant>
        <vt:i4>74</vt:i4>
      </vt:variant>
      <vt:variant>
        <vt:i4>0</vt:i4>
      </vt:variant>
      <vt:variant>
        <vt:i4>5</vt:i4>
      </vt:variant>
      <vt:variant>
        <vt:lpwstr/>
      </vt:variant>
      <vt:variant>
        <vt:lpwstr>_Toc189833696</vt:lpwstr>
      </vt:variant>
      <vt:variant>
        <vt:i4>1900605</vt:i4>
      </vt:variant>
      <vt:variant>
        <vt:i4>68</vt:i4>
      </vt:variant>
      <vt:variant>
        <vt:i4>0</vt:i4>
      </vt:variant>
      <vt:variant>
        <vt:i4>5</vt:i4>
      </vt:variant>
      <vt:variant>
        <vt:lpwstr/>
      </vt:variant>
      <vt:variant>
        <vt:lpwstr>_Toc189833695</vt:lpwstr>
      </vt:variant>
      <vt:variant>
        <vt:i4>1900605</vt:i4>
      </vt:variant>
      <vt:variant>
        <vt:i4>62</vt:i4>
      </vt:variant>
      <vt:variant>
        <vt:i4>0</vt:i4>
      </vt:variant>
      <vt:variant>
        <vt:i4>5</vt:i4>
      </vt:variant>
      <vt:variant>
        <vt:lpwstr/>
      </vt:variant>
      <vt:variant>
        <vt:lpwstr>_Toc189833694</vt:lpwstr>
      </vt:variant>
      <vt:variant>
        <vt:i4>1900605</vt:i4>
      </vt:variant>
      <vt:variant>
        <vt:i4>56</vt:i4>
      </vt:variant>
      <vt:variant>
        <vt:i4>0</vt:i4>
      </vt:variant>
      <vt:variant>
        <vt:i4>5</vt:i4>
      </vt:variant>
      <vt:variant>
        <vt:lpwstr/>
      </vt:variant>
      <vt:variant>
        <vt:lpwstr>_Toc189833693</vt:lpwstr>
      </vt:variant>
      <vt:variant>
        <vt:i4>1900605</vt:i4>
      </vt:variant>
      <vt:variant>
        <vt:i4>50</vt:i4>
      </vt:variant>
      <vt:variant>
        <vt:i4>0</vt:i4>
      </vt:variant>
      <vt:variant>
        <vt:i4>5</vt:i4>
      </vt:variant>
      <vt:variant>
        <vt:lpwstr/>
      </vt:variant>
      <vt:variant>
        <vt:lpwstr>_Toc189833692</vt:lpwstr>
      </vt:variant>
      <vt:variant>
        <vt:i4>1900605</vt:i4>
      </vt:variant>
      <vt:variant>
        <vt:i4>44</vt:i4>
      </vt:variant>
      <vt:variant>
        <vt:i4>0</vt:i4>
      </vt:variant>
      <vt:variant>
        <vt:i4>5</vt:i4>
      </vt:variant>
      <vt:variant>
        <vt:lpwstr/>
      </vt:variant>
      <vt:variant>
        <vt:lpwstr>_Toc189833691</vt:lpwstr>
      </vt:variant>
      <vt:variant>
        <vt:i4>1900605</vt:i4>
      </vt:variant>
      <vt:variant>
        <vt:i4>38</vt:i4>
      </vt:variant>
      <vt:variant>
        <vt:i4>0</vt:i4>
      </vt:variant>
      <vt:variant>
        <vt:i4>5</vt:i4>
      </vt:variant>
      <vt:variant>
        <vt:lpwstr/>
      </vt:variant>
      <vt:variant>
        <vt:lpwstr>_Toc189833690</vt:lpwstr>
      </vt:variant>
      <vt:variant>
        <vt:i4>1835069</vt:i4>
      </vt:variant>
      <vt:variant>
        <vt:i4>32</vt:i4>
      </vt:variant>
      <vt:variant>
        <vt:i4>0</vt:i4>
      </vt:variant>
      <vt:variant>
        <vt:i4>5</vt:i4>
      </vt:variant>
      <vt:variant>
        <vt:lpwstr/>
      </vt:variant>
      <vt:variant>
        <vt:lpwstr>_Toc189833689</vt:lpwstr>
      </vt:variant>
      <vt:variant>
        <vt:i4>1835069</vt:i4>
      </vt:variant>
      <vt:variant>
        <vt:i4>26</vt:i4>
      </vt:variant>
      <vt:variant>
        <vt:i4>0</vt:i4>
      </vt:variant>
      <vt:variant>
        <vt:i4>5</vt:i4>
      </vt:variant>
      <vt:variant>
        <vt:lpwstr/>
      </vt:variant>
      <vt:variant>
        <vt:lpwstr>_Toc189833688</vt:lpwstr>
      </vt:variant>
      <vt:variant>
        <vt:i4>1835069</vt:i4>
      </vt:variant>
      <vt:variant>
        <vt:i4>20</vt:i4>
      </vt:variant>
      <vt:variant>
        <vt:i4>0</vt:i4>
      </vt:variant>
      <vt:variant>
        <vt:i4>5</vt:i4>
      </vt:variant>
      <vt:variant>
        <vt:lpwstr/>
      </vt:variant>
      <vt:variant>
        <vt:lpwstr>_Toc189833687</vt:lpwstr>
      </vt:variant>
      <vt:variant>
        <vt:i4>1835069</vt:i4>
      </vt:variant>
      <vt:variant>
        <vt:i4>14</vt:i4>
      </vt:variant>
      <vt:variant>
        <vt:i4>0</vt:i4>
      </vt:variant>
      <vt:variant>
        <vt:i4>5</vt:i4>
      </vt:variant>
      <vt:variant>
        <vt:lpwstr/>
      </vt:variant>
      <vt:variant>
        <vt:lpwstr>_Toc189833686</vt:lpwstr>
      </vt:variant>
      <vt:variant>
        <vt:i4>1835069</vt:i4>
      </vt:variant>
      <vt:variant>
        <vt:i4>8</vt:i4>
      </vt:variant>
      <vt:variant>
        <vt:i4>0</vt:i4>
      </vt:variant>
      <vt:variant>
        <vt:i4>5</vt:i4>
      </vt:variant>
      <vt:variant>
        <vt:lpwstr/>
      </vt:variant>
      <vt:variant>
        <vt:lpwstr>_Toc189833685</vt:lpwstr>
      </vt:variant>
      <vt:variant>
        <vt:i4>1835069</vt:i4>
      </vt:variant>
      <vt:variant>
        <vt:i4>2</vt:i4>
      </vt:variant>
      <vt:variant>
        <vt:i4>0</vt:i4>
      </vt:variant>
      <vt:variant>
        <vt:i4>5</vt:i4>
      </vt:variant>
      <vt:variant>
        <vt:lpwstr/>
      </vt:variant>
      <vt:variant>
        <vt:lpwstr>_Toc189833684</vt:lpwstr>
      </vt:variant>
      <vt:variant>
        <vt:i4>4194422</vt:i4>
      </vt:variant>
      <vt:variant>
        <vt:i4>54</vt:i4>
      </vt:variant>
      <vt:variant>
        <vt:i4>0</vt:i4>
      </vt:variant>
      <vt:variant>
        <vt:i4>5</vt:i4>
      </vt:variant>
      <vt:variant>
        <vt:lpwstr>mailto:krzysztof.jakacki@prime-energy.pl</vt:lpwstr>
      </vt:variant>
      <vt:variant>
        <vt:lpwstr/>
      </vt:variant>
      <vt:variant>
        <vt:i4>6619207</vt:i4>
      </vt:variant>
      <vt:variant>
        <vt:i4>51</vt:i4>
      </vt:variant>
      <vt:variant>
        <vt:i4>0</vt:i4>
      </vt:variant>
      <vt:variant>
        <vt:i4>5</vt:i4>
      </vt:variant>
      <vt:variant>
        <vt:lpwstr>mailto:jacek.kalinski@prime-energy.pl</vt:lpwstr>
      </vt:variant>
      <vt:variant>
        <vt:lpwstr/>
      </vt:variant>
      <vt:variant>
        <vt:i4>6619207</vt:i4>
      </vt:variant>
      <vt:variant>
        <vt:i4>48</vt:i4>
      </vt:variant>
      <vt:variant>
        <vt:i4>0</vt:i4>
      </vt:variant>
      <vt:variant>
        <vt:i4>5</vt:i4>
      </vt:variant>
      <vt:variant>
        <vt:lpwstr>mailto:jacek.kalinski@prime-energy.pl</vt:lpwstr>
      </vt:variant>
      <vt:variant>
        <vt:lpwstr/>
      </vt:variant>
      <vt:variant>
        <vt:i4>4194422</vt:i4>
      </vt:variant>
      <vt:variant>
        <vt:i4>45</vt:i4>
      </vt:variant>
      <vt:variant>
        <vt:i4>0</vt:i4>
      </vt:variant>
      <vt:variant>
        <vt:i4>5</vt:i4>
      </vt:variant>
      <vt:variant>
        <vt:lpwstr>mailto:krzysztof.jakacki@prime-energy.pl</vt:lpwstr>
      </vt:variant>
      <vt:variant>
        <vt:lpwstr/>
      </vt:variant>
      <vt:variant>
        <vt:i4>4194422</vt:i4>
      </vt:variant>
      <vt:variant>
        <vt:i4>42</vt:i4>
      </vt:variant>
      <vt:variant>
        <vt:i4>0</vt:i4>
      </vt:variant>
      <vt:variant>
        <vt:i4>5</vt:i4>
      </vt:variant>
      <vt:variant>
        <vt:lpwstr>mailto:krzysztof.jakacki@prime-energy.pl</vt:lpwstr>
      </vt:variant>
      <vt:variant>
        <vt:lpwstr/>
      </vt:variant>
      <vt:variant>
        <vt:i4>4194422</vt:i4>
      </vt:variant>
      <vt:variant>
        <vt:i4>39</vt:i4>
      </vt:variant>
      <vt:variant>
        <vt:i4>0</vt:i4>
      </vt:variant>
      <vt:variant>
        <vt:i4>5</vt:i4>
      </vt:variant>
      <vt:variant>
        <vt:lpwstr>mailto:krzysztof.jakacki@prime-energy.pl</vt:lpwstr>
      </vt:variant>
      <vt:variant>
        <vt:lpwstr/>
      </vt:variant>
      <vt:variant>
        <vt:i4>6881370</vt:i4>
      </vt:variant>
      <vt:variant>
        <vt:i4>36</vt:i4>
      </vt:variant>
      <vt:variant>
        <vt:i4>0</vt:i4>
      </vt:variant>
      <vt:variant>
        <vt:i4>5</vt:i4>
      </vt:variant>
      <vt:variant>
        <vt:lpwstr>mailto:katarzyna.radziszewska@prime-energy.pl</vt:lpwstr>
      </vt:variant>
      <vt:variant>
        <vt:lpwstr/>
      </vt:variant>
      <vt:variant>
        <vt:i4>6619207</vt:i4>
      </vt:variant>
      <vt:variant>
        <vt:i4>33</vt:i4>
      </vt:variant>
      <vt:variant>
        <vt:i4>0</vt:i4>
      </vt:variant>
      <vt:variant>
        <vt:i4>5</vt:i4>
      </vt:variant>
      <vt:variant>
        <vt:lpwstr>mailto:jacek.kalinski@prime-energy.pl</vt:lpwstr>
      </vt:variant>
      <vt:variant>
        <vt:lpwstr/>
      </vt:variant>
      <vt:variant>
        <vt:i4>6619207</vt:i4>
      </vt:variant>
      <vt:variant>
        <vt:i4>30</vt:i4>
      </vt:variant>
      <vt:variant>
        <vt:i4>0</vt:i4>
      </vt:variant>
      <vt:variant>
        <vt:i4>5</vt:i4>
      </vt:variant>
      <vt:variant>
        <vt:lpwstr>mailto:jacek.kalinski@prime-energy.pl</vt:lpwstr>
      </vt:variant>
      <vt:variant>
        <vt:lpwstr/>
      </vt:variant>
      <vt:variant>
        <vt:i4>6619207</vt:i4>
      </vt:variant>
      <vt:variant>
        <vt:i4>27</vt:i4>
      </vt:variant>
      <vt:variant>
        <vt:i4>0</vt:i4>
      </vt:variant>
      <vt:variant>
        <vt:i4>5</vt:i4>
      </vt:variant>
      <vt:variant>
        <vt:lpwstr>mailto:jacek.kalinski@prime-energy.pl</vt:lpwstr>
      </vt:variant>
      <vt:variant>
        <vt:lpwstr/>
      </vt:variant>
      <vt:variant>
        <vt:i4>5898247</vt:i4>
      </vt:variant>
      <vt:variant>
        <vt:i4>24</vt:i4>
      </vt:variant>
      <vt:variant>
        <vt:i4>0</vt:i4>
      </vt:variant>
      <vt:variant>
        <vt:i4>5</vt:i4>
      </vt:variant>
      <vt:variant>
        <vt:lpwstr>https://eur-lex.europa.eu/legal-content/PL/TXT/PDF/?uri=CELEX:02017R2196-20171128&amp;from=EN</vt:lpwstr>
      </vt:variant>
      <vt:variant>
        <vt:lpwstr/>
      </vt:variant>
      <vt:variant>
        <vt:i4>6619207</vt:i4>
      </vt:variant>
      <vt:variant>
        <vt:i4>21</vt:i4>
      </vt:variant>
      <vt:variant>
        <vt:i4>0</vt:i4>
      </vt:variant>
      <vt:variant>
        <vt:i4>5</vt:i4>
      </vt:variant>
      <vt:variant>
        <vt:lpwstr>mailto:jacek.kalinski@prime-energy.pl</vt:lpwstr>
      </vt:variant>
      <vt:variant>
        <vt:lpwstr/>
      </vt:variant>
      <vt:variant>
        <vt:i4>6881370</vt:i4>
      </vt:variant>
      <vt:variant>
        <vt:i4>18</vt:i4>
      </vt:variant>
      <vt:variant>
        <vt:i4>0</vt:i4>
      </vt:variant>
      <vt:variant>
        <vt:i4>5</vt:i4>
      </vt:variant>
      <vt:variant>
        <vt:lpwstr>mailto:katarzyna.radziszewska@prime-energy.pl</vt:lpwstr>
      </vt:variant>
      <vt:variant>
        <vt:lpwstr/>
      </vt:variant>
      <vt:variant>
        <vt:i4>6488131</vt:i4>
      </vt:variant>
      <vt:variant>
        <vt:i4>15</vt:i4>
      </vt:variant>
      <vt:variant>
        <vt:i4>0</vt:i4>
      </vt:variant>
      <vt:variant>
        <vt:i4>5</vt:i4>
      </vt:variant>
      <vt:variant>
        <vt:lpwstr>mailto:aneta.kubiszyn@prime-energy.pl</vt:lpwstr>
      </vt:variant>
      <vt:variant>
        <vt:lpwstr/>
      </vt:variant>
      <vt:variant>
        <vt:i4>6488131</vt:i4>
      </vt:variant>
      <vt:variant>
        <vt:i4>12</vt:i4>
      </vt:variant>
      <vt:variant>
        <vt:i4>0</vt:i4>
      </vt:variant>
      <vt:variant>
        <vt:i4>5</vt:i4>
      </vt:variant>
      <vt:variant>
        <vt:lpwstr>mailto:aneta.kubiszyn@prime-energy.pl</vt:lpwstr>
      </vt:variant>
      <vt:variant>
        <vt:lpwstr/>
      </vt:variant>
      <vt:variant>
        <vt:i4>4194422</vt:i4>
      </vt:variant>
      <vt:variant>
        <vt:i4>9</vt:i4>
      </vt:variant>
      <vt:variant>
        <vt:i4>0</vt:i4>
      </vt:variant>
      <vt:variant>
        <vt:i4>5</vt:i4>
      </vt:variant>
      <vt:variant>
        <vt:lpwstr>mailto:krzysztof.jakacki@prime-energy.pl</vt:lpwstr>
      </vt:variant>
      <vt:variant>
        <vt:lpwstr/>
      </vt:variant>
      <vt:variant>
        <vt:i4>6881370</vt:i4>
      </vt:variant>
      <vt:variant>
        <vt:i4>6</vt:i4>
      </vt:variant>
      <vt:variant>
        <vt:i4>0</vt:i4>
      </vt:variant>
      <vt:variant>
        <vt:i4>5</vt:i4>
      </vt:variant>
      <vt:variant>
        <vt:lpwstr>mailto:katarzyna.radziszewska@prime-energy.pl</vt:lpwstr>
      </vt:variant>
      <vt:variant>
        <vt:lpwstr/>
      </vt:variant>
      <vt:variant>
        <vt:i4>6881370</vt:i4>
      </vt:variant>
      <vt:variant>
        <vt:i4>3</vt:i4>
      </vt:variant>
      <vt:variant>
        <vt:i4>0</vt:i4>
      </vt:variant>
      <vt:variant>
        <vt:i4>5</vt:i4>
      </vt:variant>
      <vt:variant>
        <vt:lpwstr>mailto:katarzyna.radziszewska@prime-energy.pl</vt:lpwstr>
      </vt:variant>
      <vt:variant>
        <vt:lpwstr/>
      </vt:variant>
      <vt:variant>
        <vt:i4>720970</vt:i4>
      </vt:variant>
      <vt:variant>
        <vt:i4>0</vt:i4>
      </vt:variant>
      <vt:variant>
        <vt:i4>0</vt:i4>
      </vt:variant>
      <vt:variant>
        <vt:i4>5</vt:i4>
      </vt:variant>
      <vt:variant>
        <vt:lpwstr>https://sip.legalis.pl/document-view.seam?documentId=mfrxilrtg4ytonzsguztsltqmfyc4nruge3dsmbtgi&amp;refSource=hyp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Ruchu i Eksploatacji Sieci Dystrybucyjnej Grupy Kapitałowej ACPRO</dc:title>
  <dc:subject/>
  <dc:creator/>
  <cp:keywords>IRiESD ACPRO</cp:keywords>
  <cp:lastModifiedBy/>
  <cp:revision>1</cp:revision>
  <dcterms:created xsi:type="dcterms:W3CDTF">2025-04-30T10:36:00Z</dcterms:created>
  <dcterms:modified xsi:type="dcterms:W3CDTF">2026-09-03T11:20:00Z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0x01010039F8ECE351F6D447A4C3B99FDA4E784F</vt:lpwstr>
  </property>
  <property fmtid="{D5CDD505-2E9C-101B-9397-08002B2CF9AE}" pid="3" name="MediaServiceImageTags">
    <vt:lpwstr/>
  </property>
</Properties>
</file>